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Aprueba Contrato de </w:t>
      </w:r>
      <w:proofErr w:type="spellStart"/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Prestamo</w:t>
      </w:r>
      <w:proofErr w:type="spellEnd"/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Suscrito entre el Banco Internacional de Reconstrucción y Fomento (Banco Mundial) y el Gobierno de la República de Costa Rica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bookmarkStart w:id="0" w:name="_GoBack"/>
      <w:r w:rsidRPr="009C5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 N° 8058</w:t>
      </w:r>
    </w:p>
    <w:bookmarkEnd w:id="0"/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LA ASAMBLEA LEGISLATIVA 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 LA REPUBLICA DE COSTA RICA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Decreta: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APROBACION DEL CONTRATO DE PRESTAMO SUSCRITO 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ENTRE EL BANCO INTERNACIONAL DE RECONSTRUCCION 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Y FOMENTO (BANCO MUNDIAL) Y EL GOBIERNO DE LA 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REPUBLICA DE COSTA RICA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R"/>
        </w:rPr>
        <w:t>        Artículo 1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CR"/>
        </w:rPr>
        <w:t>°.-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Aprué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base</w:t>
      </w:r>
      <w:proofErr w:type="spellEnd"/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el Contrato de 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Préstamo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N° 4457-CR, suscrito el 20 de julio de 2000, entre el Banco Internacional de 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Reconstrucción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y Fomento (Banco Mundial) y el Gobierno de la 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República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de Costa Rica, por un monto hasta de treinta y dos millones seiscientos treinta mil 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dólares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sin centavos (US$32.630.000,00) para financiar el Programa de pagos de servicios ambientales por un período de cinco años, tal y como lo establece el Programa 1 del contrato de 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préstamo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. El texto del referido contrato de 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préstamo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y su 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traducción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oficial se anexan y forman parte de esta Ley: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ACUERDO DE PRESTAMO 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(Proyecto </w:t>
      </w:r>
      <w:proofErr w:type="spellStart"/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Ecomercados</w:t>
      </w:r>
      <w:proofErr w:type="spellEnd"/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) entre 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LA REPÚBLICA DE COSTA RICA Y EL BANCO INTERNACIONAL DE RECONSTRUCCIÓN 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Y FOMENTO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Con fecha 20 de Julio, 2000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lastRenderedPageBreak/>
        <w:t>        Artículo 2</w:t>
      </w:r>
      <w:proofErr w:type="gramStart"/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°.-</w:t>
      </w:r>
      <w:proofErr w:type="gramEnd"/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Para constituir la Unidad Ejecutora que se encargar  de todo lo relativo a la ejecución del Proyecto aprobado mediante esta Ley, el Ministerio de Ambiente y Energía (MINAE) y el Fondo de Financiamiento Forestal (FONAFIFO) podrán utilizar el personal actual, el equipo y las instalaciones de la misma 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institución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. Asimismo, mediante convenio, movil</w:t>
      </w:r>
      <w:r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idad horizontal o préstamo podrá</w:t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n solicitar a otras entidades públicas el personal técnico necesario para llevar a cabo la ejecución.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br/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        Artículo 3</w:t>
      </w:r>
      <w:proofErr w:type="gramStart"/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°.-</w:t>
      </w:r>
      <w:proofErr w:type="gramEnd"/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Los desembolsos del contrato de préstamo que esta Ley aprueba, no serán considerados para efectos de lo establecido en el artículo 9 de la Ley N° 7970, de 22 de diciembre de 1999.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        Rige a partir de su publicación.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        Dado en la Presidencia de la </w:t>
      </w:r>
      <w:proofErr w:type="gramStart"/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República.-</w:t>
      </w:r>
      <w:proofErr w:type="gramEnd"/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San José, a los ocho días del mes de enero del dos mil uno.</w:t>
      </w:r>
    </w:p>
    <w:p w:rsidR="009C5001" w:rsidRPr="009C5001" w:rsidRDefault="009C5001" w:rsidP="009C5001">
      <w:pPr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br/>
      </w:r>
      <w:r w:rsidRPr="009C5001">
        <w:rPr>
          <w:rFonts w:ascii="Arial" w:eastAsia="Times New Roman" w:hAnsi="Arial" w:cs="Arial"/>
          <w:color w:val="000000"/>
          <w:sz w:val="24"/>
          <w:szCs w:val="24"/>
          <w:lang w:eastAsia="es-CR"/>
        </w:rPr>
        <w:br/>
      </w:r>
    </w:p>
    <w:p w:rsidR="00077377" w:rsidRPr="009C5001" w:rsidRDefault="00077377" w:rsidP="009C5001">
      <w:pPr>
        <w:rPr>
          <w:rFonts w:ascii="Arial" w:hAnsi="Arial" w:cs="Arial"/>
          <w:sz w:val="24"/>
          <w:szCs w:val="24"/>
        </w:rPr>
      </w:pPr>
    </w:p>
    <w:p w:rsidR="009C5001" w:rsidRPr="009C5001" w:rsidRDefault="009C5001" w:rsidP="009C5001">
      <w:pPr>
        <w:rPr>
          <w:rFonts w:ascii="Arial" w:hAnsi="Arial" w:cs="Arial"/>
          <w:sz w:val="24"/>
          <w:szCs w:val="24"/>
        </w:rPr>
      </w:pPr>
    </w:p>
    <w:sectPr w:rsidR="009C5001" w:rsidRPr="009C5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01"/>
    <w:rsid w:val="00077377"/>
    <w:rsid w:val="009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78B6"/>
  <w15:chartTrackingRefBased/>
  <w15:docId w15:val="{9837EDCC-5FBE-4161-A459-99A2131D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0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9C5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Esteban Chacón Meza</dc:creator>
  <cp:keywords/>
  <dc:description/>
  <cp:lastModifiedBy>Alonso Esteban Chacón Meza</cp:lastModifiedBy>
  <cp:revision>1</cp:revision>
  <dcterms:created xsi:type="dcterms:W3CDTF">2018-05-04T15:17:00Z</dcterms:created>
  <dcterms:modified xsi:type="dcterms:W3CDTF">2018-05-04T15:23:00Z</dcterms:modified>
</cp:coreProperties>
</file>