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0"/>
          <w:szCs w:val="20"/>
        </w:rPr>
        <w:id w:val="938640508"/>
        <w:docPartObj>
          <w:docPartGallery w:val="Cover Pages"/>
          <w:docPartUnique/>
        </w:docPartObj>
      </w:sdtPr>
      <w:sdtEndPr/>
      <w:sdtContent>
        <w:p w:rsidR="00FA5D0D" w:rsidRPr="00AA48B0" w:rsidRDefault="00FA5D0D" w:rsidP="00AA48B0">
          <w:pPr>
            <w:jc w:val="both"/>
            <w:rPr>
              <w:rFonts w:ascii="Arial" w:hAnsi="Arial" w:cs="Arial"/>
              <w:sz w:val="20"/>
              <w:szCs w:val="20"/>
            </w:rPr>
          </w:pPr>
          <w:r w:rsidRPr="00AA48B0">
            <w:rPr>
              <w:rFonts w:ascii="Arial" w:hAnsi="Arial" w:cs="Arial"/>
              <w:noProof/>
              <w:sz w:val="20"/>
              <w:szCs w:val="20"/>
              <w:lang w:eastAsia="es-C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upo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ángulo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50F" w:rsidRDefault="0004550F">
                                  <w:pPr>
                                    <w:pStyle w:val="Sinespaciado"/>
                                    <w:rPr>
                                      <w:color w:val="FFFFFF" w:themeColor="background1"/>
                                      <w:sz w:val="32"/>
                                      <w:szCs w:val="32"/>
                                    </w:rPr>
                                  </w:pPr>
                                </w:p>
                                <w:p w:rsidR="0004550F" w:rsidRDefault="0004550F">
                                  <w:pPr>
                                    <w:pStyle w:val="Sinespaciado"/>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olor w:val="595959" w:themeColor="text1" w:themeTint="A6"/>
                                      <w:sz w:val="52"/>
                                      <w:szCs w:val="52"/>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04550F" w:rsidRDefault="0004550F">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FA5D0D">
                                        <w:rPr>
                                          <w:rFonts w:ascii="Arial" w:eastAsiaTheme="majorEastAsia" w:hAnsi="Arial" w:cs="Arial"/>
                                          <w:color w:val="595959" w:themeColor="text1" w:themeTint="A6"/>
                                          <w:sz w:val="52"/>
                                          <w:szCs w:val="52"/>
                                        </w:rPr>
                                        <w:t>Informe Anual PAO 2017</w:t>
                                      </w:r>
                                    </w:p>
                                  </w:sdtContent>
                                </w:sdt>
                                <w:sdt>
                                  <w:sdtPr>
                                    <w:rPr>
                                      <w:rFonts w:ascii="Arial" w:hAnsi="Arial" w:cs="Arial"/>
                                      <w:caps/>
                                      <w:color w:val="2C3C43" w:themeColor="text2"/>
                                      <w:sz w:val="28"/>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04550F" w:rsidRPr="00FA5D0D" w:rsidRDefault="0004550F">
                                      <w:pPr>
                                        <w:pStyle w:val="Sinespaciado"/>
                                        <w:spacing w:before="240"/>
                                        <w:rPr>
                                          <w:rFonts w:ascii="Arial" w:hAnsi="Arial" w:cs="Arial"/>
                                          <w:caps/>
                                          <w:color w:val="2C3C43" w:themeColor="text2"/>
                                          <w:sz w:val="36"/>
                                          <w:szCs w:val="36"/>
                                        </w:rPr>
                                      </w:pPr>
                                      <w:r>
                                        <w:rPr>
                                          <w:rFonts w:ascii="Arial" w:hAnsi="Arial" w:cs="Arial"/>
                                          <w:caps/>
                                          <w:color w:val="2C3C43" w:themeColor="text2"/>
                                          <w:sz w:val="28"/>
                                          <w:szCs w:val="36"/>
                                        </w:rPr>
                                        <w:t>Fond</w:t>
                                      </w:r>
                                      <w:r w:rsidRPr="00FA5D0D">
                                        <w:rPr>
                                          <w:rFonts w:ascii="Arial" w:hAnsi="Arial" w:cs="Arial"/>
                                          <w:caps/>
                                          <w:color w:val="2C3C43" w:themeColor="text2"/>
                                          <w:sz w:val="28"/>
                                          <w:szCs w:val="36"/>
                                        </w:rPr>
                                        <w:t>o nacional de Financiamiento Forestal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BuKvIevAMAAMUOAAAOAAAAAAAAAAAAAAAAAC4CAABkcnMv&#10;ZTJvRG9jLnhtbFBLAQItABQABgAIAAAAIQBHHeoO3AAAAAcBAAAPAAAAAAAAAAAAAAAAABYGAABk&#10;cnMvZG93bnJldi54bWxQSwUGAAAAAAQABADzAAAAHwcAAAAA&#10;">
                    <v:rect id="Rectángulo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" fillcolor="#90c226 [3204]" stroked="f" strokeweight="1.5pt">
                      <v:stroke endcap="round"/>
                    </v:rect>
                    <v:rect id="Rectángulo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" fillcolor="#54a021 [3205]" stroked="f" strokeweight="1.5pt">
                      <v:stroke endcap="round"/>
                      <v:textbox inset="36pt,14.4pt,36pt,36pt">
                        <w:txbxContent>
                          <w:p w:rsidR="0004550F" w:rsidRDefault="0004550F">
                            <w:pPr>
                              <w:pStyle w:val="Sinespaciado"/>
                              <w:rPr>
                                <w:color w:val="FFFFFF" w:themeColor="background1"/>
                                <w:sz w:val="32"/>
                                <w:szCs w:val="32"/>
                              </w:rPr>
                            </w:pPr>
                          </w:p>
                          <w:p w:rsidR="0004550F" w:rsidRDefault="0004550F">
                            <w:pPr>
                              <w:pStyle w:val="Sinespaciado"/>
                              <w:rPr>
                                <w:caps/>
                                <w:color w:val="FFFFFF" w:themeColor="background1"/>
                              </w:rPr>
                            </w:pPr>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w:eastAsiaTheme="majorEastAsia" w:hAnsi="Arial" w:cs="Arial"/>
                                <w:color w:val="595959" w:themeColor="text1" w:themeTint="A6"/>
                                <w:sz w:val="52"/>
                                <w:szCs w:val="52"/>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04550F" w:rsidRDefault="0004550F">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FA5D0D">
                                  <w:rPr>
                                    <w:rFonts w:ascii="Arial" w:eastAsiaTheme="majorEastAsia" w:hAnsi="Arial" w:cs="Arial"/>
                                    <w:color w:val="595959" w:themeColor="text1" w:themeTint="A6"/>
                                    <w:sz w:val="52"/>
                                    <w:szCs w:val="52"/>
                                  </w:rPr>
                                  <w:t>Informe Anual PAO 2017</w:t>
                                </w:r>
                              </w:p>
                            </w:sdtContent>
                          </w:sdt>
                          <w:sdt>
                            <w:sdtPr>
                              <w:rPr>
                                <w:rFonts w:ascii="Arial" w:hAnsi="Arial" w:cs="Arial"/>
                                <w:caps/>
                                <w:color w:val="2C3C43" w:themeColor="text2"/>
                                <w:sz w:val="28"/>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04550F" w:rsidRPr="00FA5D0D" w:rsidRDefault="0004550F">
                                <w:pPr>
                                  <w:pStyle w:val="Sinespaciado"/>
                                  <w:spacing w:before="240"/>
                                  <w:rPr>
                                    <w:rFonts w:ascii="Arial" w:hAnsi="Arial" w:cs="Arial"/>
                                    <w:caps/>
                                    <w:color w:val="2C3C43" w:themeColor="text2"/>
                                    <w:sz w:val="36"/>
                                    <w:szCs w:val="36"/>
                                  </w:rPr>
                                </w:pPr>
                                <w:r>
                                  <w:rPr>
                                    <w:rFonts w:ascii="Arial" w:hAnsi="Arial" w:cs="Arial"/>
                                    <w:caps/>
                                    <w:color w:val="2C3C43" w:themeColor="text2"/>
                                    <w:sz w:val="28"/>
                                    <w:szCs w:val="36"/>
                                  </w:rPr>
                                  <w:t>Fond</w:t>
                                </w:r>
                                <w:r w:rsidRPr="00FA5D0D">
                                  <w:rPr>
                                    <w:rFonts w:ascii="Arial" w:hAnsi="Arial" w:cs="Arial"/>
                                    <w:caps/>
                                    <w:color w:val="2C3C43" w:themeColor="text2"/>
                                    <w:sz w:val="28"/>
                                    <w:szCs w:val="36"/>
                                  </w:rPr>
                                  <w:t>o nacional de Financiamiento Forestal</w:t>
                                </w:r>
                              </w:p>
                            </w:sdtContent>
                          </w:sdt>
                        </w:txbxContent>
                      </v:textbox>
                    </v:shape>
                    <w10:wrap anchorx="page" anchory="page"/>
                  </v:group>
                </w:pict>
              </mc:Fallback>
            </mc:AlternateContent>
          </w:r>
        </w:p>
        <w:p w:rsidR="00FA5D0D" w:rsidRPr="00AA48B0" w:rsidRDefault="00FA5D0D" w:rsidP="00AA48B0">
          <w:pPr>
            <w:jc w:val="both"/>
            <w:rPr>
              <w:rFonts w:ascii="Arial" w:hAnsi="Arial" w:cs="Arial"/>
              <w:sz w:val="20"/>
              <w:szCs w:val="20"/>
            </w:rPr>
          </w:pPr>
          <w:r w:rsidRPr="00AA48B0">
            <w:rPr>
              <w:rFonts w:ascii="Arial" w:hAnsi="Arial" w:cs="Arial"/>
              <w:sz w:val="20"/>
              <w:szCs w:val="20"/>
            </w:rPr>
            <w:br w:type="page"/>
          </w:r>
        </w:p>
      </w:sdtContent>
    </w:sdt>
    <w:p w:rsidR="00987212" w:rsidRPr="00AA48B0" w:rsidRDefault="00FA5D0D" w:rsidP="00AA48B0">
      <w:pPr>
        <w:pStyle w:val="Ttulo1"/>
        <w:jc w:val="both"/>
        <w:rPr>
          <w:rFonts w:ascii="Arial" w:hAnsi="Arial" w:cs="Arial"/>
        </w:rPr>
      </w:pPr>
      <w:r w:rsidRPr="00AA48B0">
        <w:rPr>
          <w:rFonts w:ascii="Arial" w:hAnsi="Arial" w:cs="Arial"/>
        </w:rPr>
        <w:lastRenderedPageBreak/>
        <w:t>Informe Plan Anual Operativo 2017</w:t>
      </w:r>
    </w:p>
    <w:p w:rsidR="003A3950" w:rsidRPr="00AA48B0" w:rsidRDefault="003A3950" w:rsidP="00AA48B0">
      <w:pPr>
        <w:pStyle w:val="Ttulo2"/>
        <w:jc w:val="both"/>
        <w:rPr>
          <w:rFonts w:ascii="Arial" w:hAnsi="Arial" w:cs="Arial"/>
        </w:rPr>
      </w:pPr>
      <w:r w:rsidRPr="00AA48B0">
        <w:rPr>
          <w:rFonts w:ascii="Arial" w:hAnsi="Arial" w:cs="Arial"/>
        </w:rPr>
        <w:t xml:space="preserve">Avance de Plan Estratégico Institucional </w:t>
      </w:r>
    </w:p>
    <w:p w:rsidR="003A3950" w:rsidRPr="00AA48B0" w:rsidRDefault="003A3950" w:rsidP="00AA48B0">
      <w:pPr>
        <w:jc w:val="both"/>
        <w:rPr>
          <w:rFonts w:ascii="Arial" w:hAnsi="Arial" w:cs="Arial"/>
          <w:sz w:val="20"/>
          <w:szCs w:val="20"/>
        </w:rPr>
      </w:pPr>
    </w:p>
    <w:p w:rsidR="00FA5D0D" w:rsidRPr="00AA48B0" w:rsidRDefault="00FA5D0D" w:rsidP="00AA48B0">
      <w:pPr>
        <w:pStyle w:val="Subttulo"/>
        <w:spacing w:line="360" w:lineRule="auto"/>
        <w:jc w:val="both"/>
        <w:rPr>
          <w:rFonts w:ascii="Arial" w:hAnsi="Arial" w:cs="Arial"/>
          <w:sz w:val="20"/>
          <w:szCs w:val="20"/>
        </w:rPr>
      </w:pPr>
      <w:r w:rsidRPr="00AA48B0">
        <w:rPr>
          <w:rFonts w:ascii="Arial" w:hAnsi="Arial" w:cs="Arial"/>
          <w:sz w:val="20"/>
          <w:szCs w:val="20"/>
        </w:rPr>
        <w:t xml:space="preserve">Introducción </w:t>
      </w:r>
    </w:p>
    <w:p w:rsidR="002E73BB" w:rsidRPr="00AA48B0" w:rsidRDefault="00272C33" w:rsidP="00AA48B0">
      <w:pPr>
        <w:spacing w:line="360" w:lineRule="auto"/>
        <w:jc w:val="both"/>
        <w:rPr>
          <w:rFonts w:ascii="Arial" w:hAnsi="Arial" w:cs="Arial"/>
          <w:sz w:val="20"/>
          <w:szCs w:val="20"/>
        </w:rPr>
      </w:pPr>
      <w:r w:rsidRPr="00AA48B0">
        <w:rPr>
          <w:rFonts w:ascii="Arial" w:hAnsi="Arial" w:cs="Arial"/>
          <w:sz w:val="20"/>
          <w:szCs w:val="20"/>
        </w:rPr>
        <w:t xml:space="preserve">Este informe, presenta los principales resultados operativos de la </w:t>
      </w:r>
      <w:r w:rsidR="00FE5858" w:rsidRPr="00AA48B0">
        <w:rPr>
          <w:rFonts w:ascii="Arial" w:hAnsi="Arial" w:cs="Arial"/>
          <w:sz w:val="20"/>
          <w:szCs w:val="20"/>
        </w:rPr>
        <w:t xml:space="preserve">institución durante el año 2017 </w:t>
      </w:r>
      <w:r w:rsidR="002E73BB" w:rsidRPr="00AA48B0">
        <w:rPr>
          <w:rFonts w:ascii="Arial" w:hAnsi="Arial" w:cs="Arial"/>
          <w:sz w:val="20"/>
          <w:szCs w:val="20"/>
        </w:rPr>
        <w:t xml:space="preserve">y el desempeño de los indicadores de cada una de las acciones estratégicas. </w:t>
      </w:r>
    </w:p>
    <w:p w:rsidR="00F454F7" w:rsidRPr="00AA48B0" w:rsidRDefault="00850347" w:rsidP="00AA48B0">
      <w:pPr>
        <w:spacing w:line="360" w:lineRule="auto"/>
        <w:jc w:val="both"/>
        <w:rPr>
          <w:rFonts w:ascii="Arial" w:hAnsi="Arial" w:cs="Arial"/>
          <w:sz w:val="20"/>
          <w:szCs w:val="20"/>
        </w:rPr>
      </w:pPr>
      <w:r w:rsidRPr="00AA48B0">
        <w:rPr>
          <w:rFonts w:ascii="Arial" w:hAnsi="Arial" w:cs="Arial"/>
          <w:sz w:val="20"/>
          <w:szCs w:val="20"/>
        </w:rPr>
        <w:t>Esta relación es importante, en cuanto permite a la institución contar con información oportuna sobre el avance físico de sus actividades y el uso de los recursos financieros, humanos y materiales inherentes. En la medida qu</w:t>
      </w:r>
      <w:r w:rsidR="00F454F7" w:rsidRPr="00AA48B0">
        <w:rPr>
          <w:rFonts w:ascii="Arial" w:hAnsi="Arial" w:cs="Arial"/>
          <w:sz w:val="20"/>
          <w:szCs w:val="20"/>
        </w:rPr>
        <w:t xml:space="preserve">e la institución pule su habilidad de hacer esta lectura, mayores serán los índices de eficiencia y eficacia. </w:t>
      </w:r>
    </w:p>
    <w:p w:rsidR="00FE5858" w:rsidRPr="00AA48B0" w:rsidRDefault="00F454F7" w:rsidP="00AA48B0">
      <w:pPr>
        <w:spacing w:line="360" w:lineRule="auto"/>
        <w:jc w:val="both"/>
        <w:rPr>
          <w:rFonts w:ascii="Arial" w:hAnsi="Arial" w:cs="Arial"/>
          <w:sz w:val="20"/>
          <w:szCs w:val="20"/>
        </w:rPr>
      </w:pPr>
      <w:r w:rsidRPr="00AA48B0">
        <w:rPr>
          <w:rFonts w:ascii="Arial" w:hAnsi="Arial" w:cs="Arial"/>
          <w:sz w:val="20"/>
          <w:szCs w:val="20"/>
        </w:rPr>
        <w:t xml:space="preserve">El año 2017, </w:t>
      </w:r>
      <w:r w:rsidR="00206FB1">
        <w:rPr>
          <w:rFonts w:ascii="Arial" w:hAnsi="Arial" w:cs="Arial"/>
          <w:sz w:val="20"/>
          <w:szCs w:val="20"/>
        </w:rPr>
        <w:t>fue</w:t>
      </w:r>
      <w:r w:rsidRPr="00AA48B0">
        <w:rPr>
          <w:rFonts w:ascii="Arial" w:hAnsi="Arial" w:cs="Arial"/>
          <w:sz w:val="20"/>
          <w:szCs w:val="20"/>
        </w:rPr>
        <w:t xml:space="preserve"> un año marcado por alta eficacia en la consecución de l</w:t>
      </w:r>
      <w:r w:rsidR="00206FB1">
        <w:rPr>
          <w:rFonts w:ascii="Arial" w:hAnsi="Arial" w:cs="Arial"/>
          <w:sz w:val="20"/>
          <w:szCs w:val="20"/>
        </w:rPr>
        <w:t xml:space="preserve">os resultados estratégicos y </w:t>
      </w:r>
      <w:r w:rsidR="00206FB1" w:rsidRPr="00AA48B0">
        <w:rPr>
          <w:rFonts w:ascii="Arial" w:hAnsi="Arial" w:cs="Arial"/>
          <w:sz w:val="20"/>
          <w:szCs w:val="20"/>
        </w:rPr>
        <w:t>operativos</w:t>
      </w:r>
      <w:r w:rsidRPr="00AA48B0">
        <w:rPr>
          <w:rFonts w:ascii="Arial" w:hAnsi="Arial" w:cs="Arial"/>
          <w:sz w:val="20"/>
          <w:szCs w:val="20"/>
        </w:rPr>
        <w:t xml:space="preserve">. </w:t>
      </w:r>
      <w:r w:rsidR="00FE5858" w:rsidRPr="00AA48B0">
        <w:rPr>
          <w:rFonts w:ascii="Arial" w:hAnsi="Arial" w:cs="Arial"/>
          <w:sz w:val="20"/>
          <w:szCs w:val="20"/>
        </w:rPr>
        <w:t>Esto, p</w:t>
      </w:r>
      <w:r w:rsidR="00534023" w:rsidRPr="00AA48B0">
        <w:rPr>
          <w:rFonts w:ascii="Arial" w:hAnsi="Arial" w:cs="Arial"/>
          <w:sz w:val="20"/>
          <w:szCs w:val="20"/>
        </w:rPr>
        <w:t xml:space="preserve">roducido </w:t>
      </w:r>
      <w:r w:rsidRPr="00AA48B0">
        <w:rPr>
          <w:rFonts w:ascii="Arial" w:hAnsi="Arial" w:cs="Arial"/>
          <w:sz w:val="20"/>
          <w:szCs w:val="20"/>
        </w:rPr>
        <w:t>por más tiempo de información</w:t>
      </w:r>
      <w:r w:rsidR="00534023" w:rsidRPr="00AA48B0">
        <w:rPr>
          <w:rFonts w:ascii="Arial" w:hAnsi="Arial" w:cs="Arial"/>
          <w:sz w:val="20"/>
          <w:szCs w:val="20"/>
        </w:rPr>
        <w:t xml:space="preserve"> específica</w:t>
      </w:r>
      <w:r w:rsidR="00FE5858" w:rsidRPr="00AA48B0">
        <w:rPr>
          <w:rFonts w:ascii="Arial" w:hAnsi="Arial" w:cs="Arial"/>
          <w:sz w:val="20"/>
          <w:szCs w:val="20"/>
        </w:rPr>
        <w:t xml:space="preserve"> y anualizada, líneas base e información explicativa de los sucesos por periodo. El seguimiento trimestral, ha significado un</w:t>
      </w:r>
      <w:r w:rsidR="00206FB1">
        <w:rPr>
          <w:rFonts w:ascii="Arial" w:hAnsi="Arial" w:cs="Arial"/>
          <w:sz w:val="20"/>
          <w:szCs w:val="20"/>
        </w:rPr>
        <w:t>a mejor identificación</w:t>
      </w:r>
      <w:r w:rsidR="00FE5858" w:rsidRPr="00AA48B0">
        <w:rPr>
          <w:rFonts w:ascii="Arial" w:hAnsi="Arial" w:cs="Arial"/>
          <w:sz w:val="20"/>
          <w:szCs w:val="20"/>
        </w:rPr>
        <w:t xml:space="preserve"> de las posibles desviaciones y la toma de decisiones sobre acciones de mejora. </w:t>
      </w:r>
    </w:p>
    <w:p w:rsidR="00FE5858" w:rsidRPr="00AA48B0" w:rsidRDefault="00FE5858" w:rsidP="00AA48B0">
      <w:pPr>
        <w:spacing w:line="360" w:lineRule="auto"/>
        <w:jc w:val="both"/>
        <w:rPr>
          <w:rFonts w:ascii="Arial" w:hAnsi="Arial" w:cs="Arial"/>
          <w:sz w:val="20"/>
          <w:szCs w:val="20"/>
        </w:rPr>
      </w:pPr>
      <w:r w:rsidRPr="00AA48B0">
        <w:rPr>
          <w:rFonts w:ascii="Arial" w:hAnsi="Arial" w:cs="Arial"/>
          <w:sz w:val="20"/>
          <w:szCs w:val="20"/>
        </w:rPr>
        <w:t>Esta, es entonces, la presentación de los principales resultados obtenidos duran</w:t>
      </w:r>
      <w:r w:rsidR="00206FB1">
        <w:rPr>
          <w:rFonts w:ascii="Arial" w:hAnsi="Arial" w:cs="Arial"/>
          <w:sz w:val="20"/>
          <w:szCs w:val="20"/>
        </w:rPr>
        <w:t>te el año por unidad funcional.</w:t>
      </w:r>
    </w:p>
    <w:p w:rsidR="002E73BB" w:rsidRPr="00AA48B0" w:rsidRDefault="002E73BB" w:rsidP="00AA48B0">
      <w:pPr>
        <w:spacing w:line="360" w:lineRule="auto"/>
        <w:jc w:val="both"/>
        <w:rPr>
          <w:rFonts w:ascii="Arial" w:hAnsi="Arial" w:cs="Arial"/>
          <w:sz w:val="20"/>
          <w:szCs w:val="20"/>
        </w:rPr>
      </w:pPr>
    </w:p>
    <w:p w:rsidR="00FA5D0D" w:rsidRPr="00AA48B0" w:rsidRDefault="002E73BB" w:rsidP="00AA48B0">
      <w:pPr>
        <w:pStyle w:val="Subttulo"/>
        <w:spacing w:line="360" w:lineRule="auto"/>
        <w:jc w:val="both"/>
        <w:rPr>
          <w:rFonts w:ascii="Arial" w:hAnsi="Arial" w:cs="Arial"/>
          <w:sz w:val="20"/>
          <w:szCs w:val="20"/>
        </w:rPr>
      </w:pPr>
      <w:r w:rsidRPr="00AA48B0">
        <w:rPr>
          <w:rFonts w:ascii="Arial" w:hAnsi="Arial" w:cs="Arial"/>
          <w:sz w:val="20"/>
          <w:szCs w:val="20"/>
        </w:rPr>
        <w:t>Dirección General</w:t>
      </w:r>
    </w:p>
    <w:p w:rsidR="0093071F" w:rsidRPr="00AA48B0" w:rsidRDefault="0093071F" w:rsidP="00AA48B0">
      <w:pPr>
        <w:spacing w:line="360" w:lineRule="auto"/>
        <w:jc w:val="both"/>
        <w:rPr>
          <w:rFonts w:ascii="Arial" w:hAnsi="Arial" w:cs="Arial"/>
          <w:sz w:val="20"/>
          <w:szCs w:val="20"/>
        </w:rPr>
      </w:pPr>
      <w:r w:rsidRPr="00AA48B0">
        <w:rPr>
          <w:rFonts w:ascii="Arial" w:hAnsi="Arial" w:cs="Arial"/>
          <w:sz w:val="20"/>
          <w:szCs w:val="20"/>
        </w:rPr>
        <w:t xml:space="preserve">Encardada de dar orientación a todas las acciones operativas y estratégicas institucionales, la Dirección General tiene como principal tarea, ejecutar los acuerdos de la Junta Directiva, los cuales, a la fecha de corte, se cumplieron en totalidad. </w:t>
      </w:r>
    </w:p>
    <w:p w:rsidR="002B0F1E" w:rsidRPr="00AA48B0" w:rsidRDefault="002B0F1E" w:rsidP="00AA48B0">
      <w:pPr>
        <w:spacing w:line="360" w:lineRule="auto"/>
        <w:jc w:val="both"/>
        <w:rPr>
          <w:rFonts w:ascii="Arial" w:hAnsi="Arial" w:cs="Arial"/>
          <w:sz w:val="20"/>
          <w:szCs w:val="20"/>
        </w:rPr>
      </w:pPr>
      <w:r w:rsidRPr="00AA48B0">
        <w:rPr>
          <w:rFonts w:ascii="Arial" w:hAnsi="Arial" w:cs="Arial"/>
          <w:sz w:val="20"/>
          <w:szCs w:val="20"/>
        </w:rPr>
        <w:t xml:space="preserve">Dentro de la ejecución de la agenda estratégica, que es la participación institucional en diversas actividades del sector, se obtuvo convenios diversos con organizaciones como: Centro Agrícola Cantonal de Tarrazú, INISEFOR, Florida Ice and Farm, la Asociación de Mujeres Verdes. FundaOsa, Green Motion International y el Global Green Growth Institute; con estas organizaciones, se trabaja en diversas áreas que apoyan el trabajo que se realiza para la comercialización de servicios ambientales y el fortalecimiento del sector forestal en general. </w:t>
      </w:r>
    </w:p>
    <w:p w:rsidR="0093071F" w:rsidRPr="00AA48B0" w:rsidRDefault="0093071F" w:rsidP="00AA48B0">
      <w:pPr>
        <w:spacing w:line="360" w:lineRule="auto"/>
        <w:jc w:val="both"/>
        <w:rPr>
          <w:rFonts w:ascii="Arial" w:hAnsi="Arial" w:cs="Arial"/>
          <w:sz w:val="20"/>
          <w:szCs w:val="20"/>
        </w:rPr>
      </w:pPr>
    </w:p>
    <w:p w:rsidR="00AA48B0" w:rsidRDefault="00AA48B0" w:rsidP="00AA48B0">
      <w:pPr>
        <w:pStyle w:val="Subttulo"/>
        <w:spacing w:line="360" w:lineRule="auto"/>
        <w:jc w:val="both"/>
        <w:rPr>
          <w:rFonts w:ascii="Arial" w:hAnsi="Arial" w:cs="Arial"/>
          <w:sz w:val="20"/>
          <w:szCs w:val="20"/>
        </w:rPr>
      </w:pPr>
    </w:p>
    <w:p w:rsidR="00206FB1" w:rsidRPr="00206FB1" w:rsidRDefault="00206FB1" w:rsidP="00206FB1"/>
    <w:p w:rsidR="00FA5D0D" w:rsidRPr="00AA48B0" w:rsidRDefault="00FA5D0D" w:rsidP="00AA48B0">
      <w:pPr>
        <w:pStyle w:val="Subttulo"/>
        <w:spacing w:line="360" w:lineRule="auto"/>
        <w:jc w:val="both"/>
        <w:rPr>
          <w:rFonts w:ascii="Arial" w:hAnsi="Arial" w:cs="Arial"/>
          <w:sz w:val="20"/>
          <w:szCs w:val="20"/>
        </w:rPr>
      </w:pPr>
      <w:r w:rsidRPr="00AA48B0">
        <w:rPr>
          <w:rFonts w:ascii="Arial" w:hAnsi="Arial" w:cs="Arial"/>
          <w:sz w:val="20"/>
          <w:szCs w:val="20"/>
        </w:rPr>
        <w:lastRenderedPageBreak/>
        <w:t xml:space="preserve">Contraloría de Servicios </w:t>
      </w:r>
    </w:p>
    <w:p w:rsidR="00010B0F" w:rsidRPr="00AA48B0" w:rsidRDefault="002B0F1E" w:rsidP="00AA48B0">
      <w:pPr>
        <w:spacing w:line="360" w:lineRule="auto"/>
        <w:jc w:val="both"/>
        <w:rPr>
          <w:rFonts w:ascii="Arial" w:hAnsi="Arial" w:cs="Arial"/>
          <w:sz w:val="20"/>
          <w:szCs w:val="20"/>
        </w:rPr>
      </w:pPr>
      <w:r w:rsidRPr="00AA48B0">
        <w:rPr>
          <w:rFonts w:ascii="Arial" w:hAnsi="Arial" w:cs="Arial"/>
          <w:sz w:val="20"/>
          <w:szCs w:val="20"/>
        </w:rPr>
        <w:t xml:space="preserve">La Contraloría de Servicios, en su función de velar y contribuir con un clima de servicio al beneficiario, justo y equitativo en la institución, ha consolidado, durante el año 2017, los servicios de atención que brinda al ciudadano, convirtiéndose en un espacio efectivo de intermediación de la institución con los beneficiarios. </w:t>
      </w:r>
    </w:p>
    <w:p w:rsidR="00010B0F" w:rsidRPr="00AA48B0" w:rsidRDefault="00010B0F" w:rsidP="00AA48B0">
      <w:pPr>
        <w:spacing w:line="360" w:lineRule="auto"/>
        <w:jc w:val="both"/>
        <w:rPr>
          <w:rFonts w:ascii="Arial" w:hAnsi="Arial" w:cs="Arial"/>
          <w:sz w:val="20"/>
          <w:szCs w:val="20"/>
        </w:rPr>
      </w:pPr>
      <w:r w:rsidRPr="00AA48B0">
        <w:rPr>
          <w:rFonts w:ascii="Arial" w:hAnsi="Arial" w:cs="Arial"/>
          <w:sz w:val="20"/>
          <w:szCs w:val="20"/>
        </w:rPr>
        <w:t xml:space="preserve">De ahí, que la calificación obtenida como percepción del servicio para Fonafifo en el año 2017 es de: </w:t>
      </w:r>
    </w:p>
    <w:p w:rsidR="00010B0F" w:rsidRPr="00AA48B0" w:rsidRDefault="00206FB1" w:rsidP="00AA48B0">
      <w:pPr>
        <w:spacing w:line="360" w:lineRule="auto"/>
        <w:jc w:val="both"/>
        <w:rPr>
          <w:rFonts w:ascii="Arial" w:hAnsi="Arial" w:cs="Arial"/>
          <w:sz w:val="20"/>
          <w:szCs w:val="20"/>
        </w:rPr>
      </w:pPr>
      <w:r w:rsidRPr="00AA48B0">
        <w:rPr>
          <w:rFonts w:ascii="Arial" w:hAnsi="Arial" w:cs="Arial"/>
          <w:noProof/>
          <w:sz w:val="20"/>
          <w:szCs w:val="20"/>
          <w:lang w:eastAsia="es-CR"/>
        </w:rPr>
        <mc:AlternateContent>
          <mc:Choice Requires="wps">
            <w:drawing>
              <wp:anchor distT="0" distB="0" distL="114300" distR="114300" simplePos="0" relativeHeight="251660288" behindDoc="0" locked="0" layoutInCell="1" allowOverlap="1" wp14:anchorId="1E9DB04D" wp14:editId="22814308">
                <wp:simplePos x="0" y="0"/>
                <wp:positionH relativeFrom="margin">
                  <wp:align>center</wp:align>
                </wp:positionH>
                <wp:positionV relativeFrom="paragraph">
                  <wp:posOffset>184912</wp:posOffset>
                </wp:positionV>
                <wp:extent cx="990600" cy="772160"/>
                <wp:effectExtent l="0" t="0" r="19050" b="27940"/>
                <wp:wrapSquare wrapText="bothSides"/>
                <wp:docPr id="4" name="Conector 4"/>
                <wp:cNvGraphicFramePr/>
                <a:graphic xmlns:a="http://schemas.openxmlformats.org/drawingml/2006/main">
                  <a:graphicData uri="http://schemas.microsoft.com/office/word/2010/wordprocessingShape">
                    <wps:wsp>
                      <wps:cNvSpPr/>
                      <wps:spPr>
                        <a:xfrm>
                          <a:off x="0" y="0"/>
                          <a:ext cx="990600" cy="77216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550F" w:rsidRPr="00206FB1" w:rsidRDefault="0004550F" w:rsidP="00010B0F">
                            <w:pPr>
                              <w:jc w:val="center"/>
                              <w:rPr>
                                <w:color w:val="000000" w:themeColor="text1"/>
                                <w:sz w:val="52"/>
                              </w:rPr>
                            </w:pPr>
                            <w:r w:rsidRPr="00206FB1">
                              <w:rPr>
                                <w:color w:val="000000" w:themeColor="text1"/>
                                <w:sz w:val="52"/>
                              </w:rPr>
                              <w:t>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DB04D" id="_x0000_t120" coordsize="21600,21600" o:spt="120" path="m10800,qx,10800,10800,21600,21600,10800,10800,xe">
                <v:path gradientshapeok="t" o:connecttype="custom" o:connectlocs="10800,0;3163,3163;0,10800;3163,18437;10800,21600;18437,18437;21600,10800;18437,3163" textboxrect="3163,3163,18437,18437"/>
              </v:shapetype>
              <v:shape id="Conector 4" o:spid="_x0000_s1030" type="#_x0000_t120" style="position:absolute;left:0;text-align:left;margin-left:0;margin-top:14.55pt;width:78pt;height:60.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" fillcolor="#90c226 [3204]" strokecolor="#476013 [1604]" strokeweight="1.5pt">
                <v:stroke endcap="round"/>
                <v:textbox>
                  <w:txbxContent>
                    <w:p w:rsidR="0004550F" w:rsidRPr="00206FB1" w:rsidRDefault="0004550F" w:rsidP="00010B0F">
                      <w:pPr>
                        <w:jc w:val="center"/>
                        <w:rPr>
                          <w:color w:val="000000" w:themeColor="text1"/>
                          <w:sz w:val="52"/>
                        </w:rPr>
                      </w:pPr>
                      <w:r w:rsidRPr="00206FB1">
                        <w:rPr>
                          <w:color w:val="000000" w:themeColor="text1"/>
                          <w:sz w:val="52"/>
                        </w:rPr>
                        <w:t>84</w:t>
                      </w:r>
                    </w:p>
                  </w:txbxContent>
                </v:textbox>
                <w10:wrap type="square" anchorx="margin"/>
              </v:shape>
            </w:pict>
          </mc:Fallback>
        </mc:AlternateContent>
      </w:r>
    </w:p>
    <w:p w:rsidR="00010B0F" w:rsidRPr="00AA48B0" w:rsidRDefault="00010B0F" w:rsidP="00AA48B0">
      <w:pPr>
        <w:spacing w:line="360" w:lineRule="auto"/>
        <w:jc w:val="both"/>
        <w:rPr>
          <w:rFonts w:ascii="Arial" w:hAnsi="Arial" w:cs="Arial"/>
          <w:sz w:val="20"/>
          <w:szCs w:val="20"/>
        </w:rPr>
      </w:pPr>
    </w:p>
    <w:p w:rsidR="00010B0F" w:rsidRPr="00AA48B0" w:rsidRDefault="00010B0F" w:rsidP="00AA48B0">
      <w:pPr>
        <w:spacing w:line="360" w:lineRule="auto"/>
        <w:jc w:val="both"/>
        <w:rPr>
          <w:rFonts w:ascii="Arial" w:hAnsi="Arial" w:cs="Arial"/>
          <w:sz w:val="20"/>
          <w:szCs w:val="20"/>
        </w:rPr>
      </w:pPr>
    </w:p>
    <w:p w:rsidR="00206FB1" w:rsidRDefault="00206FB1" w:rsidP="00AA48B0">
      <w:pPr>
        <w:spacing w:line="360" w:lineRule="auto"/>
        <w:jc w:val="both"/>
        <w:rPr>
          <w:rFonts w:ascii="Arial" w:hAnsi="Arial" w:cs="Arial"/>
          <w:sz w:val="20"/>
          <w:szCs w:val="20"/>
        </w:rPr>
      </w:pPr>
    </w:p>
    <w:p w:rsidR="00206FB1" w:rsidRDefault="002B0F1E" w:rsidP="00206FB1">
      <w:pPr>
        <w:spacing w:line="360" w:lineRule="auto"/>
        <w:jc w:val="both"/>
        <w:rPr>
          <w:rFonts w:ascii="Arial" w:hAnsi="Arial" w:cs="Arial"/>
          <w:sz w:val="20"/>
          <w:szCs w:val="20"/>
        </w:rPr>
      </w:pPr>
      <w:r w:rsidRPr="00AA48B0">
        <w:rPr>
          <w:rFonts w:ascii="Arial" w:hAnsi="Arial" w:cs="Arial"/>
          <w:sz w:val="20"/>
          <w:szCs w:val="20"/>
        </w:rPr>
        <w:t>Se participó activamente en 8 actividades de contacto ciudad como: Feria de Ambiente, Feria Cantonal de Parque de Moravia, Semana de Parques Nacionales, Feria Vive la Madera y se concretó</w:t>
      </w:r>
      <w:r w:rsidR="008432E3" w:rsidRPr="00AA48B0">
        <w:rPr>
          <w:rFonts w:ascii="Arial" w:hAnsi="Arial" w:cs="Arial"/>
          <w:sz w:val="20"/>
          <w:szCs w:val="20"/>
        </w:rPr>
        <w:t xml:space="preserve"> una visita a Cedarena. </w:t>
      </w:r>
      <w:r w:rsidRPr="00AA48B0">
        <w:rPr>
          <w:rFonts w:ascii="Arial" w:hAnsi="Arial" w:cs="Arial"/>
          <w:sz w:val="20"/>
          <w:szCs w:val="20"/>
        </w:rPr>
        <w:t>Aunado a ello</w:t>
      </w:r>
      <w:r w:rsidR="008432E3" w:rsidRPr="00AA48B0">
        <w:rPr>
          <w:rFonts w:ascii="Arial" w:hAnsi="Arial" w:cs="Arial"/>
          <w:sz w:val="20"/>
          <w:szCs w:val="20"/>
        </w:rPr>
        <w:t>,</w:t>
      </w:r>
      <w:r w:rsidRPr="00AA48B0">
        <w:rPr>
          <w:rFonts w:ascii="Arial" w:hAnsi="Arial" w:cs="Arial"/>
          <w:sz w:val="20"/>
          <w:szCs w:val="20"/>
        </w:rPr>
        <w:t xml:space="preserve"> la Contraloría tuvo la oportunidad de participar</w:t>
      </w:r>
      <w:r w:rsidR="008432E3" w:rsidRPr="00AA48B0">
        <w:rPr>
          <w:rFonts w:ascii="Arial" w:hAnsi="Arial" w:cs="Arial"/>
          <w:sz w:val="20"/>
          <w:szCs w:val="20"/>
        </w:rPr>
        <w:t>,</w:t>
      </w:r>
      <w:r w:rsidRPr="00AA48B0">
        <w:rPr>
          <w:rFonts w:ascii="Arial" w:hAnsi="Arial" w:cs="Arial"/>
          <w:sz w:val="20"/>
          <w:szCs w:val="20"/>
        </w:rPr>
        <w:t xml:space="preserve"> gracias a una invitación del IFAM</w:t>
      </w:r>
      <w:r w:rsidR="008432E3" w:rsidRPr="00AA48B0">
        <w:rPr>
          <w:rFonts w:ascii="Arial" w:hAnsi="Arial" w:cs="Arial"/>
          <w:sz w:val="20"/>
          <w:szCs w:val="20"/>
        </w:rPr>
        <w:t>,</w:t>
      </w:r>
      <w:r w:rsidRPr="00AA48B0">
        <w:rPr>
          <w:rFonts w:ascii="Arial" w:hAnsi="Arial" w:cs="Arial"/>
          <w:sz w:val="20"/>
          <w:szCs w:val="20"/>
        </w:rPr>
        <w:t xml:space="preserve"> en una actividad de intercambio de experiencias de las </w:t>
      </w:r>
      <w:r w:rsidR="008432E3" w:rsidRPr="00AA48B0">
        <w:rPr>
          <w:rFonts w:ascii="Arial" w:hAnsi="Arial" w:cs="Arial"/>
          <w:sz w:val="20"/>
          <w:szCs w:val="20"/>
        </w:rPr>
        <w:t>Contraloría,</w:t>
      </w:r>
      <w:r w:rsidRPr="00AA48B0">
        <w:rPr>
          <w:rFonts w:ascii="Arial" w:hAnsi="Arial" w:cs="Arial"/>
          <w:sz w:val="20"/>
          <w:szCs w:val="20"/>
        </w:rPr>
        <w:t xml:space="preserve"> así como posicionamiento de sus labores.</w:t>
      </w:r>
    </w:p>
    <w:p w:rsidR="008432E3" w:rsidRPr="00AA48B0" w:rsidRDefault="008432E3" w:rsidP="00206FB1">
      <w:pPr>
        <w:spacing w:line="360" w:lineRule="auto"/>
        <w:jc w:val="center"/>
        <w:rPr>
          <w:rFonts w:ascii="Arial" w:hAnsi="Arial" w:cs="Arial"/>
          <w:sz w:val="20"/>
          <w:szCs w:val="20"/>
        </w:rPr>
      </w:pPr>
      <w:r w:rsidRPr="00AA48B0">
        <w:rPr>
          <w:rFonts w:ascii="Arial" w:hAnsi="Arial" w:cs="Arial"/>
          <w:sz w:val="20"/>
          <w:szCs w:val="20"/>
        </w:rPr>
        <w:t>Figura 1</w:t>
      </w:r>
    </w:p>
    <w:p w:rsidR="008432E3" w:rsidRPr="00AA48B0" w:rsidRDefault="008432E3" w:rsidP="00206FB1">
      <w:pPr>
        <w:jc w:val="center"/>
        <w:rPr>
          <w:rFonts w:ascii="Arial" w:hAnsi="Arial" w:cs="Arial"/>
          <w:sz w:val="20"/>
          <w:szCs w:val="20"/>
        </w:rPr>
      </w:pPr>
      <w:r w:rsidRPr="00AA48B0">
        <w:rPr>
          <w:rFonts w:ascii="Arial" w:hAnsi="Arial" w:cs="Arial"/>
          <w:sz w:val="20"/>
          <w:szCs w:val="20"/>
        </w:rPr>
        <w:t>Cantidad de gestiones resueltas por la Contraloría de Servicios</w:t>
      </w:r>
    </w:p>
    <w:p w:rsidR="00AA48B0" w:rsidRPr="00AA48B0" w:rsidRDefault="00206FB1" w:rsidP="00206FB1">
      <w:pPr>
        <w:jc w:val="center"/>
        <w:rPr>
          <w:rFonts w:ascii="Arial" w:hAnsi="Arial" w:cs="Arial"/>
          <w:sz w:val="20"/>
          <w:szCs w:val="20"/>
        </w:rPr>
      </w:pPr>
      <w:r w:rsidRPr="00AA48B0">
        <w:rPr>
          <w:rFonts w:ascii="Arial" w:hAnsi="Arial" w:cs="Arial"/>
          <w:noProof/>
          <w:sz w:val="20"/>
          <w:szCs w:val="20"/>
          <w:lang w:eastAsia="es-CR"/>
        </w:rPr>
        <w:drawing>
          <wp:anchor distT="0" distB="0" distL="114300" distR="114300" simplePos="0" relativeHeight="251661312" behindDoc="0" locked="0" layoutInCell="1" allowOverlap="1" wp14:anchorId="3DD72393" wp14:editId="017C9AF1">
            <wp:simplePos x="0" y="0"/>
            <wp:positionH relativeFrom="margin">
              <wp:align>center</wp:align>
            </wp:positionH>
            <wp:positionV relativeFrom="paragraph">
              <wp:posOffset>307848</wp:posOffset>
            </wp:positionV>
            <wp:extent cx="4552950" cy="2495550"/>
            <wp:effectExtent l="19050" t="0" r="19050" b="0"/>
            <wp:wrapTopAndBottom/>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8432E3" w:rsidRPr="00AA48B0">
        <w:rPr>
          <w:rFonts w:ascii="Arial" w:hAnsi="Arial" w:cs="Arial"/>
          <w:sz w:val="20"/>
          <w:szCs w:val="20"/>
        </w:rPr>
        <w:t>Al</w:t>
      </w:r>
      <w:r w:rsidR="00AA48B0">
        <w:rPr>
          <w:rFonts w:ascii="Arial" w:hAnsi="Arial" w:cs="Arial"/>
          <w:sz w:val="20"/>
          <w:szCs w:val="20"/>
        </w:rPr>
        <w:t xml:space="preserve"> 31 de diciembre de 2017</w:t>
      </w:r>
    </w:p>
    <w:p w:rsidR="008432E3" w:rsidRPr="00AA48B0" w:rsidRDefault="008432E3" w:rsidP="00AA48B0">
      <w:pPr>
        <w:jc w:val="both"/>
        <w:rPr>
          <w:rFonts w:ascii="Arial" w:hAnsi="Arial" w:cs="Arial"/>
          <w:sz w:val="20"/>
          <w:szCs w:val="20"/>
        </w:rPr>
      </w:pPr>
    </w:p>
    <w:p w:rsidR="008432E3" w:rsidRPr="00AA48B0" w:rsidRDefault="008432E3" w:rsidP="00AA48B0">
      <w:pPr>
        <w:jc w:val="both"/>
        <w:rPr>
          <w:rFonts w:ascii="Arial" w:hAnsi="Arial" w:cs="Arial"/>
          <w:sz w:val="20"/>
          <w:szCs w:val="20"/>
        </w:rPr>
      </w:pPr>
    </w:p>
    <w:p w:rsidR="008432E3" w:rsidRPr="00AA48B0" w:rsidRDefault="008432E3" w:rsidP="00AA48B0">
      <w:pPr>
        <w:spacing w:line="276" w:lineRule="auto"/>
        <w:jc w:val="both"/>
        <w:rPr>
          <w:rFonts w:ascii="Arial" w:hAnsi="Arial" w:cs="Arial"/>
          <w:sz w:val="20"/>
          <w:szCs w:val="20"/>
        </w:rPr>
      </w:pPr>
      <w:r w:rsidRPr="00AA48B0">
        <w:rPr>
          <w:rFonts w:ascii="Arial" w:hAnsi="Arial" w:cs="Arial"/>
          <w:sz w:val="20"/>
          <w:szCs w:val="20"/>
        </w:rPr>
        <w:lastRenderedPageBreak/>
        <w:t>Durante el año, la Contraloría participó activamente en la conformación y consolidación de la Comisión Institucional de Mejora Regulatoria, la cual trabajó durante el año, en el establecimiento de un plan de mejora institucional que fue enviado a consulta pública.</w:t>
      </w:r>
      <w:r w:rsidR="00010B0F" w:rsidRPr="00AA48B0">
        <w:rPr>
          <w:rFonts w:ascii="Arial" w:hAnsi="Arial" w:cs="Arial"/>
          <w:sz w:val="20"/>
          <w:szCs w:val="20"/>
        </w:rPr>
        <w:t xml:space="preserve"> Se tienen, además, preparados dos de los trámites para revisión en el proceso de simplificación de trámites promovido por el Meic. </w:t>
      </w:r>
    </w:p>
    <w:p w:rsidR="00010B0F" w:rsidRPr="00AA48B0" w:rsidRDefault="00010B0F" w:rsidP="00AA48B0">
      <w:pPr>
        <w:pStyle w:val="Sinespaciado"/>
        <w:spacing w:line="276" w:lineRule="auto"/>
        <w:jc w:val="both"/>
        <w:rPr>
          <w:rFonts w:ascii="Arial" w:hAnsi="Arial" w:cs="Arial"/>
          <w:iCs/>
          <w:sz w:val="20"/>
          <w:szCs w:val="20"/>
          <w:lang w:eastAsia="en-US"/>
        </w:rPr>
      </w:pPr>
      <w:r w:rsidRPr="00AA48B0">
        <w:rPr>
          <w:rFonts w:ascii="Arial" w:hAnsi="Arial" w:cs="Arial"/>
          <w:iCs/>
          <w:sz w:val="20"/>
          <w:szCs w:val="20"/>
          <w:lang w:eastAsia="en-US"/>
        </w:rPr>
        <w:t xml:space="preserve">Además, en cumplimiento al Decreto 40200-MP-MEIC-MC, la institución nombra la figura del Oficial de Acceso a la Información mediante oficio DG-OF-UPSG-021-2017, con fecha 31 de julio del 2017, nombrando a la funcionaria destacada en la Contraloría de Servicios y es hasta el 21 de setiembre del 2017 que Gobierno Abierto hace la respectiva convocatoria de los Oficiales de Acceso a la Información de cada institución pública. En dicha reunión, se explica el papel de este Oficial, así como la información contenida en el Decreto 40199-MP y se brinda una documentación para el manejo de la información que debe publicarse en web para tener a disposición de la ciudadanía. </w:t>
      </w:r>
    </w:p>
    <w:p w:rsidR="00010B0F" w:rsidRPr="00AA48B0" w:rsidRDefault="00010B0F" w:rsidP="00AA48B0">
      <w:pPr>
        <w:spacing w:line="276" w:lineRule="auto"/>
        <w:jc w:val="both"/>
        <w:rPr>
          <w:rFonts w:ascii="Arial" w:hAnsi="Arial" w:cs="Arial"/>
          <w:sz w:val="20"/>
          <w:szCs w:val="20"/>
        </w:rPr>
      </w:pPr>
    </w:p>
    <w:p w:rsidR="00FA5D0D" w:rsidRPr="00AA48B0" w:rsidRDefault="00FA5D0D" w:rsidP="00AA48B0">
      <w:pPr>
        <w:pStyle w:val="Subttulo"/>
        <w:spacing w:line="276" w:lineRule="auto"/>
        <w:jc w:val="both"/>
        <w:rPr>
          <w:rFonts w:ascii="Arial" w:hAnsi="Arial" w:cs="Arial"/>
          <w:sz w:val="20"/>
          <w:szCs w:val="20"/>
        </w:rPr>
      </w:pPr>
      <w:r w:rsidRPr="00AA48B0">
        <w:rPr>
          <w:rFonts w:ascii="Arial" w:hAnsi="Arial" w:cs="Arial"/>
          <w:sz w:val="20"/>
          <w:szCs w:val="20"/>
        </w:rPr>
        <w:t xml:space="preserve">Unidad de Tecnologías de la Información y la Comunicación </w:t>
      </w:r>
    </w:p>
    <w:p w:rsidR="00197F38" w:rsidRPr="00AA48B0" w:rsidRDefault="00CD69A4" w:rsidP="00AA48B0">
      <w:pPr>
        <w:spacing w:line="276" w:lineRule="auto"/>
        <w:jc w:val="both"/>
        <w:rPr>
          <w:rFonts w:ascii="Arial" w:hAnsi="Arial" w:cs="Arial"/>
          <w:sz w:val="20"/>
          <w:szCs w:val="20"/>
        </w:rPr>
      </w:pPr>
      <w:r w:rsidRPr="00AA48B0">
        <w:rPr>
          <w:rFonts w:ascii="Arial" w:hAnsi="Arial" w:cs="Arial"/>
          <w:sz w:val="20"/>
          <w:szCs w:val="20"/>
        </w:rPr>
        <w:t>Uno de los hitos importante durante este año, fue la puesta en funcionamiento del SiPSA (Sistema Integrado de Pago por Servicios Ambientales), el cual permite que la integración y sistematización del proceso de recepción, análisis, gestión y pago de los proyectos nuevos y vigentes que son parte del Programa de Pago por Servicios Ambientales (PPSA).</w:t>
      </w:r>
    </w:p>
    <w:p w:rsidR="00197F38" w:rsidRPr="00AA48B0" w:rsidRDefault="00CD69A4" w:rsidP="00AA48B0">
      <w:pPr>
        <w:spacing w:line="276" w:lineRule="auto"/>
        <w:jc w:val="both"/>
        <w:rPr>
          <w:rFonts w:ascii="Arial" w:hAnsi="Arial" w:cs="Arial"/>
          <w:sz w:val="20"/>
          <w:szCs w:val="20"/>
        </w:rPr>
      </w:pPr>
      <w:r w:rsidRPr="00AA48B0">
        <w:rPr>
          <w:rFonts w:ascii="Arial" w:hAnsi="Arial" w:cs="Arial"/>
          <w:sz w:val="20"/>
          <w:szCs w:val="20"/>
        </w:rPr>
        <w:t xml:space="preserve">Trabajando en pleno con los módulos que hacen posible que el beneficiario saque cita, </w:t>
      </w:r>
      <w:r w:rsidR="00206FB1">
        <w:rPr>
          <w:rFonts w:ascii="Arial" w:hAnsi="Arial" w:cs="Arial"/>
          <w:sz w:val="20"/>
          <w:szCs w:val="20"/>
        </w:rPr>
        <w:t xml:space="preserve">de seguimiento a su solicitud y, </w:t>
      </w:r>
      <w:r w:rsidRPr="00AA48B0">
        <w:rPr>
          <w:rFonts w:ascii="Arial" w:hAnsi="Arial" w:cs="Arial"/>
          <w:sz w:val="20"/>
          <w:szCs w:val="20"/>
        </w:rPr>
        <w:t>a lo interno</w:t>
      </w:r>
      <w:r w:rsidR="00206FB1">
        <w:rPr>
          <w:rFonts w:ascii="Arial" w:hAnsi="Arial" w:cs="Arial"/>
          <w:sz w:val="20"/>
          <w:szCs w:val="20"/>
        </w:rPr>
        <w:t>,</w:t>
      </w:r>
      <w:r w:rsidRPr="00AA48B0">
        <w:rPr>
          <w:rFonts w:ascii="Arial" w:hAnsi="Arial" w:cs="Arial"/>
          <w:sz w:val="20"/>
          <w:szCs w:val="20"/>
        </w:rPr>
        <w:t xml:space="preserve"> se hagan las revisiones, los estudios técnicos y legales </w:t>
      </w:r>
      <w:r w:rsidR="003671E8" w:rsidRPr="00AA48B0">
        <w:rPr>
          <w:rFonts w:ascii="Arial" w:hAnsi="Arial" w:cs="Arial"/>
          <w:sz w:val="20"/>
          <w:szCs w:val="20"/>
        </w:rPr>
        <w:t>pertinentes</w:t>
      </w:r>
      <w:r w:rsidRPr="00AA48B0">
        <w:rPr>
          <w:rFonts w:ascii="Arial" w:hAnsi="Arial" w:cs="Arial"/>
          <w:sz w:val="20"/>
          <w:szCs w:val="20"/>
        </w:rPr>
        <w:t xml:space="preserve">, han permitido que el PPSA tenga los resultados obtenidos en el año, con alto </w:t>
      </w:r>
      <w:r w:rsidR="003671E8" w:rsidRPr="00AA48B0">
        <w:rPr>
          <w:rFonts w:ascii="Arial" w:hAnsi="Arial" w:cs="Arial"/>
          <w:sz w:val="20"/>
          <w:szCs w:val="20"/>
        </w:rPr>
        <w:t>nivel</w:t>
      </w:r>
      <w:r w:rsidRPr="00AA48B0">
        <w:rPr>
          <w:rFonts w:ascii="Arial" w:hAnsi="Arial" w:cs="Arial"/>
          <w:sz w:val="20"/>
          <w:szCs w:val="20"/>
        </w:rPr>
        <w:t xml:space="preserve"> de eficiencia. </w:t>
      </w:r>
    </w:p>
    <w:p w:rsidR="003671E8" w:rsidRPr="00AA48B0" w:rsidRDefault="003671E8" w:rsidP="00AA48B0">
      <w:pPr>
        <w:spacing w:line="276" w:lineRule="auto"/>
        <w:jc w:val="both"/>
        <w:rPr>
          <w:rFonts w:ascii="Arial" w:hAnsi="Arial" w:cs="Arial"/>
          <w:sz w:val="20"/>
          <w:szCs w:val="20"/>
        </w:rPr>
      </w:pPr>
      <w:r w:rsidRPr="00AA48B0">
        <w:rPr>
          <w:rFonts w:ascii="Arial" w:hAnsi="Arial" w:cs="Arial"/>
          <w:sz w:val="20"/>
          <w:szCs w:val="20"/>
        </w:rPr>
        <w:t xml:space="preserve">Se cuenta con capacitación en el uso de firma digital para todos los funcionarios de la institución y parta este año ya son 15 los procesos que se utilizan, en busca de la automatización de procesos institucionales. </w:t>
      </w:r>
    </w:p>
    <w:p w:rsidR="003671E8" w:rsidRPr="00AA48B0" w:rsidRDefault="00206FB1" w:rsidP="00AA48B0">
      <w:pPr>
        <w:spacing w:line="276" w:lineRule="auto"/>
        <w:jc w:val="both"/>
        <w:rPr>
          <w:rFonts w:ascii="Arial" w:hAnsi="Arial" w:cs="Arial"/>
          <w:sz w:val="20"/>
          <w:szCs w:val="20"/>
        </w:rPr>
      </w:pPr>
      <w:r>
        <w:rPr>
          <w:rFonts w:ascii="Arial" w:hAnsi="Arial" w:cs="Arial"/>
          <w:sz w:val="20"/>
          <w:szCs w:val="20"/>
        </w:rPr>
        <w:t xml:space="preserve">De ahí, </w:t>
      </w:r>
      <w:r w:rsidR="003671E8" w:rsidRPr="00AA48B0">
        <w:rPr>
          <w:rFonts w:ascii="Arial" w:hAnsi="Arial" w:cs="Arial"/>
          <w:sz w:val="20"/>
          <w:szCs w:val="20"/>
        </w:rPr>
        <w:t xml:space="preserve">es relevante apuntar, que se está utilizando el 61,25% de la plataforma tecnológica disponible, lo que muestra camino por delante para aprovechar todas las posibilidades tecnológicas para mejorar la gestión institucional.  </w:t>
      </w:r>
    </w:p>
    <w:p w:rsidR="00197F38" w:rsidRPr="00AA48B0" w:rsidRDefault="00CD69A4" w:rsidP="00AA48B0">
      <w:pPr>
        <w:spacing w:line="276" w:lineRule="auto"/>
        <w:jc w:val="both"/>
        <w:rPr>
          <w:rFonts w:ascii="Arial" w:hAnsi="Arial" w:cs="Arial"/>
          <w:sz w:val="20"/>
          <w:szCs w:val="20"/>
        </w:rPr>
      </w:pPr>
      <w:r w:rsidRPr="00AA48B0">
        <w:rPr>
          <w:rFonts w:ascii="Arial" w:hAnsi="Arial" w:cs="Arial"/>
          <w:sz w:val="20"/>
          <w:szCs w:val="20"/>
        </w:rPr>
        <w:t xml:space="preserve"> </w:t>
      </w:r>
    </w:p>
    <w:p w:rsidR="00FA5D0D" w:rsidRPr="00AA48B0" w:rsidRDefault="00FA5D0D" w:rsidP="00AA48B0">
      <w:pPr>
        <w:pStyle w:val="Subttulo"/>
        <w:spacing w:line="276" w:lineRule="auto"/>
        <w:jc w:val="both"/>
        <w:rPr>
          <w:rFonts w:ascii="Arial" w:hAnsi="Arial" w:cs="Arial"/>
          <w:sz w:val="20"/>
          <w:szCs w:val="20"/>
        </w:rPr>
      </w:pPr>
      <w:r w:rsidRPr="00AA48B0">
        <w:rPr>
          <w:rFonts w:ascii="Arial" w:hAnsi="Arial" w:cs="Arial"/>
          <w:sz w:val="20"/>
          <w:szCs w:val="20"/>
        </w:rPr>
        <w:t xml:space="preserve">Unidad de Planificación y Control de Gestión </w:t>
      </w:r>
    </w:p>
    <w:p w:rsidR="00197F38" w:rsidRPr="00AA48B0" w:rsidRDefault="00197F38" w:rsidP="00AA48B0">
      <w:pPr>
        <w:spacing w:line="276" w:lineRule="auto"/>
        <w:jc w:val="both"/>
        <w:rPr>
          <w:rFonts w:ascii="Arial" w:hAnsi="Arial" w:cs="Arial"/>
          <w:sz w:val="20"/>
          <w:szCs w:val="20"/>
        </w:rPr>
      </w:pPr>
      <w:r w:rsidRPr="00AA48B0">
        <w:rPr>
          <w:rFonts w:ascii="Arial" w:hAnsi="Arial" w:cs="Arial"/>
          <w:sz w:val="20"/>
          <w:szCs w:val="20"/>
        </w:rPr>
        <w:t xml:space="preserve">La unidad, trabajó por tercer año consecutivo en la organización de la actividad de Rendición de Cuentas Institucional, la cual reviste de gran importancia, ya que es un compromiso de mejora continua para con los beneficiarios, y, además, se constituye en una herramienta con fuerte mensaje sobre un compromiso con la eficiencia y transparencia en la gestión pública. </w:t>
      </w:r>
    </w:p>
    <w:p w:rsidR="00197F38" w:rsidRPr="00AA48B0" w:rsidRDefault="00197F38" w:rsidP="00AA48B0">
      <w:pPr>
        <w:spacing w:line="276" w:lineRule="auto"/>
        <w:jc w:val="both"/>
        <w:rPr>
          <w:rFonts w:ascii="Arial" w:hAnsi="Arial" w:cs="Arial"/>
          <w:sz w:val="20"/>
          <w:szCs w:val="20"/>
        </w:rPr>
      </w:pPr>
      <w:r w:rsidRPr="00AA48B0">
        <w:rPr>
          <w:rFonts w:ascii="Arial" w:hAnsi="Arial" w:cs="Arial"/>
          <w:sz w:val="20"/>
          <w:szCs w:val="20"/>
        </w:rPr>
        <w:t>Dentro de esta perspectiva, se presentaron más de 15 informes a entes reguladores como el Ministerio de Hacienda, la Contraloría General de la República (CGR), el Ministerio de Planificación y Política Económica (Mideplan) y a la Secretaría de Planificació</w:t>
      </w:r>
      <w:r w:rsidR="00206FB1">
        <w:rPr>
          <w:rFonts w:ascii="Arial" w:hAnsi="Arial" w:cs="Arial"/>
          <w:sz w:val="20"/>
          <w:szCs w:val="20"/>
        </w:rPr>
        <w:t>n Sectorial de Ambiente (Seplasa</w:t>
      </w:r>
      <w:r w:rsidRPr="00AA48B0">
        <w:rPr>
          <w:rFonts w:ascii="Arial" w:hAnsi="Arial" w:cs="Arial"/>
          <w:sz w:val="20"/>
          <w:szCs w:val="20"/>
        </w:rPr>
        <w:t xml:space="preserve">). </w:t>
      </w:r>
    </w:p>
    <w:p w:rsidR="00197F38" w:rsidRPr="00AA48B0" w:rsidRDefault="00197F38" w:rsidP="00AA48B0">
      <w:pPr>
        <w:spacing w:line="276" w:lineRule="auto"/>
        <w:jc w:val="both"/>
        <w:rPr>
          <w:rFonts w:ascii="Arial" w:hAnsi="Arial" w:cs="Arial"/>
          <w:sz w:val="20"/>
          <w:szCs w:val="20"/>
        </w:rPr>
      </w:pPr>
      <w:r w:rsidRPr="00AA48B0">
        <w:rPr>
          <w:rFonts w:ascii="Arial" w:hAnsi="Arial" w:cs="Arial"/>
          <w:sz w:val="20"/>
          <w:szCs w:val="20"/>
        </w:rPr>
        <w:t>Por otro lado, se trabajó la adaptación del Plan Nacional de Desarrollo Forestal, de la mano con el Comisionado Forestal y por disposición de la CGR. Resultado de esto, se tiene un plan basa</w:t>
      </w:r>
      <w:r w:rsidR="00206FB1">
        <w:rPr>
          <w:rFonts w:ascii="Arial" w:hAnsi="Arial" w:cs="Arial"/>
          <w:sz w:val="20"/>
          <w:szCs w:val="20"/>
        </w:rPr>
        <w:t>do en la cadena de resultados para el</w:t>
      </w:r>
      <w:r w:rsidRPr="00AA48B0">
        <w:rPr>
          <w:rFonts w:ascii="Arial" w:hAnsi="Arial" w:cs="Arial"/>
          <w:sz w:val="20"/>
          <w:szCs w:val="20"/>
        </w:rPr>
        <w:t xml:space="preserve"> desarrollo, hasta el</w:t>
      </w:r>
      <w:r w:rsidR="00206FB1">
        <w:rPr>
          <w:rFonts w:ascii="Arial" w:hAnsi="Arial" w:cs="Arial"/>
          <w:sz w:val="20"/>
          <w:szCs w:val="20"/>
        </w:rPr>
        <w:t xml:space="preserve"> año</w:t>
      </w:r>
      <w:r w:rsidRPr="00AA48B0">
        <w:rPr>
          <w:rFonts w:ascii="Arial" w:hAnsi="Arial" w:cs="Arial"/>
          <w:sz w:val="20"/>
          <w:szCs w:val="20"/>
        </w:rPr>
        <w:t xml:space="preserve"> 2020 para todas las instituciones que conforman la Administración Forestal del Estado. </w:t>
      </w:r>
    </w:p>
    <w:p w:rsidR="00197F38" w:rsidRPr="00AA48B0" w:rsidRDefault="008A6D10" w:rsidP="00AA48B0">
      <w:pPr>
        <w:spacing w:line="276" w:lineRule="auto"/>
        <w:jc w:val="both"/>
        <w:rPr>
          <w:rFonts w:ascii="Arial" w:hAnsi="Arial" w:cs="Arial"/>
          <w:sz w:val="20"/>
          <w:szCs w:val="20"/>
        </w:rPr>
      </w:pPr>
      <w:r w:rsidRPr="00AA48B0">
        <w:rPr>
          <w:rFonts w:ascii="Arial" w:hAnsi="Arial" w:cs="Arial"/>
          <w:sz w:val="20"/>
          <w:szCs w:val="20"/>
        </w:rPr>
        <w:lastRenderedPageBreak/>
        <w:t>El Í</w:t>
      </w:r>
      <w:r w:rsidR="00197F38" w:rsidRPr="00AA48B0">
        <w:rPr>
          <w:rFonts w:ascii="Arial" w:hAnsi="Arial" w:cs="Arial"/>
          <w:sz w:val="20"/>
          <w:szCs w:val="20"/>
        </w:rPr>
        <w:t xml:space="preserve">ndice de Gestión Institucional, obtuvo una calificación para el periodo 2016 de 94 puntos, los cuales, son muestra clara de la intención institucional por mejorar la calidad del servicio y los procesos de gestión institucional. </w:t>
      </w:r>
    </w:p>
    <w:p w:rsidR="00197F38" w:rsidRPr="00AA48B0" w:rsidRDefault="00EB4069" w:rsidP="00AA48B0">
      <w:pPr>
        <w:spacing w:line="276" w:lineRule="auto"/>
        <w:jc w:val="both"/>
        <w:rPr>
          <w:rFonts w:ascii="Arial" w:hAnsi="Arial" w:cs="Arial"/>
          <w:sz w:val="20"/>
          <w:szCs w:val="20"/>
        </w:rPr>
      </w:pPr>
      <w:r w:rsidRPr="00AA48B0">
        <w:rPr>
          <w:rFonts w:ascii="Arial" w:hAnsi="Arial" w:cs="Arial"/>
          <w:sz w:val="20"/>
          <w:szCs w:val="20"/>
        </w:rPr>
        <w:t>Amparados en el proceso de mejora regulatoria, se trabajó en la actualización de 72 procedimientos, manuales y otros documen</w:t>
      </w:r>
      <w:r w:rsidR="008A6D10" w:rsidRPr="00AA48B0">
        <w:rPr>
          <w:rFonts w:ascii="Arial" w:hAnsi="Arial" w:cs="Arial"/>
          <w:sz w:val="20"/>
          <w:szCs w:val="20"/>
        </w:rPr>
        <w:t xml:space="preserve">tos de la gestión institucional. </w:t>
      </w:r>
    </w:p>
    <w:p w:rsidR="008A6D10" w:rsidRPr="00AA48B0" w:rsidRDefault="008A6D10" w:rsidP="00AA48B0">
      <w:pPr>
        <w:spacing w:line="276" w:lineRule="auto"/>
        <w:jc w:val="both"/>
        <w:rPr>
          <w:rFonts w:ascii="Arial" w:hAnsi="Arial" w:cs="Arial"/>
          <w:sz w:val="20"/>
          <w:szCs w:val="20"/>
        </w:rPr>
      </w:pPr>
    </w:p>
    <w:p w:rsidR="008A6D10" w:rsidRPr="00AA48B0" w:rsidRDefault="008A6D10" w:rsidP="00206FB1">
      <w:pPr>
        <w:jc w:val="center"/>
        <w:rPr>
          <w:rFonts w:ascii="Arial" w:hAnsi="Arial" w:cs="Arial"/>
          <w:sz w:val="20"/>
          <w:szCs w:val="20"/>
        </w:rPr>
      </w:pPr>
      <w:r w:rsidRPr="00AA48B0">
        <w:rPr>
          <w:rFonts w:ascii="Arial" w:hAnsi="Arial" w:cs="Arial"/>
          <w:sz w:val="20"/>
          <w:szCs w:val="20"/>
        </w:rPr>
        <w:t>Figura 2</w:t>
      </w:r>
    </w:p>
    <w:p w:rsidR="008A6D10" w:rsidRPr="00AA48B0" w:rsidRDefault="008A6D10" w:rsidP="00206FB1">
      <w:pPr>
        <w:jc w:val="center"/>
        <w:rPr>
          <w:rFonts w:ascii="Arial" w:hAnsi="Arial" w:cs="Arial"/>
          <w:sz w:val="20"/>
          <w:szCs w:val="20"/>
        </w:rPr>
      </w:pPr>
      <w:r w:rsidRPr="00AA48B0">
        <w:rPr>
          <w:rFonts w:ascii="Arial" w:hAnsi="Arial" w:cs="Arial"/>
          <w:sz w:val="20"/>
          <w:szCs w:val="20"/>
        </w:rPr>
        <w:t>Sistema Específico de Valoración de Riesgo Institucional (SEVRI)</w:t>
      </w:r>
    </w:p>
    <w:p w:rsidR="008A6D10" w:rsidRPr="00AA48B0" w:rsidRDefault="008A6D10" w:rsidP="00AA48B0">
      <w:pPr>
        <w:jc w:val="both"/>
        <w:rPr>
          <w:rFonts w:ascii="Arial" w:hAnsi="Arial" w:cs="Arial"/>
          <w:color w:val="545454"/>
          <w:sz w:val="20"/>
          <w:szCs w:val="20"/>
          <w:shd w:val="clear" w:color="auto" w:fill="FFFFFF"/>
        </w:rPr>
      </w:pPr>
    </w:p>
    <w:p w:rsidR="008A6D10" w:rsidRPr="00AA48B0" w:rsidRDefault="008A6D10" w:rsidP="00AA48B0">
      <w:pPr>
        <w:jc w:val="both"/>
        <w:rPr>
          <w:rFonts w:ascii="Arial" w:hAnsi="Arial" w:cs="Arial"/>
          <w:sz w:val="20"/>
          <w:szCs w:val="20"/>
        </w:rPr>
      </w:pPr>
      <w:r w:rsidRPr="00AA48B0">
        <w:rPr>
          <w:rFonts w:ascii="Arial" w:hAnsi="Arial" w:cs="Arial"/>
          <w:noProof/>
          <w:sz w:val="20"/>
          <w:szCs w:val="20"/>
          <w:lang w:eastAsia="es-CR"/>
        </w:rPr>
        <w:drawing>
          <wp:inline distT="0" distB="0" distL="0" distR="0">
            <wp:extent cx="5486400" cy="32004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97F38" w:rsidRPr="00AA48B0" w:rsidRDefault="00197F38" w:rsidP="00AA48B0">
      <w:pPr>
        <w:jc w:val="both"/>
        <w:rPr>
          <w:rFonts w:ascii="Arial" w:hAnsi="Arial" w:cs="Arial"/>
          <w:sz w:val="20"/>
          <w:szCs w:val="20"/>
        </w:rPr>
      </w:pPr>
    </w:p>
    <w:p w:rsidR="004A042B" w:rsidRPr="00AA48B0" w:rsidRDefault="004A042B" w:rsidP="00AA48B0">
      <w:pPr>
        <w:pStyle w:val="Subttulo"/>
        <w:jc w:val="both"/>
        <w:rPr>
          <w:rFonts w:ascii="Arial" w:hAnsi="Arial" w:cs="Arial"/>
        </w:rPr>
      </w:pPr>
    </w:p>
    <w:p w:rsidR="00FA5D0D" w:rsidRPr="00AA48B0" w:rsidRDefault="00FA5D0D" w:rsidP="00AA48B0">
      <w:pPr>
        <w:pStyle w:val="Subttulo"/>
        <w:jc w:val="both"/>
        <w:rPr>
          <w:rFonts w:ascii="Arial" w:hAnsi="Arial" w:cs="Arial"/>
          <w:sz w:val="20"/>
          <w:szCs w:val="20"/>
        </w:rPr>
      </w:pPr>
      <w:r w:rsidRPr="00AA48B0">
        <w:rPr>
          <w:rFonts w:ascii="Arial" w:hAnsi="Arial" w:cs="Arial"/>
          <w:sz w:val="20"/>
          <w:szCs w:val="20"/>
        </w:rPr>
        <w:t xml:space="preserve">Dirección de Servicios Ambientales </w:t>
      </w:r>
    </w:p>
    <w:p w:rsidR="008A6D10" w:rsidRPr="00AA48B0" w:rsidRDefault="008A6D10" w:rsidP="00AA48B0">
      <w:pPr>
        <w:spacing w:line="360" w:lineRule="auto"/>
        <w:jc w:val="both"/>
        <w:rPr>
          <w:rFonts w:ascii="Arial" w:hAnsi="Arial" w:cs="Arial"/>
          <w:bCs/>
          <w:sz w:val="20"/>
          <w:szCs w:val="20"/>
        </w:rPr>
      </w:pPr>
      <w:r w:rsidRPr="00AA48B0">
        <w:rPr>
          <w:rFonts w:ascii="Arial" w:eastAsiaTheme="minorEastAsia" w:hAnsi="Arial" w:cs="Arial"/>
          <w:i/>
          <w:sz w:val="20"/>
          <w:szCs w:val="20"/>
        </w:rPr>
        <w:t>Mantener anualmente al menos 300.000 ha de bosque y plantaciones sometidas al PPSA en el territorio continental</w:t>
      </w:r>
      <w:r w:rsidRPr="00AA48B0">
        <w:rPr>
          <w:rFonts w:ascii="Arial" w:eastAsiaTheme="minorEastAsia" w:hAnsi="Arial" w:cs="Arial"/>
          <w:sz w:val="20"/>
          <w:szCs w:val="20"/>
        </w:rPr>
        <w:t xml:space="preserve">, es una meta contenida en el Plan Nacional de Desarrollo 2015-2018, Alberto Cañas Escalante. Esta meta se encuentra dentro del programa 1.4 Programa de Conservación terrestre bajo varios modelos de gobernanza, cuyo resultado esperado es “Mejorada la gestión </w:t>
      </w:r>
      <w:r w:rsidRPr="00AA48B0">
        <w:rPr>
          <w:rFonts w:ascii="Arial" w:hAnsi="Arial" w:cs="Arial"/>
          <w:bCs/>
          <w:sz w:val="20"/>
          <w:szCs w:val="20"/>
        </w:rPr>
        <w:t>ambiental integrada que garantice el desarrollo y el bienestar humano y la sostenibilidad del patrimonio genético, natural y cultural”.</w:t>
      </w:r>
    </w:p>
    <w:p w:rsidR="008A6D10" w:rsidRPr="00AA48B0" w:rsidRDefault="008A6D10" w:rsidP="00AA48B0">
      <w:pPr>
        <w:spacing w:line="360" w:lineRule="auto"/>
        <w:jc w:val="both"/>
        <w:rPr>
          <w:rFonts w:ascii="Arial" w:hAnsi="Arial" w:cs="Arial"/>
          <w:bCs/>
          <w:sz w:val="20"/>
          <w:szCs w:val="20"/>
        </w:rPr>
      </w:pPr>
      <w:r w:rsidRPr="00AA48B0">
        <w:rPr>
          <w:rFonts w:ascii="Arial" w:hAnsi="Arial" w:cs="Arial"/>
          <w:bCs/>
          <w:sz w:val="20"/>
          <w:szCs w:val="20"/>
        </w:rPr>
        <w:lastRenderedPageBreak/>
        <w:t>Este año, se logró un resultado porcentual del 99% (</w:t>
      </w:r>
      <w:r w:rsidRPr="00AA48B0">
        <w:rPr>
          <w:rFonts w:ascii="Arial" w:hAnsi="Arial" w:cs="Arial"/>
          <w:b/>
          <w:bCs/>
          <w:sz w:val="20"/>
          <w:szCs w:val="20"/>
        </w:rPr>
        <w:t>296.978,38 has.</w:t>
      </w:r>
      <w:r w:rsidRPr="00AA48B0">
        <w:rPr>
          <w:rFonts w:ascii="Arial" w:hAnsi="Arial" w:cs="Arial"/>
          <w:bCs/>
          <w:sz w:val="20"/>
          <w:szCs w:val="20"/>
        </w:rPr>
        <w:t xml:space="preserve">), con </w:t>
      </w:r>
      <w:r w:rsidRPr="00AA48B0">
        <w:rPr>
          <w:rFonts w:ascii="Arial" w:hAnsi="Arial" w:cs="Arial"/>
          <w:bCs/>
          <w:i/>
          <w:sz w:val="20"/>
          <w:szCs w:val="20"/>
        </w:rPr>
        <w:t>944 beneficiarios</w:t>
      </w:r>
      <w:r w:rsidRPr="00AA48B0">
        <w:rPr>
          <w:rFonts w:ascii="Arial" w:hAnsi="Arial" w:cs="Arial"/>
          <w:bCs/>
          <w:sz w:val="20"/>
          <w:szCs w:val="20"/>
        </w:rPr>
        <w:t xml:space="preserve"> en todo el país de los cuales </w:t>
      </w:r>
      <w:r w:rsidRPr="00AA48B0">
        <w:rPr>
          <w:rFonts w:ascii="Arial" w:hAnsi="Arial" w:cs="Arial"/>
          <w:b/>
          <w:bCs/>
          <w:sz w:val="20"/>
          <w:szCs w:val="20"/>
        </w:rPr>
        <w:t>122 fueron mujeres</w:t>
      </w:r>
      <w:r w:rsidRPr="00AA48B0">
        <w:rPr>
          <w:rFonts w:ascii="Arial" w:hAnsi="Arial" w:cs="Arial"/>
          <w:bCs/>
          <w:sz w:val="20"/>
          <w:szCs w:val="20"/>
        </w:rPr>
        <w:t xml:space="preserve">. </w:t>
      </w:r>
    </w:p>
    <w:p w:rsidR="008A6D10" w:rsidRPr="00AA48B0" w:rsidRDefault="008A6D10" w:rsidP="00AA48B0">
      <w:pPr>
        <w:spacing w:line="360" w:lineRule="auto"/>
        <w:jc w:val="both"/>
        <w:rPr>
          <w:rFonts w:ascii="Arial" w:hAnsi="Arial" w:cs="Arial"/>
          <w:bCs/>
          <w:sz w:val="20"/>
          <w:szCs w:val="20"/>
        </w:rPr>
      </w:pPr>
      <w:r w:rsidRPr="00AA48B0">
        <w:rPr>
          <w:rFonts w:ascii="Arial" w:hAnsi="Arial" w:cs="Arial"/>
          <w:bCs/>
          <w:sz w:val="20"/>
          <w:szCs w:val="20"/>
        </w:rPr>
        <w:t xml:space="preserve">Con este resultado, se tiene un </w:t>
      </w:r>
      <w:r w:rsidRPr="00AA48B0">
        <w:rPr>
          <w:rFonts w:ascii="Arial" w:hAnsi="Arial" w:cs="Arial"/>
          <w:b/>
          <w:bCs/>
          <w:i/>
          <w:sz w:val="20"/>
          <w:szCs w:val="20"/>
        </w:rPr>
        <w:t>porcentaje de cobertura de 14,49% en tierras con vocación forestal</w:t>
      </w:r>
      <w:r w:rsidRPr="00AA48B0">
        <w:rPr>
          <w:rFonts w:ascii="Arial" w:hAnsi="Arial" w:cs="Arial"/>
          <w:bCs/>
          <w:sz w:val="20"/>
          <w:szCs w:val="20"/>
        </w:rPr>
        <w:t xml:space="preserve">, sometidas al PPSA y esto significa para este año, más de 200 mil hectáreas compensadas en las actividades de protección y manejo de bosque. </w:t>
      </w:r>
    </w:p>
    <w:p w:rsidR="008A6D10" w:rsidRPr="00AA48B0" w:rsidRDefault="008A6D10" w:rsidP="00AA48B0">
      <w:pPr>
        <w:spacing w:line="360" w:lineRule="auto"/>
        <w:jc w:val="both"/>
        <w:rPr>
          <w:rFonts w:ascii="Arial" w:hAnsi="Arial" w:cs="Arial"/>
          <w:bCs/>
          <w:sz w:val="20"/>
          <w:szCs w:val="20"/>
        </w:rPr>
      </w:pPr>
      <w:r w:rsidRPr="00AA48B0">
        <w:rPr>
          <w:rFonts w:ascii="Arial" w:hAnsi="Arial" w:cs="Arial"/>
          <w:bCs/>
          <w:sz w:val="20"/>
          <w:szCs w:val="20"/>
        </w:rPr>
        <w:t xml:space="preserve">Indudablemente, la modificación al reglamento de la ley forestal, que permite iniciar el PPSA con una resolución ministerial y no con un decreto ejecutivo ha mejorado el proceso del programa y ha permitido ejecutar aún más presupuesto y cubrir más hectáreas por año. Se espera, una vez afinado el sistema informático con el cual se facilita el programa a lo interno y externo, se obtengan mejores resultados de colocación, puesto que la demanda para entrar al programa es constante. </w:t>
      </w:r>
    </w:p>
    <w:p w:rsidR="00C45F11" w:rsidRPr="00AA48B0" w:rsidRDefault="00C45F11" w:rsidP="00AA48B0">
      <w:pPr>
        <w:spacing w:line="360" w:lineRule="auto"/>
        <w:jc w:val="both"/>
        <w:rPr>
          <w:rFonts w:ascii="Arial" w:hAnsi="Arial" w:cs="Arial"/>
          <w:bCs/>
          <w:sz w:val="20"/>
          <w:szCs w:val="20"/>
        </w:rPr>
      </w:pPr>
    </w:p>
    <w:p w:rsidR="008A6D10" w:rsidRPr="00AA48B0" w:rsidRDefault="008A6D10" w:rsidP="00AA48B0">
      <w:pPr>
        <w:spacing w:line="360" w:lineRule="auto"/>
        <w:jc w:val="center"/>
        <w:rPr>
          <w:rFonts w:ascii="Arial" w:hAnsi="Arial" w:cs="Arial"/>
          <w:bCs/>
          <w:sz w:val="20"/>
          <w:szCs w:val="20"/>
        </w:rPr>
      </w:pPr>
      <w:r w:rsidRPr="00AA48B0">
        <w:rPr>
          <w:rFonts w:ascii="Arial" w:hAnsi="Arial" w:cs="Arial"/>
          <w:bCs/>
          <w:sz w:val="20"/>
          <w:szCs w:val="20"/>
        </w:rPr>
        <w:t>Cuadro 1</w:t>
      </w:r>
    </w:p>
    <w:p w:rsidR="00C45F11" w:rsidRPr="00AA48B0" w:rsidRDefault="00C45F11" w:rsidP="00AA48B0">
      <w:pPr>
        <w:spacing w:line="360" w:lineRule="auto"/>
        <w:jc w:val="center"/>
        <w:rPr>
          <w:rFonts w:ascii="Arial" w:hAnsi="Arial" w:cs="Arial"/>
          <w:sz w:val="20"/>
          <w:szCs w:val="20"/>
        </w:rPr>
      </w:pPr>
      <w:r w:rsidRPr="00AA48B0">
        <w:rPr>
          <w:rFonts w:ascii="Arial" w:hAnsi="Arial" w:cs="Arial"/>
          <w:sz w:val="20"/>
          <w:szCs w:val="20"/>
        </w:rPr>
        <w:t>Cantidad de hectáreas pagadas PPSA por región de Mideplan</w:t>
      </w:r>
    </w:p>
    <w:p w:rsidR="00C45F11" w:rsidRPr="00AA48B0" w:rsidRDefault="00C45F11" w:rsidP="00AA48B0">
      <w:pPr>
        <w:spacing w:line="360" w:lineRule="auto"/>
        <w:jc w:val="center"/>
        <w:rPr>
          <w:rFonts w:ascii="Arial" w:hAnsi="Arial" w:cs="Arial"/>
          <w:sz w:val="20"/>
          <w:szCs w:val="20"/>
        </w:rPr>
      </w:pPr>
      <w:r w:rsidRPr="00AA48B0">
        <w:rPr>
          <w:rFonts w:ascii="Arial" w:hAnsi="Arial" w:cs="Arial"/>
          <w:sz w:val="20"/>
          <w:szCs w:val="20"/>
        </w:rPr>
        <w:t>Al 31 de diciembre de 2017</w:t>
      </w:r>
    </w:p>
    <w:tbl>
      <w:tblPr>
        <w:tblStyle w:val="Tabladelista3-nfasis1"/>
        <w:tblW w:w="2830" w:type="dxa"/>
        <w:jc w:val="center"/>
        <w:tblLook w:val="04A0" w:firstRow="1" w:lastRow="0" w:firstColumn="1" w:lastColumn="0" w:noHBand="0" w:noVBand="1"/>
      </w:tblPr>
      <w:tblGrid>
        <w:gridCol w:w="1680"/>
        <w:gridCol w:w="1150"/>
      </w:tblGrid>
      <w:tr w:rsidR="00C45F11" w:rsidRPr="00AA48B0" w:rsidTr="00C45F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680" w:type="dxa"/>
            <w:noWrap/>
            <w:hideMark/>
          </w:tcPr>
          <w:p w:rsidR="00C45F11" w:rsidRPr="00AA48B0" w:rsidRDefault="00C45F11" w:rsidP="00AA48B0">
            <w:pPr>
              <w:jc w:val="both"/>
              <w:rPr>
                <w:rFonts w:ascii="Arial" w:hAnsi="Arial" w:cs="Arial"/>
                <w:color w:val="000000"/>
                <w:sz w:val="18"/>
                <w:szCs w:val="20"/>
              </w:rPr>
            </w:pPr>
            <w:r w:rsidRPr="00AA48B0">
              <w:rPr>
                <w:rFonts w:ascii="Arial" w:hAnsi="Arial" w:cs="Arial"/>
                <w:color w:val="000000"/>
                <w:sz w:val="18"/>
                <w:szCs w:val="20"/>
              </w:rPr>
              <w:t>Región</w:t>
            </w:r>
          </w:p>
        </w:tc>
        <w:tc>
          <w:tcPr>
            <w:tcW w:w="1150" w:type="dxa"/>
            <w:noWrap/>
            <w:hideMark/>
          </w:tcPr>
          <w:p w:rsidR="00C45F11" w:rsidRPr="00AA48B0" w:rsidRDefault="00C45F11" w:rsidP="00AA48B0">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0"/>
              </w:rPr>
            </w:pPr>
            <w:r w:rsidRPr="00AA48B0">
              <w:rPr>
                <w:rFonts w:ascii="Arial" w:hAnsi="Arial" w:cs="Arial"/>
                <w:color w:val="000000"/>
                <w:sz w:val="18"/>
                <w:szCs w:val="20"/>
              </w:rPr>
              <w:t xml:space="preserve">Hectáreas </w:t>
            </w:r>
          </w:p>
        </w:tc>
      </w:tr>
      <w:tr w:rsidR="00C45F11" w:rsidRPr="00AA48B0" w:rsidTr="00C45F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0" w:type="dxa"/>
            <w:noWrap/>
            <w:hideMark/>
          </w:tcPr>
          <w:p w:rsidR="00C45F11" w:rsidRPr="00AA48B0" w:rsidRDefault="00C45F11" w:rsidP="00AA48B0">
            <w:pPr>
              <w:jc w:val="both"/>
              <w:rPr>
                <w:rFonts w:ascii="Arial" w:hAnsi="Arial" w:cs="Arial"/>
                <w:color w:val="000000"/>
                <w:sz w:val="18"/>
                <w:szCs w:val="20"/>
              </w:rPr>
            </w:pPr>
            <w:r w:rsidRPr="00AA48B0">
              <w:rPr>
                <w:rFonts w:ascii="Arial" w:hAnsi="Arial" w:cs="Arial"/>
                <w:color w:val="000000"/>
                <w:sz w:val="18"/>
                <w:szCs w:val="20"/>
              </w:rPr>
              <w:t>Atlántico</w:t>
            </w:r>
          </w:p>
        </w:tc>
        <w:tc>
          <w:tcPr>
            <w:tcW w:w="1150" w:type="dxa"/>
            <w:noWrap/>
            <w:hideMark/>
          </w:tcPr>
          <w:p w:rsidR="00C45F11" w:rsidRPr="00AA48B0" w:rsidRDefault="00C45F11" w:rsidP="00AA48B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AA48B0">
              <w:rPr>
                <w:rFonts w:ascii="Arial" w:hAnsi="Arial" w:cs="Arial"/>
                <w:color w:val="000000"/>
                <w:sz w:val="18"/>
                <w:szCs w:val="20"/>
              </w:rPr>
              <w:t xml:space="preserve">67.973,32 </w:t>
            </w:r>
          </w:p>
        </w:tc>
      </w:tr>
      <w:tr w:rsidR="00C45F11" w:rsidRPr="00AA48B0" w:rsidTr="00C45F11">
        <w:trPr>
          <w:trHeight w:val="300"/>
          <w:jc w:val="center"/>
        </w:trPr>
        <w:tc>
          <w:tcPr>
            <w:cnfStyle w:val="001000000000" w:firstRow="0" w:lastRow="0" w:firstColumn="1" w:lastColumn="0" w:oddVBand="0" w:evenVBand="0" w:oddHBand="0" w:evenHBand="0" w:firstRowFirstColumn="0" w:firstRowLastColumn="0" w:lastRowFirstColumn="0" w:lastRowLastColumn="0"/>
            <w:tcW w:w="1680" w:type="dxa"/>
            <w:noWrap/>
            <w:hideMark/>
          </w:tcPr>
          <w:p w:rsidR="00C45F11" w:rsidRPr="00AA48B0" w:rsidRDefault="00C45F11" w:rsidP="00AA48B0">
            <w:pPr>
              <w:jc w:val="both"/>
              <w:rPr>
                <w:rFonts w:ascii="Arial" w:hAnsi="Arial" w:cs="Arial"/>
                <w:color w:val="000000"/>
                <w:sz w:val="18"/>
                <w:szCs w:val="20"/>
              </w:rPr>
            </w:pPr>
            <w:r w:rsidRPr="00AA48B0">
              <w:rPr>
                <w:rFonts w:ascii="Arial" w:hAnsi="Arial" w:cs="Arial"/>
                <w:color w:val="000000"/>
                <w:sz w:val="18"/>
                <w:szCs w:val="20"/>
              </w:rPr>
              <w:t>Central</w:t>
            </w:r>
          </w:p>
        </w:tc>
        <w:tc>
          <w:tcPr>
            <w:tcW w:w="1150" w:type="dxa"/>
            <w:noWrap/>
            <w:hideMark/>
          </w:tcPr>
          <w:p w:rsidR="00C45F11" w:rsidRPr="00AA48B0" w:rsidRDefault="00C45F11" w:rsidP="00AA48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AA48B0">
              <w:rPr>
                <w:rFonts w:ascii="Arial" w:hAnsi="Arial" w:cs="Arial"/>
                <w:color w:val="000000"/>
                <w:sz w:val="18"/>
                <w:szCs w:val="20"/>
              </w:rPr>
              <w:t xml:space="preserve">41.652,14 </w:t>
            </w:r>
          </w:p>
        </w:tc>
      </w:tr>
      <w:tr w:rsidR="00C45F11" w:rsidRPr="00AA48B0" w:rsidTr="00C45F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0" w:type="dxa"/>
            <w:noWrap/>
            <w:hideMark/>
          </w:tcPr>
          <w:p w:rsidR="00C45F11" w:rsidRPr="00AA48B0" w:rsidRDefault="00C45F11" w:rsidP="00AA48B0">
            <w:pPr>
              <w:jc w:val="both"/>
              <w:rPr>
                <w:rFonts w:ascii="Arial" w:hAnsi="Arial" w:cs="Arial"/>
                <w:color w:val="000000"/>
                <w:sz w:val="18"/>
                <w:szCs w:val="20"/>
              </w:rPr>
            </w:pPr>
            <w:r w:rsidRPr="00AA48B0">
              <w:rPr>
                <w:rFonts w:ascii="Arial" w:hAnsi="Arial" w:cs="Arial"/>
                <w:color w:val="000000"/>
                <w:sz w:val="18"/>
                <w:szCs w:val="20"/>
              </w:rPr>
              <w:t>Chorotega</w:t>
            </w:r>
          </w:p>
        </w:tc>
        <w:tc>
          <w:tcPr>
            <w:tcW w:w="1150" w:type="dxa"/>
            <w:noWrap/>
            <w:hideMark/>
          </w:tcPr>
          <w:p w:rsidR="00C45F11" w:rsidRPr="00AA48B0" w:rsidRDefault="00C45F11" w:rsidP="00AA48B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AA48B0">
              <w:rPr>
                <w:rFonts w:ascii="Arial" w:hAnsi="Arial" w:cs="Arial"/>
                <w:color w:val="000000"/>
                <w:sz w:val="18"/>
                <w:szCs w:val="20"/>
              </w:rPr>
              <w:t xml:space="preserve">47.963,07 </w:t>
            </w:r>
          </w:p>
        </w:tc>
      </w:tr>
      <w:tr w:rsidR="00C45F11" w:rsidRPr="00AA48B0" w:rsidTr="00C45F11">
        <w:trPr>
          <w:trHeight w:val="300"/>
          <w:jc w:val="center"/>
        </w:trPr>
        <w:tc>
          <w:tcPr>
            <w:cnfStyle w:val="001000000000" w:firstRow="0" w:lastRow="0" w:firstColumn="1" w:lastColumn="0" w:oddVBand="0" w:evenVBand="0" w:oddHBand="0" w:evenHBand="0" w:firstRowFirstColumn="0" w:firstRowLastColumn="0" w:lastRowFirstColumn="0" w:lastRowLastColumn="0"/>
            <w:tcW w:w="1680" w:type="dxa"/>
            <w:noWrap/>
            <w:hideMark/>
          </w:tcPr>
          <w:p w:rsidR="00C45F11" w:rsidRPr="00AA48B0" w:rsidRDefault="00C45F11" w:rsidP="00AA48B0">
            <w:pPr>
              <w:jc w:val="both"/>
              <w:rPr>
                <w:rFonts w:ascii="Arial" w:hAnsi="Arial" w:cs="Arial"/>
                <w:color w:val="000000"/>
                <w:sz w:val="18"/>
                <w:szCs w:val="20"/>
              </w:rPr>
            </w:pPr>
            <w:r w:rsidRPr="00AA48B0">
              <w:rPr>
                <w:rFonts w:ascii="Arial" w:hAnsi="Arial" w:cs="Arial"/>
                <w:color w:val="000000"/>
                <w:sz w:val="18"/>
                <w:szCs w:val="20"/>
              </w:rPr>
              <w:t>Pacífico</w:t>
            </w:r>
          </w:p>
        </w:tc>
        <w:tc>
          <w:tcPr>
            <w:tcW w:w="1150" w:type="dxa"/>
            <w:noWrap/>
            <w:hideMark/>
          </w:tcPr>
          <w:p w:rsidR="00C45F11" w:rsidRPr="00AA48B0" w:rsidRDefault="00C45F11" w:rsidP="00AA48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AA48B0">
              <w:rPr>
                <w:rFonts w:ascii="Arial" w:hAnsi="Arial" w:cs="Arial"/>
                <w:color w:val="000000"/>
                <w:sz w:val="18"/>
                <w:szCs w:val="20"/>
              </w:rPr>
              <w:t xml:space="preserve">19.518,88 </w:t>
            </w:r>
          </w:p>
        </w:tc>
      </w:tr>
      <w:tr w:rsidR="00C45F11" w:rsidRPr="00AA48B0" w:rsidTr="00C45F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0" w:type="dxa"/>
            <w:noWrap/>
            <w:hideMark/>
          </w:tcPr>
          <w:p w:rsidR="00C45F11" w:rsidRPr="00AA48B0" w:rsidRDefault="00C45F11" w:rsidP="00AA48B0">
            <w:pPr>
              <w:jc w:val="both"/>
              <w:rPr>
                <w:rFonts w:ascii="Arial" w:hAnsi="Arial" w:cs="Arial"/>
                <w:color w:val="000000"/>
                <w:sz w:val="18"/>
                <w:szCs w:val="20"/>
              </w:rPr>
            </w:pPr>
            <w:r w:rsidRPr="00AA48B0">
              <w:rPr>
                <w:rFonts w:ascii="Arial" w:hAnsi="Arial" w:cs="Arial"/>
                <w:color w:val="000000"/>
                <w:sz w:val="18"/>
                <w:szCs w:val="20"/>
              </w:rPr>
              <w:t>Brunca</w:t>
            </w:r>
          </w:p>
        </w:tc>
        <w:tc>
          <w:tcPr>
            <w:tcW w:w="1150" w:type="dxa"/>
            <w:noWrap/>
            <w:hideMark/>
          </w:tcPr>
          <w:p w:rsidR="00C45F11" w:rsidRPr="00AA48B0" w:rsidRDefault="00C45F11" w:rsidP="00AA48B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AA48B0">
              <w:rPr>
                <w:rFonts w:ascii="Arial" w:hAnsi="Arial" w:cs="Arial"/>
                <w:color w:val="000000"/>
                <w:sz w:val="18"/>
                <w:szCs w:val="20"/>
              </w:rPr>
              <w:t xml:space="preserve">67.407,64 </w:t>
            </w:r>
          </w:p>
        </w:tc>
      </w:tr>
      <w:tr w:rsidR="00C45F11" w:rsidRPr="00AA48B0" w:rsidTr="00C45F11">
        <w:trPr>
          <w:trHeight w:val="300"/>
          <w:jc w:val="center"/>
        </w:trPr>
        <w:tc>
          <w:tcPr>
            <w:cnfStyle w:val="001000000000" w:firstRow="0" w:lastRow="0" w:firstColumn="1" w:lastColumn="0" w:oddVBand="0" w:evenVBand="0" w:oddHBand="0" w:evenHBand="0" w:firstRowFirstColumn="0" w:firstRowLastColumn="0" w:lastRowFirstColumn="0" w:lastRowLastColumn="0"/>
            <w:tcW w:w="1680" w:type="dxa"/>
            <w:noWrap/>
            <w:hideMark/>
          </w:tcPr>
          <w:p w:rsidR="00C45F11" w:rsidRPr="00AA48B0" w:rsidRDefault="00C45F11" w:rsidP="00AA48B0">
            <w:pPr>
              <w:jc w:val="both"/>
              <w:rPr>
                <w:rFonts w:ascii="Arial" w:hAnsi="Arial" w:cs="Arial"/>
                <w:color w:val="000000"/>
                <w:sz w:val="18"/>
                <w:szCs w:val="20"/>
              </w:rPr>
            </w:pPr>
            <w:r w:rsidRPr="00AA48B0">
              <w:rPr>
                <w:rFonts w:ascii="Arial" w:hAnsi="Arial" w:cs="Arial"/>
                <w:color w:val="000000"/>
                <w:sz w:val="18"/>
                <w:szCs w:val="20"/>
              </w:rPr>
              <w:t>Huetar</w:t>
            </w:r>
          </w:p>
        </w:tc>
        <w:tc>
          <w:tcPr>
            <w:tcW w:w="1150" w:type="dxa"/>
            <w:noWrap/>
            <w:hideMark/>
          </w:tcPr>
          <w:p w:rsidR="00C45F11" w:rsidRPr="00AA48B0" w:rsidRDefault="00C45F11" w:rsidP="00AA48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AA48B0">
              <w:rPr>
                <w:rFonts w:ascii="Arial" w:hAnsi="Arial" w:cs="Arial"/>
                <w:color w:val="000000"/>
                <w:sz w:val="18"/>
                <w:szCs w:val="20"/>
              </w:rPr>
              <w:t xml:space="preserve">52.463,34 </w:t>
            </w:r>
          </w:p>
        </w:tc>
      </w:tr>
      <w:tr w:rsidR="00C45F11" w:rsidRPr="00AA48B0" w:rsidTr="00C45F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0" w:type="dxa"/>
            <w:noWrap/>
            <w:hideMark/>
          </w:tcPr>
          <w:p w:rsidR="00C45F11" w:rsidRPr="00AA48B0" w:rsidRDefault="00C45F11" w:rsidP="00AA48B0">
            <w:pPr>
              <w:jc w:val="both"/>
              <w:rPr>
                <w:rFonts w:ascii="Arial" w:hAnsi="Arial" w:cs="Arial"/>
                <w:color w:val="000000"/>
                <w:sz w:val="18"/>
                <w:szCs w:val="20"/>
              </w:rPr>
            </w:pPr>
            <w:r w:rsidRPr="00AA48B0">
              <w:rPr>
                <w:rFonts w:ascii="Arial" w:hAnsi="Arial" w:cs="Arial"/>
                <w:color w:val="000000"/>
                <w:sz w:val="18"/>
                <w:szCs w:val="20"/>
              </w:rPr>
              <w:t>Total</w:t>
            </w:r>
          </w:p>
        </w:tc>
        <w:tc>
          <w:tcPr>
            <w:tcW w:w="1150" w:type="dxa"/>
            <w:noWrap/>
            <w:hideMark/>
          </w:tcPr>
          <w:p w:rsidR="00C45F11" w:rsidRPr="00AA48B0" w:rsidRDefault="00C45F11" w:rsidP="00AA48B0">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20"/>
              </w:rPr>
            </w:pPr>
            <w:r w:rsidRPr="00AA48B0">
              <w:rPr>
                <w:rFonts w:ascii="Arial" w:hAnsi="Arial" w:cs="Arial"/>
                <w:b/>
                <w:color w:val="000000"/>
                <w:sz w:val="18"/>
                <w:szCs w:val="20"/>
              </w:rPr>
              <w:t xml:space="preserve">296.978,38 </w:t>
            </w:r>
          </w:p>
        </w:tc>
      </w:tr>
    </w:tbl>
    <w:p w:rsidR="00C45F11" w:rsidRPr="00AA48B0" w:rsidRDefault="00C45F11" w:rsidP="00AA48B0">
      <w:pPr>
        <w:pStyle w:val="Sangra2detindependiente"/>
        <w:ind w:left="0"/>
        <w:jc w:val="both"/>
        <w:rPr>
          <w:rFonts w:ascii="Arial" w:hAnsi="Arial" w:cs="Arial"/>
          <w:bCs/>
          <w:sz w:val="20"/>
          <w:szCs w:val="20"/>
        </w:rPr>
      </w:pPr>
      <w:r w:rsidRPr="00AA48B0">
        <w:rPr>
          <w:rFonts w:ascii="Arial" w:hAnsi="Arial" w:cs="Arial"/>
          <w:bCs/>
          <w:sz w:val="20"/>
          <w:szCs w:val="20"/>
        </w:rPr>
        <w:t xml:space="preserve">Fuente: Dirección de Servicios Ambientales, Fonafifo 2018. </w:t>
      </w:r>
    </w:p>
    <w:p w:rsidR="00C45F11" w:rsidRPr="00AA48B0" w:rsidRDefault="00C45F11" w:rsidP="00AA48B0">
      <w:pPr>
        <w:spacing w:line="360" w:lineRule="auto"/>
        <w:jc w:val="both"/>
        <w:rPr>
          <w:rFonts w:ascii="Arial" w:hAnsi="Arial" w:cs="Arial"/>
          <w:bCs/>
          <w:sz w:val="20"/>
          <w:szCs w:val="20"/>
          <w:lang w:val="es-MX"/>
        </w:rPr>
      </w:pPr>
    </w:p>
    <w:p w:rsidR="00C45F11" w:rsidRPr="00AA48B0" w:rsidRDefault="00C45F11" w:rsidP="00AA48B0">
      <w:pPr>
        <w:spacing w:line="360" w:lineRule="auto"/>
        <w:jc w:val="both"/>
        <w:rPr>
          <w:rFonts w:ascii="Arial" w:hAnsi="Arial" w:cs="Arial"/>
          <w:bCs/>
          <w:sz w:val="20"/>
          <w:szCs w:val="20"/>
          <w:lang w:val="es-MX"/>
        </w:rPr>
      </w:pPr>
      <w:r w:rsidRPr="00AA48B0">
        <w:rPr>
          <w:rFonts w:ascii="Arial" w:hAnsi="Arial" w:cs="Arial"/>
          <w:bCs/>
          <w:sz w:val="20"/>
          <w:szCs w:val="20"/>
          <w:lang w:val="es-MX"/>
        </w:rPr>
        <w:t xml:space="preserve">Se recibió más de 1500 solicitudes de ingreso al PPSA, que significaron 144.304,5 hectáreas y 441.975 árboles de los cuales, se concretaron en más de 57 mil hectáreas nuevas dentro del programa y alrededor de 11 mil hectáreas dispuestas en territorios indígenas. </w:t>
      </w:r>
    </w:p>
    <w:p w:rsidR="00C45F11" w:rsidRPr="00AA48B0" w:rsidRDefault="00C45F11" w:rsidP="00AA48B0">
      <w:pPr>
        <w:spacing w:line="360" w:lineRule="auto"/>
        <w:jc w:val="both"/>
        <w:rPr>
          <w:rFonts w:ascii="Arial" w:hAnsi="Arial" w:cs="Arial"/>
          <w:bCs/>
          <w:sz w:val="20"/>
          <w:szCs w:val="20"/>
          <w:lang w:val="es-MX"/>
        </w:rPr>
      </w:pPr>
      <w:r w:rsidRPr="00AA48B0">
        <w:rPr>
          <w:rFonts w:ascii="Arial" w:hAnsi="Arial" w:cs="Arial"/>
          <w:bCs/>
          <w:sz w:val="20"/>
          <w:szCs w:val="20"/>
          <w:lang w:val="es-MX"/>
        </w:rPr>
        <w:t>El programa, aporta al mejoramiento de la calidad de vida, asegurando más de 127 millones de toneladas de carbono equivalente contenidas en los proyectos vigentes de PSA y 1,3 millones de toneladas emisiones de carbono equivalente mitigado.</w:t>
      </w:r>
    </w:p>
    <w:p w:rsidR="00C45F11" w:rsidRPr="00AA48B0" w:rsidRDefault="00C45F11" w:rsidP="00AA48B0">
      <w:pPr>
        <w:spacing w:line="360" w:lineRule="auto"/>
        <w:jc w:val="both"/>
        <w:rPr>
          <w:rFonts w:ascii="Arial" w:hAnsi="Arial" w:cs="Arial"/>
          <w:bCs/>
          <w:sz w:val="20"/>
          <w:szCs w:val="20"/>
          <w:lang w:val="es-MX"/>
        </w:rPr>
      </w:pPr>
      <w:r w:rsidRPr="00AA48B0">
        <w:rPr>
          <w:rFonts w:ascii="Arial" w:hAnsi="Arial" w:cs="Arial"/>
          <w:bCs/>
          <w:sz w:val="20"/>
          <w:szCs w:val="20"/>
          <w:lang w:val="es-MX"/>
        </w:rPr>
        <w:lastRenderedPageBreak/>
        <w:t xml:space="preserve">Este año, se realizaron más de 400 visitas a los proyectos bajo el Programa para el correspondiente monitoreo de fincas, lo que complementa los esfuerzos institucionales por entregar un servicio de calidad y oportuno. </w:t>
      </w:r>
    </w:p>
    <w:p w:rsidR="00C45F11" w:rsidRPr="00AA48B0" w:rsidRDefault="00C45F11" w:rsidP="00AA48B0">
      <w:pPr>
        <w:jc w:val="both"/>
        <w:rPr>
          <w:rFonts w:ascii="Arial" w:hAnsi="Arial" w:cs="Arial"/>
          <w:bCs/>
          <w:sz w:val="20"/>
          <w:szCs w:val="20"/>
          <w:lang w:val="es-MX"/>
        </w:rPr>
      </w:pPr>
    </w:p>
    <w:p w:rsidR="00FA5D0D" w:rsidRPr="00AA48B0" w:rsidRDefault="00FA5D0D" w:rsidP="00AA48B0">
      <w:pPr>
        <w:pStyle w:val="Subttulo"/>
        <w:jc w:val="both"/>
        <w:rPr>
          <w:rFonts w:ascii="Arial" w:hAnsi="Arial" w:cs="Arial"/>
          <w:sz w:val="20"/>
          <w:szCs w:val="20"/>
        </w:rPr>
      </w:pPr>
      <w:r w:rsidRPr="00AA48B0">
        <w:rPr>
          <w:rFonts w:ascii="Arial" w:hAnsi="Arial" w:cs="Arial"/>
          <w:sz w:val="20"/>
          <w:szCs w:val="20"/>
        </w:rPr>
        <w:t xml:space="preserve">Oficinas Regionales </w:t>
      </w:r>
    </w:p>
    <w:p w:rsidR="003A3950" w:rsidRPr="00AA48B0" w:rsidRDefault="003A3950" w:rsidP="00AA48B0">
      <w:pPr>
        <w:tabs>
          <w:tab w:val="left" w:pos="7515"/>
        </w:tabs>
        <w:spacing w:line="360" w:lineRule="auto"/>
        <w:jc w:val="both"/>
        <w:rPr>
          <w:rFonts w:ascii="Arial" w:hAnsi="Arial" w:cs="Arial"/>
          <w:sz w:val="20"/>
          <w:szCs w:val="20"/>
        </w:rPr>
      </w:pPr>
      <w:r w:rsidRPr="00AA48B0">
        <w:rPr>
          <w:rFonts w:ascii="Arial" w:hAnsi="Arial" w:cs="Arial"/>
          <w:sz w:val="20"/>
          <w:szCs w:val="20"/>
        </w:rPr>
        <w:t xml:space="preserve">Las oficinas regionales en general, vieron mayormente afectada la programación de avance de algunos indicadores, lo que mostró un comportamiento diferente al esperado en el año, sin embargo, los ajustes fueron realizados con precisión y de manera oportuna por los funcionarios a cargo de cada una de las oficinas regionales. </w:t>
      </w:r>
    </w:p>
    <w:p w:rsidR="003A3950" w:rsidRPr="00AA48B0" w:rsidRDefault="003A3950" w:rsidP="00AA48B0">
      <w:pPr>
        <w:jc w:val="center"/>
        <w:rPr>
          <w:rFonts w:ascii="Arial" w:hAnsi="Arial" w:cs="Arial"/>
          <w:i/>
          <w:sz w:val="20"/>
          <w:szCs w:val="20"/>
        </w:rPr>
      </w:pPr>
      <w:r w:rsidRPr="00AA48B0">
        <w:rPr>
          <w:rFonts w:ascii="Arial" w:hAnsi="Arial" w:cs="Arial"/>
          <w:sz w:val="20"/>
          <w:szCs w:val="20"/>
        </w:rPr>
        <w:t>Cuadro 2</w:t>
      </w:r>
    </w:p>
    <w:p w:rsidR="003A3950" w:rsidRPr="00AA48B0" w:rsidRDefault="003A3950" w:rsidP="00AA48B0">
      <w:pPr>
        <w:tabs>
          <w:tab w:val="left" w:pos="7515"/>
        </w:tabs>
        <w:spacing w:line="360" w:lineRule="auto"/>
        <w:jc w:val="center"/>
        <w:rPr>
          <w:rFonts w:ascii="Arial" w:hAnsi="Arial" w:cs="Arial"/>
          <w:sz w:val="20"/>
          <w:szCs w:val="20"/>
        </w:rPr>
      </w:pPr>
      <w:r w:rsidRPr="00AA48B0">
        <w:rPr>
          <w:rFonts w:ascii="Arial" w:hAnsi="Arial" w:cs="Arial"/>
          <w:sz w:val="20"/>
          <w:szCs w:val="20"/>
        </w:rPr>
        <w:t>Avance Oficinas Regionales</w:t>
      </w:r>
    </w:p>
    <w:p w:rsidR="003A3950" w:rsidRPr="00AA48B0" w:rsidRDefault="003A3950" w:rsidP="00AA48B0">
      <w:pPr>
        <w:tabs>
          <w:tab w:val="left" w:pos="7515"/>
        </w:tabs>
        <w:spacing w:line="360" w:lineRule="auto"/>
        <w:jc w:val="center"/>
        <w:rPr>
          <w:rFonts w:ascii="Arial" w:hAnsi="Arial" w:cs="Arial"/>
          <w:sz w:val="20"/>
          <w:szCs w:val="20"/>
        </w:rPr>
      </w:pPr>
      <w:r w:rsidRPr="00AA48B0">
        <w:rPr>
          <w:rFonts w:ascii="Arial" w:hAnsi="Arial" w:cs="Arial"/>
          <w:sz w:val="20"/>
          <w:szCs w:val="20"/>
        </w:rPr>
        <w:t>Al 31 de diciembre de 2017</w:t>
      </w:r>
    </w:p>
    <w:tbl>
      <w:tblPr>
        <w:tblStyle w:val="Tabladecuadrcula6concolores-nfasis2"/>
        <w:tblW w:w="0" w:type="auto"/>
        <w:tblLayout w:type="fixed"/>
        <w:tblLook w:val="04A0" w:firstRow="1" w:lastRow="0" w:firstColumn="1" w:lastColumn="0" w:noHBand="0" w:noVBand="1"/>
      </w:tblPr>
      <w:tblGrid>
        <w:gridCol w:w="1286"/>
        <w:gridCol w:w="1257"/>
        <w:gridCol w:w="1257"/>
        <w:gridCol w:w="1257"/>
        <w:gridCol w:w="1257"/>
        <w:gridCol w:w="1257"/>
        <w:gridCol w:w="1257"/>
      </w:tblGrid>
      <w:tr w:rsidR="003A3950" w:rsidRPr="00AA48B0" w:rsidTr="003A3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AA48B0">
            <w:pPr>
              <w:tabs>
                <w:tab w:val="left" w:pos="7515"/>
              </w:tabs>
              <w:spacing w:line="360" w:lineRule="auto"/>
              <w:jc w:val="center"/>
              <w:rPr>
                <w:rFonts w:ascii="Arial" w:hAnsi="Arial" w:cs="Arial"/>
                <w:sz w:val="16"/>
                <w:szCs w:val="16"/>
              </w:rPr>
            </w:pPr>
            <w:r w:rsidRPr="00AA48B0">
              <w:rPr>
                <w:rFonts w:ascii="Arial" w:hAnsi="Arial" w:cs="Arial"/>
                <w:sz w:val="16"/>
                <w:szCs w:val="16"/>
              </w:rPr>
              <w:t>Oficina Regional</w:t>
            </w:r>
          </w:p>
        </w:tc>
        <w:tc>
          <w:tcPr>
            <w:tcW w:w="1257" w:type="dxa"/>
            <w:vAlign w:val="center"/>
          </w:tcPr>
          <w:p w:rsidR="003A3950" w:rsidRPr="00AA48B0" w:rsidRDefault="003A3950" w:rsidP="00AA48B0">
            <w:pPr>
              <w:tabs>
                <w:tab w:val="left" w:pos="751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Solicitudes Recibidas</w:t>
            </w:r>
          </w:p>
        </w:tc>
        <w:tc>
          <w:tcPr>
            <w:tcW w:w="1257" w:type="dxa"/>
            <w:vAlign w:val="center"/>
          </w:tcPr>
          <w:p w:rsidR="003A3950" w:rsidRPr="00AA48B0" w:rsidRDefault="003A3950" w:rsidP="00AA48B0">
            <w:pPr>
              <w:tabs>
                <w:tab w:val="left" w:pos="751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Contratos Formalizados</w:t>
            </w:r>
          </w:p>
        </w:tc>
        <w:tc>
          <w:tcPr>
            <w:tcW w:w="1257" w:type="dxa"/>
            <w:vAlign w:val="center"/>
          </w:tcPr>
          <w:p w:rsidR="003A3950" w:rsidRPr="00AA48B0" w:rsidRDefault="003A3950" w:rsidP="00AA48B0">
            <w:pPr>
              <w:tabs>
                <w:tab w:val="left" w:pos="751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Contratos formalizados de periodos anteriores</w:t>
            </w:r>
          </w:p>
        </w:tc>
        <w:tc>
          <w:tcPr>
            <w:tcW w:w="1257" w:type="dxa"/>
            <w:vAlign w:val="center"/>
          </w:tcPr>
          <w:p w:rsidR="003A3950" w:rsidRPr="00AA48B0" w:rsidRDefault="003A3950" w:rsidP="00AA48B0">
            <w:pPr>
              <w:tabs>
                <w:tab w:val="left" w:pos="751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Porcentaje de fincas visitadas</w:t>
            </w:r>
          </w:p>
        </w:tc>
        <w:tc>
          <w:tcPr>
            <w:tcW w:w="1257" w:type="dxa"/>
            <w:vAlign w:val="center"/>
          </w:tcPr>
          <w:p w:rsidR="003A3950" w:rsidRPr="00AA48B0" w:rsidRDefault="003A3950" w:rsidP="00AA48B0">
            <w:pPr>
              <w:tabs>
                <w:tab w:val="left" w:pos="751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Finiquitos</w:t>
            </w:r>
          </w:p>
        </w:tc>
        <w:tc>
          <w:tcPr>
            <w:tcW w:w="1257" w:type="dxa"/>
            <w:vAlign w:val="center"/>
          </w:tcPr>
          <w:p w:rsidR="003A3950" w:rsidRPr="00AA48B0" w:rsidRDefault="003A3950" w:rsidP="00AA48B0">
            <w:pPr>
              <w:tabs>
                <w:tab w:val="left" w:pos="751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6"/>
              </w:rPr>
            </w:pPr>
            <w:r w:rsidRPr="00AA48B0">
              <w:rPr>
                <w:rFonts w:ascii="Arial" w:hAnsi="Arial" w:cs="Arial"/>
                <w:sz w:val="14"/>
                <w:szCs w:val="16"/>
              </w:rPr>
              <w:t>Modificaciones</w:t>
            </w:r>
          </w:p>
        </w:tc>
      </w:tr>
      <w:tr w:rsidR="003A3950" w:rsidRPr="00AA48B0" w:rsidTr="002C7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D7183B">
            <w:pPr>
              <w:tabs>
                <w:tab w:val="left" w:pos="7515"/>
              </w:tabs>
              <w:spacing w:line="360" w:lineRule="auto"/>
              <w:rPr>
                <w:rFonts w:ascii="Arial" w:hAnsi="Arial" w:cs="Arial"/>
                <w:sz w:val="16"/>
                <w:szCs w:val="16"/>
              </w:rPr>
            </w:pPr>
            <w:r w:rsidRPr="00AA48B0">
              <w:rPr>
                <w:rFonts w:ascii="Arial" w:hAnsi="Arial" w:cs="Arial"/>
                <w:sz w:val="16"/>
                <w:szCs w:val="16"/>
              </w:rPr>
              <w:t xml:space="preserve">Cañas </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139</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65</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15</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5%</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10</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24</w:t>
            </w:r>
          </w:p>
        </w:tc>
      </w:tr>
      <w:tr w:rsidR="003A3950" w:rsidRPr="00AA48B0" w:rsidTr="002C7753">
        <w:trPr>
          <w:trHeight w:val="552"/>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D7183B">
            <w:pPr>
              <w:tabs>
                <w:tab w:val="left" w:pos="7515"/>
              </w:tabs>
              <w:spacing w:line="360" w:lineRule="auto"/>
              <w:rPr>
                <w:rFonts w:ascii="Arial" w:hAnsi="Arial" w:cs="Arial"/>
                <w:sz w:val="16"/>
                <w:szCs w:val="16"/>
              </w:rPr>
            </w:pPr>
            <w:r w:rsidRPr="00AA48B0">
              <w:rPr>
                <w:rFonts w:ascii="Arial" w:hAnsi="Arial" w:cs="Arial"/>
                <w:sz w:val="16"/>
                <w:szCs w:val="16"/>
              </w:rPr>
              <w:t xml:space="preserve">Caribe Norte </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167</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64</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5</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4,46%</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13</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57</w:t>
            </w:r>
          </w:p>
        </w:tc>
      </w:tr>
      <w:tr w:rsidR="003A3950" w:rsidRPr="00AA48B0" w:rsidTr="002C7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D7183B">
            <w:pPr>
              <w:tabs>
                <w:tab w:val="left" w:pos="7515"/>
              </w:tabs>
              <w:spacing w:line="360" w:lineRule="auto"/>
              <w:rPr>
                <w:rFonts w:ascii="Arial" w:hAnsi="Arial" w:cs="Arial"/>
                <w:sz w:val="16"/>
                <w:szCs w:val="16"/>
              </w:rPr>
            </w:pPr>
            <w:r w:rsidRPr="00AA48B0">
              <w:rPr>
                <w:rFonts w:ascii="Arial" w:hAnsi="Arial" w:cs="Arial"/>
                <w:sz w:val="16"/>
                <w:szCs w:val="16"/>
              </w:rPr>
              <w:t xml:space="preserve">Limón </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99</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54</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1</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4,58%</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6</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24</w:t>
            </w:r>
          </w:p>
        </w:tc>
      </w:tr>
      <w:tr w:rsidR="003A3950" w:rsidRPr="00AA48B0" w:rsidTr="002C7753">
        <w:trPr>
          <w:trHeight w:val="552"/>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D7183B">
            <w:pPr>
              <w:tabs>
                <w:tab w:val="left" w:pos="7515"/>
              </w:tabs>
              <w:spacing w:line="360" w:lineRule="auto"/>
              <w:rPr>
                <w:rFonts w:ascii="Arial" w:hAnsi="Arial" w:cs="Arial"/>
                <w:sz w:val="16"/>
                <w:szCs w:val="16"/>
              </w:rPr>
            </w:pPr>
            <w:r w:rsidRPr="00AA48B0">
              <w:rPr>
                <w:rFonts w:ascii="Arial" w:hAnsi="Arial" w:cs="Arial"/>
                <w:sz w:val="16"/>
                <w:szCs w:val="16"/>
              </w:rPr>
              <w:t xml:space="preserve">Nicoya </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237</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123</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31</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5,07%</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16</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87</w:t>
            </w:r>
          </w:p>
        </w:tc>
      </w:tr>
      <w:tr w:rsidR="003A3950" w:rsidRPr="00AA48B0" w:rsidTr="002C7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D7183B">
            <w:pPr>
              <w:tabs>
                <w:tab w:val="left" w:pos="7515"/>
              </w:tabs>
              <w:spacing w:line="360" w:lineRule="auto"/>
              <w:rPr>
                <w:rFonts w:ascii="Arial" w:hAnsi="Arial" w:cs="Arial"/>
                <w:sz w:val="16"/>
                <w:szCs w:val="16"/>
              </w:rPr>
            </w:pPr>
            <w:r w:rsidRPr="00AA48B0">
              <w:rPr>
                <w:rFonts w:ascii="Arial" w:hAnsi="Arial" w:cs="Arial"/>
                <w:sz w:val="16"/>
                <w:szCs w:val="16"/>
              </w:rPr>
              <w:t xml:space="preserve">Palmar Norte </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144</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52</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37</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8,36%</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2</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14</w:t>
            </w:r>
          </w:p>
        </w:tc>
      </w:tr>
      <w:tr w:rsidR="003A3950" w:rsidRPr="00AA48B0" w:rsidTr="002C7753">
        <w:trPr>
          <w:trHeight w:val="552"/>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D7183B">
            <w:pPr>
              <w:tabs>
                <w:tab w:val="left" w:pos="7515"/>
              </w:tabs>
              <w:spacing w:line="360" w:lineRule="auto"/>
              <w:rPr>
                <w:rFonts w:ascii="Arial" w:hAnsi="Arial" w:cs="Arial"/>
                <w:sz w:val="16"/>
                <w:szCs w:val="16"/>
              </w:rPr>
            </w:pPr>
            <w:r w:rsidRPr="00AA48B0">
              <w:rPr>
                <w:rFonts w:ascii="Arial" w:hAnsi="Arial" w:cs="Arial"/>
                <w:sz w:val="16"/>
                <w:szCs w:val="16"/>
              </w:rPr>
              <w:t xml:space="preserve">San Carlos </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162</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55</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28</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6,09%</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40</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94</w:t>
            </w:r>
          </w:p>
        </w:tc>
      </w:tr>
      <w:tr w:rsidR="003A3950" w:rsidRPr="00AA48B0" w:rsidTr="002C7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D7183B">
            <w:pPr>
              <w:tabs>
                <w:tab w:val="left" w:pos="7515"/>
              </w:tabs>
              <w:spacing w:line="360" w:lineRule="auto"/>
              <w:rPr>
                <w:rFonts w:ascii="Arial" w:hAnsi="Arial" w:cs="Arial"/>
                <w:sz w:val="16"/>
                <w:szCs w:val="16"/>
              </w:rPr>
            </w:pPr>
            <w:r w:rsidRPr="00AA48B0">
              <w:rPr>
                <w:rFonts w:ascii="Arial" w:hAnsi="Arial" w:cs="Arial"/>
                <w:sz w:val="16"/>
                <w:szCs w:val="16"/>
              </w:rPr>
              <w:t>San José Occidental</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250</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65</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36</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0%</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5</w:t>
            </w:r>
          </w:p>
        </w:tc>
        <w:tc>
          <w:tcPr>
            <w:tcW w:w="1257" w:type="dxa"/>
            <w:vAlign w:val="center"/>
          </w:tcPr>
          <w:p w:rsidR="003A3950" w:rsidRPr="00AA48B0" w:rsidRDefault="002C7753" w:rsidP="00AA48B0">
            <w:pPr>
              <w:tabs>
                <w:tab w:val="left" w:pos="75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A48B0">
              <w:rPr>
                <w:rFonts w:ascii="Arial" w:hAnsi="Arial" w:cs="Arial"/>
                <w:sz w:val="16"/>
                <w:szCs w:val="16"/>
              </w:rPr>
              <w:t>58</w:t>
            </w:r>
          </w:p>
        </w:tc>
      </w:tr>
      <w:tr w:rsidR="003A3950" w:rsidRPr="00AA48B0" w:rsidTr="002C7753">
        <w:trPr>
          <w:trHeight w:val="552"/>
        </w:trPr>
        <w:tc>
          <w:tcPr>
            <w:cnfStyle w:val="001000000000" w:firstRow="0" w:lastRow="0" w:firstColumn="1" w:lastColumn="0" w:oddVBand="0" w:evenVBand="0" w:oddHBand="0" w:evenHBand="0" w:firstRowFirstColumn="0" w:firstRowLastColumn="0" w:lastRowFirstColumn="0" w:lastRowLastColumn="0"/>
            <w:tcW w:w="1286" w:type="dxa"/>
            <w:vAlign w:val="center"/>
          </w:tcPr>
          <w:p w:rsidR="003A3950" w:rsidRPr="00AA48B0" w:rsidRDefault="003A3950" w:rsidP="00D7183B">
            <w:pPr>
              <w:tabs>
                <w:tab w:val="left" w:pos="7515"/>
              </w:tabs>
              <w:spacing w:line="360" w:lineRule="auto"/>
              <w:rPr>
                <w:rFonts w:ascii="Arial" w:hAnsi="Arial" w:cs="Arial"/>
                <w:sz w:val="16"/>
                <w:szCs w:val="16"/>
              </w:rPr>
            </w:pPr>
            <w:r w:rsidRPr="00AA48B0">
              <w:rPr>
                <w:rFonts w:ascii="Arial" w:hAnsi="Arial" w:cs="Arial"/>
                <w:sz w:val="16"/>
                <w:szCs w:val="16"/>
              </w:rPr>
              <w:t xml:space="preserve">San José Oriental </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229</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101</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15</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4,36%</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25</w:t>
            </w:r>
          </w:p>
        </w:tc>
        <w:tc>
          <w:tcPr>
            <w:tcW w:w="1257" w:type="dxa"/>
            <w:vAlign w:val="center"/>
          </w:tcPr>
          <w:p w:rsidR="003A3950" w:rsidRPr="00AA48B0" w:rsidRDefault="002C7753" w:rsidP="00AA48B0">
            <w:pPr>
              <w:tabs>
                <w:tab w:val="left" w:pos="751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48B0">
              <w:rPr>
                <w:rFonts w:ascii="Arial" w:hAnsi="Arial" w:cs="Arial"/>
                <w:sz w:val="16"/>
                <w:szCs w:val="16"/>
              </w:rPr>
              <w:t>81</w:t>
            </w:r>
          </w:p>
        </w:tc>
      </w:tr>
    </w:tbl>
    <w:p w:rsidR="003A3950" w:rsidRPr="00AA48B0" w:rsidRDefault="003A3950" w:rsidP="00AA48B0">
      <w:pPr>
        <w:tabs>
          <w:tab w:val="left" w:pos="7515"/>
        </w:tabs>
        <w:spacing w:line="360" w:lineRule="auto"/>
        <w:jc w:val="both"/>
        <w:rPr>
          <w:rFonts w:ascii="Arial" w:hAnsi="Arial" w:cs="Arial"/>
          <w:sz w:val="20"/>
          <w:szCs w:val="20"/>
        </w:rPr>
      </w:pPr>
      <w:r w:rsidRPr="00AA48B0">
        <w:rPr>
          <w:rFonts w:ascii="Arial" w:hAnsi="Arial" w:cs="Arial"/>
          <w:sz w:val="20"/>
          <w:szCs w:val="20"/>
        </w:rPr>
        <w:t xml:space="preserve">*La oficina de Palmar Norte tiene una meta para el indicador de Porcentaje de fincas visitadas del 7%.  </w:t>
      </w:r>
    </w:p>
    <w:p w:rsidR="003A3950" w:rsidRPr="00AA48B0" w:rsidRDefault="003A3950" w:rsidP="00AA48B0">
      <w:pPr>
        <w:tabs>
          <w:tab w:val="left" w:pos="7515"/>
        </w:tabs>
        <w:spacing w:line="360" w:lineRule="auto"/>
        <w:jc w:val="both"/>
        <w:rPr>
          <w:rFonts w:ascii="Arial" w:hAnsi="Arial" w:cs="Arial"/>
          <w:sz w:val="20"/>
          <w:szCs w:val="20"/>
        </w:rPr>
      </w:pPr>
      <w:r w:rsidRPr="00AA48B0">
        <w:rPr>
          <w:rFonts w:ascii="Arial" w:hAnsi="Arial" w:cs="Arial"/>
          <w:sz w:val="20"/>
          <w:szCs w:val="20"/>
        </w:rPr>
        <w:t xml:space="preserve">Sin da alguna, el inicio temprano del programa y el uso de la plataforma tecnológica para gestionarlo, replantean para las oficinas regionales la forma de programar el avance de metas y las acciones definidas para alcanzarlas. </w:t>
      </w:r>
    </w:p>
    <w:p w:rsidR="003B291C" w:rsidRPr="00AA48B0" w:rsidRDefault="003B291C" w:rsidP="00AA48B0">
      <w:pPr>
        <w:tabs>
          <w:tab w:val="left" w:pos="7515"/>
        </w:tabs>
        <w:spacing w:line="360" w:lineRule="auto"/>
        <w:jc w:val="both"/>
        <w:rPr>
          <w:rFonts w:ascii="Arial" w:hAnsi="Arial" w:cs="Arial"/>
          <w:sz w:val="20"/>
          <w:szCs w:val="20"/>
        </w:rPr>
      </w:pPr>
      <w:r w:rsidRPr="00AA48B0">
        <w:rPr>
          <w:rFonts w:ascii="Arial" w:hAnsi="Arial" w:cs="Arial"/>
          <w:sz w:val="20"/>
          <w:szCs w:val="20"/>
        </w:rPr>
        <w:lastRenderedPageBreak/>
        <w:t xml:space="preserve">Se puede observar, que combinadas, las oficinas regionales tramitaron más de 1400 solicitudes de entrada al PPSA, las cuales resultaron, en promedio en 41% de contratos: </w:t>
      </w:r>
    </w:p>
    <w:p w:rsidR="003B291C" w:rsidRPr="00AA48B0" w:rsidRDefault="003B291C" w:rsidP="00206FB1">
      <w:pPr>
        <w:jc w:val="center"/>
        <w:rPr>
          <w:rFonts w:ascii="Arial" w:hAnsi="Arial" w:cs="Arial"/>
          <w:sz w:val="20"/>
          <w:szCs w:val="20"/>
        </w:rPr>
      </w:pPr>
      <w:r w:rsidRPr="00AA48B0">
        <w:rPr>
          <w:rFonts w:ascii="Arial" w:hAnsi="Arial" w:cs="Arial"/>
          <w:sz w:val="20"/>
          <w:szCs w:val="20"/>
        </w:rPr>
        <w:t>Cuadro 3</w:t>
      </w:r>
    </w:p>
    <w:p w:rsidR="003B291C" w:rsidRPr="00AA48B0" w:rsidRDefault="003B291C" w:rsidP="00206FB1">
      <w:pPr>
        <w:tabs>
          <w:tab w:val="left" w:pos="7515"/>
        </w:tabs>
        <w:spacing w:line="360" w:lineRule="auto"/>
        <w:jc w:val="center"/>
        <w:rPr>
          <w:rFonts w:ascii="Arial" w:hAnsi="Arial" w:cs="Arial"/>
          <w:sz w:val="20"/>
          <w:szCs w:val="20"/>
        </w:rPr>
      </w:pPr>
      <w:r w:rsidRPr="00AA48B0">
        <w:rPr>
          <w:rFonts w:ascii="Arial" w:hAnsi="Arial" w:cs="Arial"/>
          <w:sz w:val="20"/>
          <w:szCs w:val="20"/>
        </w:rPr>
        <w:t>Porcentaje de contratos firmados por Oficina Regional</w:t>
      </w:r>
    </w:p>
    <w:p w:rsidR="003B291C" w:rsidRPr="00AA48B0" w:rsidRDefault="003B291C" w:rsidP="00206FB1">
      <w:pPr>
        <w:tabs>
          <w:tab w:val="left" w:pos="7515"/>
        </w:tabs>
        <w:spacing w:line="360" w:lineRule="auto"/>
        <w:jc w:val="center"/>
        <w:rPr>
          <w:rFonts w:ascii="Arial" w:hAnsi="Arial" w:cs="Arial"/>
          <w:sz w:val="20"/>
          <w:szCs w:val="20"/>
        </w:rPr>
      </w:pPr>
      <w:r w:rsidRPr="00AA48B0">
        <w:rPr>
          <w:rFonts w:ascii="Arial" w:hAnsi="Arial" w:cs="Arial"/>
          <w:sz w:val="20"/>
          <w:szCs w:val="20"/>
        </w:rPr>
        <w:t>Al 31 de diciembre de 2017</w:t>
      </w:r>
    </w:p>
    <w:tbl>
      <w:tblPr>
        <w:tblStyle w:val="Tabladecuadrcula2-nfasis1"/>
        <w:tblW w:w="5580" w:type="dxa"/>
        <w:jc w:val="center"/>
        <w:tblLook w:val="04A0" w:firstRow="1" w:lastRow="0" w:firstColumn="1" w:lastColumn="0" w:noHBand="0" w:noVBand="1"/>
      </w:tblPr>
      <w:tblGrid>
        <w:gridCol w:w="1940"/>
        <w:gridCol w:w="1240"/>
        <w:gridCol w:w="1297"/>
        <w:gridCol w:w="1200"/>
      </w:tblGrid>
      <w:tr w:rsidR="003B291C" w:rsidRPr="00AA48B0" w:rsidTr="003B291C">
        <w:trPr>
          <w:cnfStyle w:val="100000000000" w:firstRow="1" w:lastRow="0" w:firstColumn="0" w:lastColumn="0" w:oddVBand="0" w:evenVBand="0" w:oddHBand="0"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1940" w:type="dxa"/>
            <w:vAlign w:val="center"/>
            <w:hideMark/>
          </w:tcPr>
          <w:p w:rsidR="003B291C" w:rsidRPr="00AA48B0" w:rsidRDefault="003B291C" w:rsidP="00AA48B0">
            <w:pPr>
              <w:jc w:val="both"/>
              <w:rPr>
                <w:rFonts w:ascii="Arial" w:eastAsia="Times New Roman" w:hAnsi="Arial" w:cs="Arial"/>
                <w:b w:val="0"/>
                <w:i/>
                <w:color w:val="000000"/>
                <w:sz w:val="18"/>
                <w:szCs w:val="18"/>
                <w:lang w:eastAsia="es-CR"/>
              </w:rPr>
            </w:pPr>
            <w:r w:rsidRPr="00AA48B0">
              <w:rPr>
                <w:rFonts w:ascii="Arial" w:eastAsia="Times New Roman" w:hAnsi="Arial" w:cs="Arial"/>
                <w:b w:val="0"/>
                <w:i/>
                <w:color w:val="000000"/>
                <w:sz w:val="18"/>
                <w:szCs w:val="18"/>
                <w:lang w:eastAsia="es-CR"/>
              </w:rPr>
              <w:t>Oficina Regional</w:t>
            </w:r>
          </w:p>
        </w:tc>
        <w:tc>
          <w:tcPr>
            <w:tcW w:w="1240" w:type="dxa"/>
            <w:vAlign w:val="center"/>
            <w:hideMark/>
          </w:tcPr>
          <w:p w:rsidR="003B291C" w:rsidRPr="00AA48B0" w:rsidRDefault="003B291C" w:rsidP="00AA48B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lang w:eastAsia="es-CR"/>
              </w:rPr>
            </w:pPr>
            <w:r w:rsidRPr="00AA48B0">
              <w:rPr>
                <w:rFonts w:ascii="Arial" w:eastAsia="Times New Roman" w:hAnsi="Arial" w:cs="Arial"/>
                <w:b w:val="0"/>
                <w:i/>
                <w:color w:val="000000"/>
                <w:sz w:val="18"/>
                <w:szCs w:val="18"/>
                <w:lang w:eastAsia="es-CR"/>
              </w:rPr>
              <w:t>Solicitudes Recibidas</w:t>
            </w:r>
          </w:p>
        </w:tc>
        <w:tc>
          <w:tcPr>
            <w:tcW w:w="1200" w:type="dxa"/>
            <w:vAlign w:val="center"/>
            <w:hideMark/>
          </w:tcPr>
          <w:p w:rsidR="003B291C" w:rsidRPr="00AA48B0" w:rsidRDefault="003B291C" w:rsidP="00AA48B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lang w:eastAsia="es-CR"/>
              </w:rPr>
            </w:pPr>
            <w:r w:rsidRPr="00AA48B0">
              <w:rPr>
                <w:rFonts w:ascii="Arial" w:eastAsia="Times New Roman" w:hAnsi="Arial" w:cs="Arial"/>
                <w:b w:val="0"/>
                <w:i/>
                <w:color w:val="000000"/>
                <w:sz w:val="18"/>
                <w:szCs w:val="18"/>
                <w:lang w:eastAsia="es-CR"/>
              </w:rPr>
              <w:t>Cantidad de</w:t>
            </w:r>
          </w:p>
          <w:p w:rsidR="003B291C" w:rsidRPr="00AA48B0" w:rsidRDefault="003B291C" w:rsidP="00AA48B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lang w:eastAsia="es-CR"/>
              </w:rPr>
            </w:pPr>
            <w:r w:rsidRPr="00AA48B0">
              <w:rPr>
                <w:rFonts w:ascii="Arial" w:eastAsia="Times New Roman" w:hAnsi="Arial" w:cs="Arial"/>
                <w:b w:val="0"/>
                <w:i/>
                <w:color w:val="000000"/>
                <w:sz w:val="18"/>
                <w:szCs w:val="18"/>
                <w:lang w:eastAsia="es-CR"/>
              </w:rPr>
              <w:t>Contratos Formalizados</w:t>
            </w:r>
          </w:p>
        </w:tc>
        <w:tc>
          <w:tcPr>
            <w:tcW w:w="1200" w:type="dxa"/>
            <w:vAlign w:val="center"/>
            <w:hideMark/>
          </w:tcPr>
          <w:p w:rsidR="003B291C" w:rsidRPr="00AA48B0" w:rsidRDefault="003B291C" w:rsidP="00AA48B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lang w:eastAsia="es-CR"/>
              </w:rPr>
            </w:pPr>
            <w:r w:rsidRPr="00AA48B0">
              <w:rPr>
                <w:rFonts w:ascii="Arial" w:eastAsia="Times New Roman" w:hAnsi="Arial" w:cs="Arial"/>
                <w:b w:val="0"/>
                <w:i/>
                <w:color w:val="000000"/>
                <w:sz w:val="18"/>
                <w:szCs w:val="18"/>
                <w:lang w:eastAsia="es-CR"/>
              </w:rPr>
              <w:t>Porcentaje</w:t>
            </w:r>
          </w:p>
        </w:tc>
      </w:tr>
      <w:tr w:rsidR="003B291C" w:rsidRPr="00AA48B0" w:rsidTr="003B291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b w:val="0"/>
                <w:color w:val="000000"/>
                <w:sz w:val="18"/>
                <w:szCs w:val="18"/>
                <w:lang w:eastAsia="es-CR"/>
              </w:rPr>
            </w:pPr>
            <w:r w:rsidRPr="00AA48B0">
              <w:rPr>
                <w:rFonts w:ascii="Arial" w:eastAsia="Times New Roman" w:hAnsi="Arial" w:cs="Arial"/>
                <w:b w:val="0"/>
                <w:color w:val="000000"/>
                <w:sz w:val="18"/>
                <w:szCs w:val="18"/>
                <w:lang w:eastAsia="es-CR"/>
              </w:rPr>
              <w:t xml:space="preserve">Cañas </w:t>
            </w:r>
          </w:p>
        </w:tc>
        <w:tc>
          <w:tcPr>
            <w:tcW w:w="124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139</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65</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46,76%</w:t>
            </w:r>
          </w:p>
        </w:tc>
      </w:tr>
      <w:tr w:rsidR="003B291C" w:rsidRPr="00AA48B0" w:rsidTr="003B291C">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b w:val="0"/>
                <w:color w:val="000000"/>
                <w:sz w:val="18"/>
                <w:szCs w:val="18"/>
                <w:lang w:eastAsia="es-CR"/>
              </w:rPr>
            </w:pPr>
            <w:r w:rsidRPr="00AA48B0">
              <w:rPr>
                <w:rFonts w:ascii="Arial" w:eastAsia="Times New Roman" w:hAnsi="Arial" w:cs="Arial"/>
                <w:b w:val="0"/>
                <w:color w:val="000000"/>
                <w:sz w:val="18"/>
                <w:szCs w:val="18"/>
                <w:lang w:eastAsia="es-CR"/>
              </w:rPr>
              <w:t xml:space="preserve">Caribe Norte </w:t>
            </w:r>
          </w:p>
        </w:tc>
        <w:tc>
          <w:tcPr>
            <w:tcW w:w="124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167</w:t>
            </w:r>
          </w:p>
        </w:tc>
        <w:tc>
          <w:tcPr>
            <w:tcW w:w="120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64</w:t>
            </w:r>
          </w:p>
        </w:tc>
        <w:tc>
          <w:tcPr>
            <w:tcW w:w="120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38,32%</w:t>
            </w:r>
          </w:p>
        </w:tc>
      </w:tr>
      <w:tr w:rsidR="003B291C" w:rsidRPr="00AA48B0" w:rsidTr="003B291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b w:val="0"/>
                <w:color w:val="000000"/>
                <w:sz w:val="18"/>
                <w:szCs w:val="18"/>
                <w:lang w:eastAsia="es-CR"/>
              </w:rPr>
            </w:pPr>
            <w:r w:rsidRPr="00AA48B0">
              <w:rPr>
                <w:rFonts w:ascii="Arial" w:eastAsia="Times New Roman" w:hAnsi="Arial" w:cs="Arial"/>
                <w:b w:val="0"/>
                <w:color w:val="000000"/>
                <w:sz w:val="18"/>
                <w:szCs w:val="18"/>
                <w:lang w:eastAsia="es-CR"/>
              </w:rPr>
              <w:t xml:space="preserve">Limón </w:t>
            </w:r>
          </w:p>
        </w:tc>
        <w:tc>
          <w:tcPr>
            <w:tcW w:w="124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99</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54</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54,55%</w:t>
            </w:r>
          </w:p>
        </w:tc>
      </w:tr>
      <w:tr w:rsidR="003B291C" w:rsidRPr="00AA48B0" w:rsidTr="003B291C">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b w:val="0"/>
                <w:color w:val="000000"/>
                <w:sz w:val="18"/>
                <w:szCs w:val="18"/>
                <w:lang w:eastAsia="es-CR"/>
              </w:rPr>
            </w:pPr>
            <w:r w:rsidRPr="00AA48B0">
              <w:rPr>
                <w:rFonts w:ascii="Arial" w:eastAsia="Times New Roman" w:hAnsi="Arial" w:cs="Arial"/>
                <w:b w:val="0"/>
                <w:color w:val="000000"/>
                <w:sz w:val="18"/>
                <w:szCs w:val="18"/>
                <w:lang w:eastAsia="es-CR"/>
              </w:rPr>
              <w:t xml:space="preserve">Nicoya </w:t>
            </w:r>
          </w:p>
        </w:tc>
        <w:tc>
          <w:tcPr>
            <w:tcW w:w="124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237</w:t>
            </w:r>
          </w:p>
        </w:tc>
        <w:tc>
          <w:tcPr>
            <w:tcW w:w="120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123</w:t>
            </w:r>
          </w:p>
        </w:tc>
        <w:tc>
          <w:tcPr>
            <w:tcW w:w="120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51,90%</w:t>
            </w:r>
          </w:p>
        </w:tc>
      </w:tr>
      <w:tr w:rsidR="003B291C" w:rsidRPr="00AA48B0" w:rsidTr="003B291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b w:val="0"/>
                <w:color w:val="000000"/>
                <w:sz w:val="18"/>
                <w:szCs w:val="18"/>
                <w:lang w:eastAsia="es-CR"/>
              </w:rPr>
            </w:pPr>
            <w:r w:rsidRPr="00AA48B0">
              <w:rPr>
                <w:rFonts w:ascii="Arial" w:eastAsia="Times New Roman" w:hAnsi="Arial" w:cs="Arial"/>
                <w:b w:val="0"/>
                <w:color w:val="000000"/>
                <w:sz w:val="18"/>
                <w:szCs w:val="18"/>
                <w:lang w:eastAsia="es-CR"/>
              </w:rPr>
              <w:t xml:space="preserve">Palmar Norte </w:t>
            </w:r>
          </w:p>
        </w:tc>
        <w:tc>
          <w:tcPr>
            <w:tcW w:w="124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144</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52</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36,11%</w:t>
            </w:r>
          </w:p>
        </w:tc>
      </w:tr>
      <w:tr w:rsidR="003B291C" w:rsidRPr="00AA48B0" w:rsidTr="003B291C">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b w:val="0"/>
                <w:color w:val="000000"/>
                <w:sz w:val="18"/>
                <w:szCs w:val="18"/>
                <w:lang w:eastAsia="es-CR"/>
              </w:rPr>
            </w:pPr>
            <w:r w:rsidRPr="00AA48B0">
              <w:rPr>
                <w:rFonts w:ascii="Arial" w:eastAsia="Times New Roman" w:hAnsi="Arial" w:cs="Arial"/>
                <w:b w:val="0"/>
                <w:color w:val="000000"/>
                <w:sz w:val="18"/>
                <w:szCs w:val="18"/>
                <w:lang w:eastAsia="es-CR"/>
              </w:rPr>
              <w:t xml:space="preserve">San Carlos </w:t>
            </w:r>
          </w:p>
        </w:tc>
        <w:tc>
          <w:tcPr>
            <w:tcW w:w="124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162</w:t>
            </w:r>
          </w:p>
        </w:tc>
        <w:tc>
          <w:tcPr>
            <w:tcW w:w="120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55</w:t>
            </w:r>
          </w:p>
        </w:tc>
        <w:tc>
          <w:tcPr>
            <w:tcW w:w="120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33,95%</w:t>
            </w:r>
          </w:p>
        </w:tc>
      </w:tr>
      <w:tr w:rsidR="003B291C" w:rsidRPr="00AA48B0" w:rsidTr="003B291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b w:val="0"/>
                <w:color w:val="000000"/>
                <w:sz w:val="18"/>
                <w:szCs w:val="18"/>
                <w:lang w:eastAsia="es-CR"/>
              </w:rPr>
            </w:pPr>
            <w:r w:rsidRPr="00AA48B0">
              <w:rPr>
                <w:rFonts w:ascii="Arial" w:eastAsia="Times New Roman" w:hAnsi="Arial" w:cs="Arial"/>
                <w:b w:val="0"/>
                <w:color w:val="000000"/>
                <w:sz w:val="18"/>
                <w:szCs w:val="18"/>
                <w:lang w:eastAsia="es-CR"/>
              </w:rPr>
              <w:t>San José Occidental</w:t>
            </w:r>
          </w:p>
        </w:tc>
        <w:tc>
          <w:tcPr>
            <w:tcW w:w="124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250</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65</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26,00%</w:t>
            </w:r>
          </w:p>
        </w:tc>
      </w:tr>
      <w:tr w:rsidR="003B291C" w:rsidRPr="00AA48B0" w:rsidTr="003B291C">
        <w:trPr>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b w:val="0"/>
                <w:color w:val="000000"/>
                <w:sz w:val="18"/>
                <w:szCs w:val="18"/>
                <w:lang w:eastAsia="es-CR"/>
              </w:rPr>
            </w:pPr>
            <w:r w:rsidRPr="00AA48B0">
              <w:rPr>
                <w:rFonts w:ascii="Arial" w:eastAsia="Times New Roman" w:hAnsi="Arial" w:cs="Arial"/>
                <w:b w:val="0"/>
                <w:color w:val="000000"/>
                <w:sz w:val="18"/>
                <w:szCs w:val="18"/>
                <w:lang w:eastAsia="es-CR"/>
              </w:rPr>
              <w:t xml:space="preserve">San José Oriental </w:t>
            </w:r>
          </w:p>
        </w:tc>
        <w:tc>
          <w:tcPr>
            <w:tcW w:w="124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229</w:t>
            </w:r>
          </w:p>
        </w:tc>
        <w:tc>
          <w:tcPr>
            <w:tcW w:w="120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101</w:t>
            </w:r>
          </w:p>
        </w:tc>
        <w:tc>
          <w:tcPr>
            <w:tcW w:w="1200" w:type="dxa"/>
            <w:noWrap/>
            <w:vAlign w:val="center"/>
            <w:hideMark/>
          </w:tcPr>
          <w:p w:rsidR="003B291C" w:rsidRPr="00AA48B0" w:rsidRDefault="003B291C" w:rsidP="00AA48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44,10%</w:t>
            </w:r>
          </w:p>
        </w:tc>
      </w:tr>
      <w:tr w:rsidR="003B291C" w:rsidRPr="00AA48B0" w:rsidTr="003B291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40" w:type="dxa"/>
            <w:noWrap/>
            <w:hideMark/>
          </w:tcPr>
          <w:p w:rsidR="003B291C" w:rsidRPr="00AA48B0" w:rsidRDefault="003B291C" w:rsidP="00AA48B0">
            <w:pPr>
              <w:jc w:val="both"/>
              <w:rPr>
                <w:rFonts w:ascii="Arial" w:eastAsia="Times New Roman" w:hAnsi="Arial" w:cs="Arial"/>
                <w:color w:val="000000"/>
                <w:sz w:val="18"/>
                <w:szCs w:val="18"/>
                <w:lang w:eastAsia="es-CR"/>
              </w:rPr>
            </w:pPr>
            <w:r w:rsidRPr="00AA48B0">
              <w:rPr>
                <w:rFonts w:ascii="Arial" w:eastAsia="Times New Roman" w:hAnsi="Arial" w:cs="Arial"/>
                <w:color w:val="000000"/>
                <w:sz w:val="18"/>
                <w:szCs w:val="18"/>
                <w:lang w:eastAsia="es-CR"/>
              </w:rPr>
              <w:t xml:space="preserve">Promedio General </w:t>
            </w:r>
          </w:p>
        </w:tc>
        <w:tc>
          <w:tcPr>
            <w:tcW w:w="124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s-CR"/>
              </w:rPr>
            </w:pPr>
            <w:r w:rsidRPr="00AA48B0">
              <w:rPr>
                <w:rFonts w:ascii="Arial" w:eastAsia="Times New Roman" w:hAnsi="Arial" w:cs="Arial"/>
                <w:b/>
                <w:bCs/>
                <w:color w:val="000000"/>
                <w:sz w:val="18"/>
                <w:szCs w:val="18"/>
                <w:lang w:eastAsia="es-CR"/>
              </w:rPr>
              <w:t>178</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s-CR"/>
              </w:rPr>
            </w:pPr>
            <w:r w:rsidRPr="00AA48B0">
              <w:rPr>
                <w:rFonts w:ascii="Arial" w:eastAsia="Times New Roman" w:hAnsi="Arial" w:cs="Arial"/>
                <w:b/>
                <w:bCs/>
                <w:color w:val="000000"/>
                <w:sz w:val="18"/>
                <w:szCs w:val="18"/>
                <w:lang w:eastAsia="es-CR"/>
              </w:rPr>
              <w:t>72</w:t>
            </w:r>
          </w:p>
        </w:tc>
        <w:tc>
          <w:tcPr>
            <w:tcW w:w="1200" w:type="dxa"/>
            <w:noWrap/>
            <w:vAlign w:val="center"/>
            <w:hideMark/>
          </w:tcPr>
          <w:p w:rsidR="003B291C" w:rsidRPr="00AA48B0" w:rsidRDefault="003B291C" w:rsidP="00AA48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s-CR"/>
              </w:rPr>
            </w:pPr>
            <w:r w:rsidRPr="00AA48B0">
              <w:rPr>
                <w:rFonts w:ascii="Arial" w:eastAsia="Times New Roman" w:hAnsi="Arial" w:cs="Arial"/>
                <w:b/>
                <w:bCs/>
                <w:color w:val="000000"/>
                <w:sz w:val="18"/>
                <w:szCs w:val="18"/>
                <w:lang w:eastAsia="es-CR"/>
              </w:rPr>
              <w:t>41,46%</w:t>
            </w:r>
          </w:p>
        </w:tc>
      </w:tr>
    </w:tbl>
    <w:p w:rsidR="003B291C" w:rsidRPr="00AA48B0" w:rsidRDefault="003B291C" w:rsidP="00AA48B0">
      <w:pPr>
        <w:tabs>
          <w:tab w:val="left" w:pos="7515"/>
        </w:tabs>
        <w:spacing w:line="360" w:lineRule="auto"/>
        <w:jc w:val="both"/>
        <w:rPr>
          <w:rFonts w:ascii="Arial" w:hAnsi="Arial" w:cs="Arial"/>
          <w:sz w:val="18"/>
          <w:szCs w:val="20"/>
        </w:rPr>
      </w:pPr>
      <w:r w:rsidRPr="00AA48B0">
        <w:rPr>
          <w:rFonts w:ascii="Arial" w:hAnsi="Arial" w:cs="Arial"/>
          <w:sz w:val="18"/>
          <w:szCs w:val="20"/>
        </w:rPr>
        <w:t xml:space="preserve">Nota: La cantidad de contratos formalizados que se contabilizan para este análisis, corresponden solo aquellos que se solicitaron en el año de ejecución y no incluye el dato de contratos formalizados de periodos anteriores. </w:t>
      </w:r>
    </w:p>
    <w:p w:rsidR="00206FB1" w:rsidRDefault="00206FB1" w:rsidP="00AA48B0">
      <w:pPr>
        <w:tabs>
          <w:tab w:val="left" w:pos="7515"/>
        </w:tabs>
        <w:spacing w:line="276" w:lineRule="auto"/>
        <w:jc w:val="both"/>
        <w:rPr>
          <w:rFonts w:ascii="Arial" w:hAnsi="Arial" w:cs="Arial"/>
          <w:sz w:val="20"/>
          <w:szCs w:val="20"/>
        </w:rPr>
      </w:pPr>
    </w:p>
    <w:p w:rsidR="003B291C" w:rsidRPr="00AA48B0" w:rsidRDefault="003B291C" w:rsidP="00AA48B0">
      <w:pPr>
        <w:tabs>
          <w:tab w:val="left" w:pos="7515"/>
        </w:tabs>
        <w:spacing w:line="276" w:lineRule="auto"/>
        <w:jc w:val="both"/>
        <w:rPr>
          <w:rFonts w:ascii="Arial" w:hAnsi="Arial" w:cs="Arial"/>
          <w:sz w:val="20"/>
          <w:szCs w:val="20"/>
        </w:rPr>
      </w:pPr>
      <w:r w:rsidRPr="00AA48B0">
        <w:rPr>
          <w:rFonts w:ascii="Arial" w:hAnsi="Arial" w:cs="Arial"/>
          <w:sz w:val="20"/>
          <w:szCs w:val="20"/>
        </w:rPr>
        <w:t xml:space="preserve">Como parte del proceso, hasta este año 2017, las oficinas regionales realizaron un promedio de 15 finiquitos y 55 modificaciones por oficina. Como se observa en el cuadro 2, estos números se elevan en aquellas oficinas regionales que tienen mayor cantidad de contratos en gestión (Nicoya y San José Oriental). </w:t>
      </w:r>
    </w:p>
    <w:p w:rsidR="003B291C" w:rsidRPr="00AA48B0" w:rsidRDefault="003B291C" w:rsidP="00AA48B0">
      <w:pPr>
        <w:tabs>
          <w:tab w:val="left" w:pos="7515"/>
        </w:tabs>
        <w:spacing w:line="276" w:lineRule="auto"/>
        <w:jc w:val="both"/>
        <w:rPr>
          <w:rFonts w:ascii="Arial" w:hAnsi="Arial" w:cs="Arial"/>
          <w:sz w:val="20"/>
          <w:szCs w:val="20"/>
        </w:rPr>
      </w:pPr>
      <w:r w:rsidRPr="00AA48B0">
        <w:rPr>
          <w:rFonts w:ascii="Arial" w:hAnsi="Arial" w:cs="Arial"/>
          <w:sz w:val="20"/>
          <w:szCs w:val="20"/>
        </w:rPr>
        <w:t xml:space="preserve">La tarea de verificación en campo de los proyectos de PSA, es altamente ponderada y se maneja sobre una base de opinión colegiada, en donde el 5% de visitas de proyectos vigentes es lo posible y lo responsable, en aras de garantizar la calidad de los servicios ambientales que la institución recompensa. </w:t>
      </w:r>
    </w:p>
    <w:p w:rsidR="003B291C" w:rsidRPr="00AA48B0" w:rsidRDefault="003B291C" w:rsidP="00AA48B0">
      <w:pPr>
        <w:tabs>
          <w:tab w:val="left" w:pos="7515"/>
        </w:tabs>
        <w:spacing w:line="276" w:lineRule="auto"/>
        <w:jc w:val="both"/>
        <w:rPr>
          <w:rFonts w:ascii="Arial" w:hAnsi="Arial" w:cs="Arial"/>
          <w:sz w:val="20"/>
          <w:szCs w:val="20"/>
        </w:rPr>
      </w:pPr>
      <w:r w:rsidRPr="00AA48B0">
        <w:rPr>
          <w:rFonts w:ascii="Arial" w:hAnsi="Arial" w:cs="Arial"/>
          <w:sz w:val="20"/>
          <w:szCs w:val="20"/>
        </w:rPr>
        <w:t>Con lo anterior, se tiene un promedio de 4,47% de estas visitas, conside</w:t>
      </w:r>
      <w:r w:rsidR="00F03C50" w:rsidRPr="00AA48B0">
        <w:rPr>
          <w:rFonts w:ascii="Arial" w:hAnsi="Arial" w:cs="Arial"/>
          <w:sz w:val="20"/>
          <w:szCs w:val="20"/>
        </w:rPr>
        <w:t>rando que la oficina de Palmar N</w:t>
      </w:r>
      <w:r w:rsidRPr="00AA48B0">
        <w:rPr>
          <w:rFonts w:ascii="Arial" w:hAnsi="Arial" w:cs="Arial"/>
          <w:sz w:val="20"/>
          <w:szCs w:val="20"/>
        </w:rPr>
        <w:t>orte tiene un resultado de 8,36% de las fincas visitadas (se modificó</w:t>
      </w:r>
      <w:r w:rsidR="00633D3B">
        <w:rPr>
          <w:rFonts w:ascii="Arial" w:hAnsi="Arial" w:cs="Arial"/>
          <w:sz w:val="20"/>
          <w:szCs w:val="20"/>
        </w:rPr>
        <w:t xml:space="preserve"> </w:t>
      </w:r>
      <w:r w:rsidRPr="00AA48B0">
        <w:rPr>
          <w:rFonts w:ascii="Arial" w:hAnsi="Arial" w:cs="Arial"/>
          <w:sz w:val="20"/>
          <w:szCs w:val="20"/>
        </w:rPr>
        <w:t>por posibilidades particulares</w:t>
      </w:r>
      <w:r w:rsidR="00633D3B">
        <w:rPr>
          <w:rFonts w:ascii="Arial" w:hAnsi="Arial" w:cs="Arial"/>
          <w:sz w:val="20"/>
          <w:szCs w:val="20"/>
        </w:rPr>
        <w:t>,</w:t>
      </w:r>
      <w:r w:rsidRPr="00AA48B0">
        <w:rPr>
          <w:rFonts w:ascii="Arial" w:hAnsi="Arial" w:cs="Arial"/>
          <w:sz w:val="20"/>
          <w:szCs w:val="20"/>
        </w:rPr>
        <w:t xml:space="preserve"> la meta de esta oficina a 7%)</w:t>
      </w:r>
      <w:r w:rsidR="00F03C50" w:rsidRPr="00AA48B0">
        <w:rPr>
          <w:rFonts w:ascii="Arial" w:hAnsi="Arial" w:cs="Arial"/>
          <w:sz w:val="20"/>
          <w:szCs w:val="20"/>
        </w:rPr>
        <w:t xml:space="preserve">, en contraposición con la oficina de San José Occidental, con ninguna visita reportada durante el periodo (para las visitas necesarias presentadas por denuncias se solicitó colaboración de visita al Dpto. de Control y Monitoreo).  </w:t>
      </w:r>
    </w:p>
    <w:p w:rsidR="00F03C50" w:rsidRPr="00AA48B0" w:rsidRDefault="00F03C50" w:rsidP="00AA48B0">
      <w:pPr>
        <w:tabs>
          <w:tab w:val="left" w:pos="7515"/>
        </w:tabs>
        <w:spacing w:line="276" w:lineRule="auto"/>
        <w:jc w:val="both"/>
        <w:rPr>
          <w:rFonts w:ascii="Arial" w:hAnsi="Arial" w:cs="Arial"/>
          <w:sz w:val="20"/>
          <w:szCs w:val="20"/>
        </w:rPr>
      </w:pPr>
      <w:r w:rsidRPr="00AA48B0">
        <w:rPr>
          <w:rFonts w:ascii="Arial" w:hAnsi="Arial" w:cs="Arial"/>
          <w:sz w:val="20"/>
          <w:szCs w:val="20"/>
        </w:rPr>
        <w:t>Un dato interesante, es la cantidad de contratos de periodos anteriores que se concretan en el año de ejecución, con un promed</w:t>
      </w:r>
      <w:r w:rsidR="001D338A" w:rsidRPr="00AA48B0">
        <w:rPr>
          <w:rFonts w:ascii="Arial" w:hAnsi="Arial" w:cs="Arial"/>
          <w:sz w:val="20"/>
          <w:szCs w:val="20"/>
        </w:rPr>
        <w:t xml:space="preserve">io de 21 contratos por oficina, </w:t>
      </w:r>
      <w:r w:rsidR="00775E78" w:rsidRPr="00AA48B0">
        <w:rPr>
          <w:rFonts w:ascii="Arial" w:hAnsi="Arial" w:cs="Arial"/>
          <w:sz w:val="20"/>
          <w:szCs w:val="20"/>
        </w:rPr>
        <w:t xml:space="preserve">resultado de los inicios tardíos de recepción de solicitudes; </w:t>
      </w:r>
      <w:r w:rsidR="001D338A" w:rsidRPr="00AA48B0">
        <w:rPr>
          <w:rFonts w:ascii="Arial" w:hAnsi="Arial" w:cs="Arial"/>
          <w:sz w:val="20"/>
          <w:szCs w:val="20"/>
        </w:rPr>
        <w:t>y que, gracias a la implementación de la resolución minis</w:t>
      </w:r>
      <w:r w:rsidR="00775E78" w:rsidRPr="00AA48B0">
        <w:rPr>
          <w:rFonts w:ascii="Arial" w:hAnsi="Arial" w:cs="Arial"/>
          <w:sz w:val="20"/>
          <w:szCs w:val="20"/>
        </w:rPr>
        <w:t>terial para iniciar con el PPSA al inicio del año, se van a revertir los resultados</w:t>
      </w:r>
      <w:r w:rsidR="00633D3B">
        <w:rPr>
          <w:rFonts w:ascii="Arial" w:hAnsi="Arial" w:cs="Arial"/>
          <w:sz w:val="20"/>
          <w:szCs w:val="20"/>
        </w:rPr>
        <w:t xml:space="preserve"> en los próximos años</w:t>
      </w:r>
      <w:r w:rsidR="00775E78" w:rsidRPr="00AA48B0">
        <w:rPr>
          <w:rFonts w:ascii="Arial" w:hAnsi="Arial" w:cs="Arial"/>
          <w:sz w:val="20"/>
          <w:szCs w:val="20"/>
        </w:rPr>
        <w:t xml:space="preserve">. </w:t>
      </w:r>
    </w:p>
    <w:p w:rsidR="00775E78" w:rsidRPr="00AA48B0" w:rsidRDefault="00775E78" w:rsidP="00AA48B0">
      <w:pPr>
        <w:tabs>
          <w:tab w:val="left" w:pos="7515"/>
        </w:tabs>
        <w:spacing w:line="276" w:lineRule="auto"/>
        <w:jc w:val="both"/>
        <w:rPr>
          <w:rFonts w:ascii="Arial" w:hAnsi="Arial" w:cs="Arial"/>
          <w:sz w:val="20"/>
          <w:szCs w:val="20"/>
        </w:rPr>
      </w:pPr>
      <w:r w:rsidRPr="00AA48B0">
        <w:rPr>
          <w:rFonts w:ascii="Arial" w:hAnsi="Arial" w:cs="Arial"/>
          <w:sz w:val="20"/>
          <w:szCs w:val="20"/>
        </w:rPr>
        <w:lastRenderedPageBreak/>
        <w:t xml:space="preserve">Tanto las oficinas regionales, como todos los actores involucrados con el PPSA, estarán en la necesidad de ajustar programaciones y resultados esperados de avance, esto, porque los tiempos de respuesta se han optimizado. </w:t>
      </w:r>
    </w:p>
    <w:p w:rsidR="00633D3B" w:rsidRDefault="00633D3B" w:rsidP="00AA48B0">
      <w:pPr>
        <w:pStyle w:val="Subttulo"/>
        <w:spacing w:line="276" w:lineRule="auto"/>
        <w:jc w:val="both"/>
        <w:rPr>
          <w:rFonts w:ascii="Arial" w:hAnsi="Arial" w:cs="Arial"/>
          <w:sz w:val="20"/>
          <w:szCs w:val="20"/>
        </w:rPr>
      </w:pPr>
    </w:p>
    <w:p w:rsidR="00FA5D0D" w:rsidRPr="00AA48B0" w:rsidRDefault="00FA5D0D" w:rsidP="00AA48B0">
      <w:pPr>
        <w:pStyle w:val="Subttulo"/>
        <w:spacing w:line="276" w:lineRule="auto"/>
        <w:jc w:val="both"/>
        <w:rPr>
          <w:rFonts w:ascii="Arial" w:hAnsi="Arial" w:cs="Arial"/>
          <w:sz w:val="20"/>
          <w:szCs w:val="20"/>
        </w:rPr>
      </w:pPr>
      <w:r w:rsidRPr="00AA48B0">
        <w:rPr>
          <w:rFonts w:ascii="Arial" w:hAnsi="Arial" w:cs="Arial"/>
          <w:sz w:val="20"/>
          <w:szCs w:val="20"/>
        </w:rPr>
        <w:t xml:space="preserve">Dirección de Fomento Forestal </w:t>
      </w:r>
    </w:p>
    <w:p w:rsidR="004A042B" w:rsidRPr="00AA48B0" w:rsidRDefault="004A042B" w:rsidP="00AA48B0">
      <w:pPr>
        <w:spacing w:line="276" w:lineRule="auto"/>
        <w:jc w:val="both"/>
        <w:rPr>
          <w:rFonts w:ascii="Arial" w:hAnsi="Arial" w:cs="Arial"/>
          <w:bCs/>
          <w:sz w:val="20"/>
          <w:szCs w:val="20"/>
        </w:rPr>
      </w:pPr>
      <w:r w:rsidRPr="00AA48B0">
        <w:rPr>
          <w:rFonts w:ascii="Arial" w:hAnsi="Arial" w:cs="Arial"/>
          <w:bCs/>
          <w:sz w:val="20"/>
          <w:szCs w:val="20"/>
        </w:rPr>
        <w:t xml:space="preserve">Con respecto a la meta </w:t>
      </w:r>
      <w:r w:rsidRPr="00AA48B0">
        <w:rPr>
          <w:rFonts w:ascii="Arial" w:hAnsi="Arial" w:cs="Arial"/>
          <w:bCs/>
          <w:i/>
          <w:sz w:val="20"/>
          <w:szCs w:val="20"/>
        </w:rPr>
        <w:t>Monto colocado en créditos forestales</w:t>
      </w:r>
      <w:r w:rsidRPr="00AA48B0">
        <w:rPr>
          <w:rFonts w:ascii="Arial" w:hAnsi="Arial" w:cs="Arial"/>
          <w:bCs/>
          <w:sz w:val="20"/>
          <w:szCs w:val="20"/>
        </w:rPr>
        <w:t xml:space="preserve">, se logró un resultado porcentual del 57%, con un monto total colocado de ¢568 millones de colones; este es el resultado que más fue afectado por agentes externos: la caída en indicadores de la actividad económica nacional, principalmente en el sector construcción, que cada vez utiliza menos madera como materia prima. </w:t>
      </w:r>
    </w:p>
    <w:p w:rsidR="004A042B" w:rsidRPr="00AA48B0" w:rsidRDefault="004A042B" w:rsidP="00AA48B0">
      <w:pPr>
        <w:spacing w:line="276" w:lineRule="auto"/>
        <w:jc w:val="both"/>
        <w:rPr>
          <w:rFonts w:ascii="Arial" w:hAnsi="Arial" w:cs="Arial"/>
          <w:bCs/>
          <w:sz w:val="20"/>
          <w:szCs w:val="20"/>
        </w:rPr>
      </w:pPr>
      <w:r w:rsidRPr="00AA48B0">
        <w:rPr>
          <w:rFonts w:ascii="Arial" w:hAnsi="Arial" w:cs="Arial"/>
          <w:bCs/>
          <w:sz w:val="20"/>
          <w:szCs w:val="20"/>
        </w:rPr>
        <w:t xml:space="preserve">A raíz de esto, la Dirección de Fomento Forestal, tomó varias medidas para reducir este impacto y estas mismas, serán retomadas en el año 2018, con el fin de presentar esta opción de financiamiento como factible para más productores forestales: </w:t>
      </w:r>
    </w:p>
    <w:p w:rsidR="004A042B" w:rsidRPr="00AA48B0" w:rsidRDefault="004A042B" w:rsidP="00AA48B0">
      <w:pPr>
        <w:pStyle w:val="Prrafodelista"/>
        <w:numPr>
          <w:ilvl w:val="0"/>
          <w:numId w:val="1"/>
        </w:numPr>
        <w:spacing w:line="276" w:lineRule="auto"/>
        <w:jc w:val="both"/>
        <w:rPr>
          <w:rFonts w:ascii="Arial" w:hAnsi="Arial" w:cs="Arial"/>
          <w:bCs/>
          <w:sz w:val="20"/>
          <w:szCs w:val="20"/>
        </w:rPr>
      </w:pPr>
      <w:r w:rsidRPr="00AA48B0">
        <w:rPr>
          <w:rFonts w:ascii="Arial" w:hAnsi="Arial" w:cs="Arial"/>
          <w:bCs/>
          <w:sz w:val="20"/>
          <w:szCs w:val="20"/>
        </w:rPr>
        <w:t xml:space="preserve">Con el apoyo de la Dirección General, se presentó una propuesta para bajar la tasa de interés de los créditos a la Junta Directiva de Fonafifo, la cual aprobó la disminución de las tasas entre un 40-60%. Dicha aprobación, consideró el establecimiento de una tasa fija para todos los subprogramas de crédito del 5% con garantía hipotecaria y 7% con garantía fiduciaria. </w:t>
      </w:r>
    </w:p>
    <w:p w:rsidR="004A042B" w:rsidRPr="00AA48B0" w:rsidRDefault="004A042B" w:rsidP="00AA48B0">
      <w:pPr>
        <w:pStyle w:val="Prrafodelista"/>
        <w:numPr>
          <w:ilvl w:val="0"/>
          <w:numId w:val="1"/>
        </w:numPr>
        <w:spacing w:line="276" w:lineRule="auto"/>
        <w:jc w:val="both"/>
        <w:rPr>
          <w:rFonts w:ascii="Arial" w:hAnsi="Arial" w:cs="Arial"/>
          <w:bCs/>
          <w:sz w:val="20"/>
          <w:szCs w:val="20"/>
        </w:rPr>
      </w:pPr>
      <w:r w:rsidRPr="00AA48B0">
        <w:rPr>
          <w:rFonts w:ascii="Arial" w:hAnsi="Arial" w:cs="Arial"/>
          <w:bCs/>
          <w:sz w:val="20"/>
          <w:szCs w:val="20"/>
        </w:rPr>
        <w:t xml:space="preserve">Se aumentó en el plazo de los créditos para el subprograma de Industria Forestal de 8 a 10 años y para el subprograma Fomentando el Desarrollo de 12 a 15 años, con lo cual se les brinda a los clientes la oportunidad de recapitalizar y obtener mejores ganancias. </w:t>
      </w:r>
    </w:p>
    <w:p w:rsidR="004A042B" w:rsidRPr="00AA48B0" w:rsidRDefault="004A042B" w:rsidP="00AA48B0">
      <w:pPr>
        <w:pStyle w:val="Prrafodelista"/>
        <w:numPr>
          <w:ilvl w:val="0"/>
          <w:numId w:val="1"/>
        </w:numPr>
        <w:spacing w:line="276" w:lineRule="auto"/>
        <w:jc w:val="both"/>
        <w:rPr>
          <w:rFonts w:ascii="Arial" w:hAnsi="Arial" w:cs="Arial"/>
          <w:bCs/>
          <w:sz w:val="20"/>
          <w:szCs w:val="20"/>
        </w:rPr>
      </w:pPr>
      <w:r w:rsidRPr="00AA48B0">
        <w:rPr>
          <w:rFonts w:ascii="Arial" w:hAnsi="Arial" w:cs="Arial"/>
          <w:bCs/>
          <w:sz w:val="20"/>
          <w:szCs w:val="20"/>
        </w:rPr>
        <w:t xml:space="preserve">Se reforzó el acompañamiento personalizado por parte de los funcionarios en el trámite de los créditos, con el fin de preparar a los clientes para presentar los requisitos ante el banco. </w:t>
      </w:r>
    </w:p>
    <w:p w:rsidR="004A042B" w:rsidRPr="00AA48B0" w:rsidRDefault="004A042B" w:rsidP="00AA48B0">
      <w:pPr>
        <w:spacing w:line="276" w:lineRule="auto"/>
        <w:jc w:val="both"/>
        <w:rPr>
          <w:rFonts w:ascii="Arial" w:hAnsi="Arial" w:cs="Arial"/>
          <w:bCs/>
          <w:sz w:val="20"/>
          <w:szCs w:val="20"/>
        </w:rPr>
      </w:pPr>
    </w:p>
    <w:p w:rsidR="00AD7360" w:rsidRPr="00AA48B0" w:rsidRDefault="004A042B" w:rsidP="00AA48B0">
      <w:pPr>
        <w:pStyle w:val="Sangra2detindependiente"/>
        <w:spacing w:line="276" w:lineRule="auto"/>
        <w:ind w:left="0"/>
        <w:jc w:val="both"/>
        <w:rPr>
          <w:rFonts w:ascii="Arial" w:hAnsi="Arial" w:cs="Arial"/>
          <w:bCs/>
          <w:sz w:val="20"/>
          <w:szCs w:val="20"/>
        </w:rPr>
      </w:pPr>
      <w:r w:rsidRPr="00AA48B0">
        <w:rPr>
          <w:rFonts w:ascii="Arial" w:hAnsi="Arial" w:cs="Arial"/>
          <w:bCs/>
          <w:sz w:val="20"/>
          <w:szCs w:val="20"/>
        </w:rPr>
        <w:t xml:space="preserve">Cabe resaltar, que casi en su totalidad, las </w:t>
      </w:r>
      <w:r w:rsidRPr="00AA48B0">
        <w:rPr>
          <w:rFonts w:ascii="Arial" w:hAnsi="Arial" w:cs="Arial"/>
          <w:bCs/>
          <w:i/>
          <w:sz w:val="20"/>
          <w:szCs w:val="20"/>
        </w:rPr>
        <w:t>operaciones de crédito realizadas en el año (39), se realizaron en menos de 45 días</w:t>
      </w:r>
      <w:r w:rsidRPr="00AA48B0">
        <w:rPr>
          <w:rFonts w:ascii="Arial" w:hAnsi="Arial" w:cs="Arial"/>
          <w:bCs/>
          <w:sz w:val="20"/>
          <w:szCs w:val="20"/>
        </w:rPr>
        <w:t xml:space="preserve">, facilitando el acceso al financiamiento por parte de empresas forestales y pequeños productores, principalmente para la protección y manejo de plantaciones, impactando más de 1800 hectáreas de plantaciones. </w:t>
      </w:r>
    </w:p>
    <w:p w:rsidR="004A042B" w:rsidRPr="00AA48B0" w:rsidRDefault="004A042B" w:rsidP="00AA48B0">
      <w:pPr>
        <w:pStyle w:val="Sangra2detindependiente"/>
        <w:spacing w:line="276" w:lineRule="auto"/>
        <w:ind w:left="0"/>
        <w:jc w:val="both"/>
        <w:rPr>
          <w:rFonts w:ascii="Arial" w:hAnsi="Arial" w:cs="Arial"/>
          <w:bCs/>
          <w:sz w:val="20"/>
          <w:szCs w:val="20"/>
        </w:rPr>
      </w:pPr>
    </w:p>
    <w:p w:rsidR="00AD7360" w:rsidRPr="00AA48B0" w:rsidRDefault="00AD7360" w:rsidP="00AA48B0">
      <w:pPr>
        <w:pStyle w:val="Sangra2detindependiente"/>
        <w:spacing w:line="276" w:lineRule="auto"/>
        <w:ind w:left="0"/>
        <w:jc w:val="both"/>
        <w:rPr>
          <w:rFonts w:ascii="Arial" w:hAnsi="Arial" w:cs="Arial"/>
          <w:bCs/>
          <w:sz w:val="20"/>
          <w:szCs w:val="20"/>
        </w:rPr>
      </w:pPr>
      <w:r w:rsidRPr="00AA48B0">
        <w:rPr>
          <w:rFonts w:ascii="Arial" w:hAnsi="Arial" w:cs="Arial"/>
          <w:bCs/>
          <w:sz w:val="20"/>
          <w:szCs w:val="20"/>
        </w:rPr>
        <w:t xml:space="preserve">Valga la pena mencionar, que el programa de crédito ofrece opciones de financiamiento con carácter reembolsable, a una tasa de interés y con requisitos específicos, donde el cliente asume un compromiso con una garantía de por medio para retornar el principal y los intereses; por tanto, es lógico y consecuente que si la actividad económica general del país y del sector forestal en específico, no es positiva, habrá menos interesados en acceder al financiamiento. </w:t>
      </w:r>
    </w:p>
    <w:p w:rsidR="00AD7360" w:rsidRPr="00AA48B0" w:rsidRDefault="00AD7360" w:rsidP="00AA48B0">
      <w:pPr>
        <w:pStyle w:val="Sangra2detindependiente"/>
        <w:spacing w:line="276" w:lineRule="auto"/>
        <w:ind w:left="0"/>
        <w:jc w:val="both"/>
        <w:rPr>
          <w:rFonts w:ascii="Arial" w:hAnsi="Arial" w:cs="Arial"/>
          <w:bCs/>
          <w:sz w:val="20"/>
          <w:szCs w:val="20"/>
        </w:rPr>
      </w:pPr>
    </w:p>
    <w:p w:rsidR="00AD7360" w:rsidRPr="00AA48B0" w:rsidRDefault="00AD7360" w:rsidP="00AA48B0">
      <w:pPr>
        <w:pStyle w:val="Sangra2detindependiente"/>
        <w:spacing w:line="276" w:lineRule="auto"/>
        <w:ind w:left="0"/>
        <w:jc w:val="both"/>
        <w:rPr>
          <w:rFonts w:ascii="Arial" w:hAnsi="Arial" w:cs="Arial"/>
          <w:bCs/>
          <w:sz w:val="20"/>
          <w:szCs w:val="20"/>
        </w:rPr>
      </w:pPr>
      <w:r w:rsidRPr="00AA48B0">
        <w:rPr>
          <w:rFonts w:ascii="Arial" w:hAnsi="Arial" w:cs="Arial"/>
          <w:bCs/>
          <w:sz w:val="20"/>
          <w:szCs w:val="20"/>
        </w:rPr>
        <w:t>Como se indicó anteriormente, las medidas de ajuste descritas, tendrán que surtir efecto en la implementación para el año 2018, de manera que sean más los productores forestales que acceda</w:t>
      </w:r>
      <w:r w:rsidR="004A042B" w:rsidRPr="00AA48B0">
        <w:rPr>
          <w:rFonts w:ascii="Arial" w:hAnsi="Arial" w:cs="Arial"/>
          <w:bCs/>
          <w:sz w:val="20"/>
          <w:szCs w:val="20"/>
        </w:rPr>
        <w:t>n</w:t>
      </w:r>
      <w:r w:rsidRPr="00AA48B0">
        <w:rPr>
          <w:rFonts w:ascii="Arial" w:hAnsi="Arial" w:cs="Arial"/>
          <w:bCs/>
          <w:sz w:val="20"/>
          <w:szCs w:val="20"/>
        </w:rPr>
        <w:t xml:space="preserve"> al financiamiento por medio de este programa, que estará apoyado por otras iniciativas del sector ambiental. </w:t>
      </w:r>
    </w:p>
    <w:p w:rsidR="00633D3B" w:rsidRDefault="00633D3B" w:rsidP="00AA48B0">
      <w:pPr>
        <w:pStyle w:val="Sangra2detindependiente"/>
        <w:spacing w:line="276" w:lineRule="auto"/>
        <w:ind w:left="0"/>
        <w:jc w:val="both"/>
        <w:rPr>
          <w:rFonts w:ascii="Arial" w:hAnsi="Arial" w:cs="Arial"/>
          <w:bCs/>
          <w:sz w:val="20"/>
          <w:szCs w:val="20"/>
        </w:rPr>
      </w:pPr>
    </w:p>
    <w:p w:rsidR="00633D3B" w:rsidRPr="00AA48B0" w:rsidRDefault="00633D3B" w:rsidP="00633D3B">
      <w:pPr>
        <w:pStyle w:val="Sangra2detindependiente"/>
        <w:spacing w:line="276" w:lineRule="auto"/>
        <w:ind w:left="0"/>
        <w:jc w:val="both"/>
        <w:rPr>
          <w:rFonts w:ascii="Arial" w:hAnsi="Arial" w:cs="Arial"/>
          <w:bCs/>
          <w:sz w:val="20"/>
          <w:szCs w:val="20"/>
        </w:rPr>
      </w:pPr>
      <w:r>
        <w:rPr>
          <w:rFonts w:ascii="Arial" w:hAnsi="Arial" w:cs="Arial"/>
          <w:bCs/>
          <w:sz w:val="20"/>
          <w:szCs w:val="20"/>
        </w:rPr>
        <w:t xml:space="preserve">Se realizó junto a la Oficina Nacional Forestal (ONF) la quinta edición de Vive la Madera y la C Neutralidad, con una visitación de más de 2000 visitantes, con 73 stands y 119 citas concretadas en la rueda de negocios. </w:t>
      </w:r>
    </w:p>
    <w:p w:rsidR="00970838" w:rsidRDefault="00B231D3" w:rsidP="00AA48B0">
      <w:pPr>
        <w:pStyle w:val="Sangra2detindependiente"/>
        <w:spacing w:line="276" w:lineRule="auto"/>
        <w:ind w:left="0"/>
        <w:jc w:val="both"/>
        <w:rPr>
          <w:rFonts w:ascii="Arial" w:hAnsi="Arial" w:cs="Arial"/>
          <w:bCs/>
          <w:sz w:val="20"/>
          <w:szCs w:val="20"/>
        </w:rPr>
      </w:pPr>
      <w:r w:rsidRPr="00AA48B0">
        <w:rPr>
          <w:rFonts w:ascii="Arial" w:hAnsi="Arial" w:cs="Arial"/>
          <w:bCs/>
          <w:sz w:val="20"/>
          <w:szCs w:val="20"/>
        </w:rPr>
        <w:lastRenderedPageBreak/>
        <w:t>Este año, el Programa de Plantaciones de Aprovechamiento Forestal (PPAF)</w:t>
      </w:r>
      <w:r w:rsidR="00970838" w:rsidRPr="00AA48B0">
        <w:rPr>
          <w:rFonts w:ascii="Arial" w:hAnsi="Arial" w:cs="Arial"/>
          <w:bCs/>
          <w:sz w:val="20"/>
          <w:szCs w:val="20"/>
        </w:rPr>
        <w:t xml:space="preserve"> capacitó a 105 productores, que integran los proyectos dentro del programa, así como se sumaron 17 proyectos y 10 fincas más se integraron a PSA por resultados. </w:t>
      </w:r>
    </w:p>
    <w:p w:rsidR="00633D3B" w:rsidRDefault="00633D3B" w:rsidP="00AA48B0">
      <w:pPr>
        <w:pStyle w:val="Sangra2detindependiente"/>
        <w:spacing w:line="276" w:lineRule="auto"/>
        <w:ind w:left="0"/>
        <w:jc w:val="both"/>
        <w:rPr>
          <w:rFonts w:ascii="Arial" w:hAnsi="Arial" w:cs="Arial"/>
          <w:bCs/>
          <w:sz w:val="20"/>
          <w:szCs w:val="20"/>
        </w:rPr>
      </w:pPr>
    </w:p>
    <w:p w:rsidR="00AD7360" w:rsidRPr="00AA48B0" w:rsidRDefault="00AD7360" w:rsidP="00AA48B0">
      <w:pPr>
        <w:spacing w:line="276" w:lineRule="auto"/>
        <w:jc w:val="both"/>
        <w:rPr>
          <w:rFonts w:ascii="Arial" w:hAnsi="Arial" w:cs="Arial"/>
          <w:sz w:val="20"/>
          <w:szCs w:val="20"/>
          <w:lang w:val="es-MX"/>
        </w:rPr>
      </w:pPr>
    </w:p>
    <w:p w:rsidR="00FA5D0D" w:rsidRPr="00AA48B0" w:rsidRDefault="00FA5D0D" w:rsidP="00AA48B0">
      <w:pPr>
        <w:pStyle w:val="Subttulo"/>
        <w:spacing w:line="276" w:lineRule="auto"/>
        <w:jc w:val="both"/>
        <w:rPr>
          <w:rFonts w:ascii="Arial" w:hAnsi="Arial" w:cs="Arial"/>
          <w:sz w:val="20"/>
          <w:szCs w:val="20"/>
        </w:rPr>
      </w:pPr>
      <w:r w:rsidRPr="00AA48B0">
        <w:rPr>
          <w:rFonts w:ascii="Arial" w:hAnsi="Arial" w:cs="Arial"/>
          <w:sz w:val="20"/>
          <w:szCs w:val="20"/>
        </w:rPr>
        <w:t xml:space="preserve">Dirección de Desarrollo y Comercialización </w:t>
      </w:r>
    </w:p>
    <w:p w:rsidR="004A042B" w:rsidRPr="00AA48B0" w:rsidRDefault="004A042B" w:rsidP="00AA48B0">
      <w:pPr>
        <w:pStyle w:val="Sangra2detindependiente"/>
        <w:spacing w:line="276" w:lineRule="auto"/>
        <w:ind w:left="0"/>
        <w:jc w:val="both"/>
        <w:rPr>
          <w:rFonts w:ascii="Arial" w:hAnsi="Arial" w:cs="Arial"/>
          <w:bCs/>
          <w:sz w:val="20"/>
          <w:szCs w:val="20"/>
        </w:rPr>
      </w:pPr>
      <w:r w:rsidRPr="00AA48B0">
        <w:rPr>
          <w:rFonts w:ascii="Arial" w:hAnsi="Arial" w:cs="Arial"/>
          <w:bCs/>
          <w:sz w:val="20"/>
          <w:szCs w:val="20"/>
        </w:rPr>
        <w:t xml:space="preserve">Los resultados obtenidos en esta área son satisfactorios para la institución, puesto que se cuenta con un </w:t>
      </w:r>
      <w:r w:rsidRPr="00AA48B0">
        <w:rPr>
          <w:rFonts w:ascii="Arial" w:hAnsi="Arial" w:cs="Arial"/>
          <w:bCs/>
          <w:i/>
          <w:sz w:val="20"/>
          <w:szCs w:val="20"/>
        </w:rPr>
        <w:t>total de $2.471.168,07 captados</w:t>
      </w:r>
      <w:r w:rsidRPr="00AA48B0">
        <w:rPr>
          <w:rFonts w:ascii="Arial" w:hAnsi="Arial" w:cs="Arial"/>
          <w:bCs/>
          <w:sz w:val="20"/>
          <w:szCs w:val="20"/>
        </w:rPr>
        <w:t xml:space="preserve"> mediante convenios, comercialización de proyectos y contabilizando el monto asignado a la institución por concepto de Canon del Agua. Se realizó la negociación por convenios por más de 480 mil dólares, lo que aumentó la expectativa de captación programada.  </w:t>
      </w:r>
    </w:p>
    <w:p w:rsidR="004A042B" w:rsidRPr="00AA48B0" w:rsidRDefault="004A042B" w:rsidP="00AA48B0">
      <w:pPr>
        <w:pStyle w:val="Sangra2detindependiente"/>
        <w:spacing w:line="276" w:lineRule="auto"/>
        <w:ind w:left="0"/>
        <w:jc w:val="both"/>
        <w:rPr>
          <w:rFonts w:ascii="Arial" w:hAnsi="Arial" w:cs="Arial"/>
          <w:bCs/>
          <w:sz w:val="20"/>
          <w:szCs w:val="20"/>
        </w:rPr>
      </w:pPr>
    </w:p>
    <w:p w:rsidR="004A042B" w:rsidRPr="00AA48B0" w:rsidRDefault="004A042B" w:rsidP="00AA48B0">
      <w:pPr>
        <w:pStyle w:val="Sangra2detindependiente"/>
        <w:spacing w:line="276" w:lineRule="auto"/>
        <w:ind w:left="0"/>
        <w:jc w:val="both"/>
        <w:rPr>
          <w:rFonts w:ascii="Arial" w:hAnsi="Arial" w:cs="Arial"/>
          <w:bCs/>
          <w:sz w:val="20"/>
          <w:szCs w:val="20"/>
        </w:rPr>
      </w:pPr>
      <w:r w:rsidRPr="00AA48B0">
        <w:rPr>
          <w:rFonts w:ascii="Arial" w:hAnsi="Arial" w:cs="Arial"/>
          <w:bCs/>
          <w:sz w:val="20"/>
          <w:szCs w:val="20"/>
        </w:rPr>
        <w:t xml:space="preserve">Lo anterior, está sustentado con una opinión favorable de los clientes de comercialización, </w:t>
      </w:r>
      <w:r w:rsidR="00AB0D7D" w:rsidRPr="00AA48B0">
        <w:rPr>
          <w:rFonts w:ascii="Arial" w:hAnsi="Arial" w:cs="Arial"/>
          <w:bCs/>
          <w:sz w:val="20"/>
          <w:szCs w:val="20"/>
        </w:rPr>
        <w:t>apoyada por giras de campo con clientes y con la participación de la dirección en diversas actividades de promoción, además, de una campaña publicitaria con una audiencia mayor a los 3 millones de personas, durante el periodo.</w:t>
      </w:r>
    </w:p>
    <w:p w:rsidR="004A042B" w:rsidRPr="00AA48B0" w:rsidRDefault="004A042B" w:rsidP="00AA48B0">
      <w:pPr>
        <w:pStyle w:val="Sangra2detindependiente"/>
        <w:spacing w:line="276" w:lineRule="auto"/>
        <w:ind w:left="0"/>
        <w:jc w:val="both"/>
        <w:rPr>
          <w:rFonts w:ascii="Arial" w:hAnsi="Arial" w:cs="Arial"/>
          <w:bCs/>
          <w:sz w:val="20"/>
          <w:szCs w:val="20"/>
        </w:rPr>
      </w:pPr>
    </w:p>
    <w:p w:rsidR="004A042B" w:rsidRPr="00AA48B0" w:rsidRDefault="004A042B" w:rsidP="00AA48B0">
      <w:pPr>
        <w:pStyle w:val="Sangra2detindependiente"/>
        <w:spacing w:line="276" w:lineRule="auto"/>
        <w:ind w:left="0"/>
        <w:jc w:val="both"/>
        <w:rPr>
          <w:rFonts w:ascii="Arial" w:hAnsi="Arial" w:cs="Arial"/>
          <w:bCs/>
          <w:sz w:val="20"/>
          <w:szCs w:val="20"/>
        </w:rPr>
      </w:pPr>
      <w:r w:rsidRPr="00AA48B0">
        <w:rPr>
          <w:rFonts w:ascii="Arial" w:hAnsi="Arial" w:cs="Arial"/>
          <w:bCs/>
          <w:sz w:val="20"/>
          <w:szCs w:val="20"/>
        </w:rPr>
        <w:t xml:space="preserve">Asimismo, </w:t>
      </w:r>
      <w:r w:rsidRPr="00AA48B0">
        <w:rPr>
          <w:rFonts w:ascii="Arial" w:hAnsi="Arial" w:cs="Arial"/>
          <w:bCs/>
          <w:i/>
          <w:sz w:val="20"/>
          <w:szCs w:val="20"/>
        </w:rPr>
        <w:t>se comercializó en el mercado local de carbono un total de 50.778 Unidades Naciones de Compensación (UNC),</w:t>
      </w:r>
      <w:r w:rsidRPr="00AA48B0">
        <w:rPr>
          <w:rFonts w:ascii="Arial" w:hAnsi="Arial" w:cs="Arial"/>
          <w:bCs/>
          <w:sz w:val="20"/>
          <w:szCs w:val="20"/>
        </w:rPr>
        <w:t xml:space="preserve"> superando con creces la meta anual definida. En tanto el mercado local no cuente con más oferentes, Fonafifo contará con la exclusividad de comercialización de unidades de compensación, se espera que, durante el año, la Dirección de Cambio Climático establezca las reglas de este mercado. Mientras tanto, Fonafifo cuenta con casi 200 mil toneladas de carbono para comercializar, las cuales han sido verificadas en cantidad y calidad en los proyectos vigentes del PPSA. </w:t>
      </w:r>
    </w:p>
    <w:p w:rsidR="004A042B" w:rsidRPr="00AA48B0" w:rsidRDefault="004A042B" w:rsidP="00AA48B0">
      <w:pPr>
        <w:spacing w:line="276" w:lineRule="auto"/>
        <w:jc w:val="both"/>
        <w:rPr>
          <w:rFonts w:ascii="Arial" w:hAnsi="Arial" w:cs="Arial"/>
          <w:sz w:val="20"/>
          <w:szCs w:val="20"/>
          <w:lang w:val="es-MX"/>
        </w:rPr>
      </w:pPr>
    </w:p>
    <w:p w:rsidR="00FA5D0D" w:rsidRPr="00AA48B0" w:rsidRDefault="00FA5D0D" w:rsidP="00AA48B0">
      <w:pPr>
        <w:pStyle w:val="Subttulo"/>
        <w:spacing w:line="276" w:lineRule="auto"/>
        <w:jc w:val="both"/>
        <w:rPr>
          <w:rFonts w:ascii="Arial" w:hAnsi="Arial" w:cs="Arial"/>
          <w:sz w:val="20"/>
          <w:szCs w:val="20"/>
        </w:rPr>
      </w:pPr>
      <w:r w:rsidRPr="00AA48B0">
        <w:rPr>
          <w:rFonts w:ascii="Arial" w:hAnsi="Arial" w:cs="Arial"/>
          <w:sz w:val="20"/>
          <w:szCs w:val="20"/>
        </w:rPr>
        <w:t xml:space="preserve">Dirección de Asuntos Jurídicos </w:t>
      </w:r>
    </w:p>
    <w:p w:rsidR="000F6F13" w:rsidRPr="00AA48B0" w:rsidRDefault="000F6F13" w:rsidP="00AA48B0">
      <w:pPr>
        <w:spacing w:line="276" w:lineRule="auto"/>
        <w:jc w:val="both"/>
        <w:rPr>
          <w:rFonts w:ascii="Arial" w:hAnsi="Arial" w:cs="Arial"/>
          <w:sz w:val="20"/>
          <w:szCs w:val="20"/>
        </w:rPr>
      </w:pPr>
      <w:r w:rsidRPr="00AA48B0">
        <w:rPr>
          <w:rFonts w:ascii="Arial" w:hAnsi="Arial" w:cs="Arial"/>
          <w:sz w:val="20"/>
          <w:szCs w:val="20"/>
        </w:rPr>
        <w:t xml:space="preserve">Como parte de su labor de asesorar y emitir criterios técnico legales a la institución, la Dirección de Asuntos Jurídicos resolvió y emitió criterios a una cantidad de 477consultas técnico legales durante el año, que se suman a las 147 realizadas exclusivamente para el PPSA y 27 para los procesos de contratación administrativa. </w:t>
      </w:r>
    </w:p>
    <w:p w:rsidR="00CD59DA" w:rsidRPr="00AA48B0" w:rsidRDefault="000F6F13" w:rsidP="00AA48B0">
      <w:pPr>
        <w:spacing w:line="276" w:lineRule="auto"/>
        <w:jc w:val="both"/>
        <w:rPr>
          <w:rFonts w:ascii="Arial" w:hAnsi="Arial" w:cs="Arial"/>
          <w:sz w:val="20"/>
          <w:szCs w:val="20"/>
        </w:rPr>
      </w:pPr>
      <w:r w:rsidRPr="00AA48B0">
        <w:rPr>
          <w:rFonts w:ascii="Arial" w:hAnsi="Arial" w:cs="Arial"/>
          <w:sz w:val="20"/>
          <w:szCs w:val="20"/>
        </w:rPr>
        <w:t xml:space="preserve">Por otro lado, se hizo la valoración de 953 solicitudes del PPSA que resultaron, en el periodo en 628 contratos formalizados. Es importante anotar, que se trabajó en un total de 642 modificaciones y finiquitos de contratos del PPSA.  </w:t>
      </w:r>
    </w:p>
    <w:p w:rsidR="000F6F13" w:rsidRPr="00AA48B0" w:rsidRDefault="000F6F13" w:rsidP="00AA48B0">
      <w:pPr>
        <w:spacing w:line="276" w:lineRule="auto"/>
        <w:jc w:val="both"/>
        <w:rPr>
          <w:rFonts w:ascii="Arial" w:hAnsi="Arial" w:cs="Arial"/>
          <w:sz w:val="20"/>
          <w:szCs w:val="20"/>
        </w:rPr>
      </w:pPr>
      <w:r w:rsidRPr="00AA48B0">
        <w:rPr>
          <w:rFonts w:ascii="Arial" w:hAnsi="Arial" w:cs="Arial"/>
          <w:sz w:val="20"/>
          <w:szCs w:val="20"/>
        </w:rPr>
        <w:t xml:space="preserve">Por orden del ministro, se </w:t>
      </w:r>
      <w:r w:rsidRPr="00725898">
        <w:rPr>
          <w:rFonts w:ascii="Arial" w:hAnsi="Arial" w:cs="Arial"/>
          <w:sz w:val="20"/>
          <w:szCs w:val="20"/>
        </w:rPr>
        <w:t>atendieron 13</w:t>
      </w:r>
      <w:r w:rsidRPr="00AA48B0">
        <w:rPr>
          <w:rFonts w:ascii="Arial" w:hAnsi="Arial" w:cs="Arial"/>
          <w:sz w:val="20"/>
          <w:szCs w:val="20"/>
        </w:rPr>
        <w:t xml:space="preserve"> </w:t>
      </w:r>
      <w:r w:rsidR="00BE1FA0">
        <w:rPr>
          <w:rFonts w:ascii="Arial" w:hAnsi="Arial" w:cs="Arial"/>
          <w:sz w:val="20"/>
          <w:szCs w:val="20"/>
        </w:rPr>
        <w:t>nombramientos para participar de procesos</w:t>
      </w:r>
      <w:r w:rsidRPr="00AA48B0">
        <w:rPr>
          <w:rFonts w:ascii="Arial" w:hAnsi="Arial" w:cs="Arial"/>
          <w:sz w:val="20"/>
          <w:szCs w:val="20"/>
        </w:rPr>
        <w:t xml:space="preserve"> </w:t>
      </w:r>
      <w:r w:rsidR="00725898">
        <w:rPr>
          <w:rFonts w:ascii="Arial" w:hAnsi="Arial" w:cs="Arial"/>
          <w:sz w:val="20"/>
          <w:szCs w:val="20"/>
        </w:rPr>
        <w:t>de investigación</w:t>
      </w:r>
      <w:r w:rsidRPr="00AA48B0">
        <w:rPr>
          <w:rFonts w:ascii="Arial" w:hAnsi="Arial" w:cs="Arial"/>
          <w:sz w:val="20"/>
          <w:szCs w:val="20"/>
        </w:rPr>
        <w:t xml:space="preserve"> varios, en l</w:t>
      </w:r>
      <w:r w:rsidR="00725898">
        <w:rPr>
          <w:rFonts w:ascii="Arial" w:hAnsi="Arial" w:cs="Arial"/>
          <w:sz w:val="20"/>
          <w:szCs w:val="20"/>
        </w:rPr>
        <w:t>os que participaron 5 de los 7 funcionarios de esta d</w:t>
      </w:r>
      <w:r w:rsidRPr="00AA48B0">
        <w:rPr>
          <w:rFonts w:ascii="Arial" w:hAnsi="Arial" w:cs="Arial"/>
          <w:sz w:val="20"/>
          <w:szCs w:val="20"/>
        </w:rPr>
        <w:t>irección.</w:t>
      </w:r>
    </w:p>
    <w:p w:rsidR="000F6F13" w:rsidRPr="00AA48B0" w:rsidRDefault="000F6F13" w:rsidP="00AA48B0">
      <w:pPr>
        <w:spacing w:line="276" w:lineRule="auto"/>
        <w:jc w:val="both"/>
        <w:rPr>
          <w:rFonts w:ascii="Arial" w:hAnsi="Arial" w:cs="Arial"/>
          <w:sz w:val="20"/>
          <w:szCs w:val="20"/>
        </w:rPr>
      </w:pPr>
    </w:p>
    <w:p w:rsidR="00FA5D0D" w:rsidRPr="00AA48B0" w:rsidRDefault="00FA5D0D" w:rsidP="00AA48B0">
      <w:pPr>
        <w:pStyle w:val="Subttulo"/>
        <w:spacing w:line="276" w:lineRule="auto"/>
        <w:jc w:val="both"/>
        <w:rPr>
          <w:rFonts w:ascii="Arial" w:hAnsi="Arial" w:cs="Arial"/>
          <w:sz w:val="20"/>
          <w:szCs w:val="20"/>
        </w:rPr>
      </w:pPr>
      <w:r w:rsidRPr="00AA48B0">
        <w:rPr>
          <w:rFonts w:ascii="Arial" w:hAnsi="Arial" w:cs="Arial"/>
          <w:sz w:val="20"/>
          <w:szCs w:val="20"/>
        </w:rPr>
        <w:t xml:space="preserve">Dirección Administrativa Financiera </w:t>
      </w:r>
    </w:p>
    <w:p w:rsidR="00030E5D" w:rsidRPr="00AA48B0" w:rsidRDefault="00030E5D" w:rsidP="00AA48B0">
      <w:pPr>
        <w:spacing w:line="276" w:lineRule="auto"/>
        <w:jc w:val="both"/>
        <w:rPr>
          <w:rStyle w:val="nfasissutil"/>
          <w:rFonts w:ascii="Arial" w:hAnsi="Arial" w:cs="Arial"/>
          <w:sz w:val="20"/>
          <w:szCs w:val="20"/>
        </w:rPr>
      </w:pPr>
      <w:r w:rsidRPr="00AA48B0">
        <w:rPr>
          <w:rStyle w:val="nfasissutil"/>
          <w:rFonts w:ascii="Arial" w:hAnsi="Arial" w:cs="Arial"/>
          <w:sz w:val="20"/>
          <w:szCs w:val="20"/>
        </w:rPr>
        <w:t>Departamento Administrativo</w:t>
      </w:r>
    </w:p>
    <w:p w:rsidR="00030E5D" w:rsidRPr="00725898" w:rsidRDefault="00030E5D" w:rsidP="00AA48B0">
      <w:pPr>
        <w:spacing w:line="276" w:lineRule="auto"/>
        <w:jc w:val="both"/>
        <w:rPr>
          <w:rFonts w:ascii="Arial" w:hAnsi="Arial" w:cs="Arial"/>
          <w:sz w:val="20"/>
          <w:szCs w:val="20"/>
        </w:rPr>
      </w:pPr>
      <w:r w:rsidRPr="00725898">
        <w:rPr>
          <w:iCs/>
          <w:sz w:val="20"/>
          <w:szCs w:val="20"/>
        </w:rPr>
        <w:t xml:space="preserve">Un elemento importante de destacar que, en la segunda mitad del año, muchas de las actividades del departamento se vieron afectadas por el Decreto </w:t>
      </w:r>
      <w:r w:rsidRPr="00725898">
        <w:rPr>
          <w:rFonts w:ascii="Arial" w:hAnsi="Arial" w:cs="Arial"/>
          <w:sz w:val="20"/>
          <w:szCs w:val="20"/>
        </w:rPr>
        <w:t>40540-H</w:t>
      </w:r>
      <w:r w:rsidRPr="00725898">
        <w:rPr>
          <w:iCs/>
          <w:sz w:val="20"/>
          <w:szCs w:val="20"/>
        </w:rPr>
        <w:t xml:space="preserve"> de Contingencia Fiscal, </w:t>
      </w:r>
      <w:r w:rsidRPr="00725898">
        <w:rPr>
          <w:rFonts w:ascii="Arial" w:hAnsi="Arial" w:cs="Arial"/>
          <w:sz w:val="20"/>
          <w:szCs w:val="20"/>
        </w:rPr>
        <w:t xml:space="preserve">emitido por la </w:t>
      </w:r>
      <w:r w:rsidRPr="00725898">
        <w:rPr>
          <w:rFonts w:ascii="Arial" w:hAnsi="Arial" w:cs="Arial"/>
          <w:sz w:val="20"/>
          <w:szCs w:val="20"/>
        </w:rPr>
        <w:lastRenderedPageBreak/>
        <w:t>Presidencia de</w:t>
      </w:r>
      <w:r w:rsidR="00BE1FA0">
        <w:rPr>
          <w:rFonts w:ascii="Arial" w:hAnsi="Arial" w:cs="Arial"/>
          <w:sz w:val="20"/>
          <w:szCs w:val="20"/>
        </w:rPr>
        <w:t xml:space="preserve"> la República, en la cual se les</w:t>
      </w:r>
      <w:r w:rsidRPr="00725898">
        <w:rPr>
          <w:rFonts w:ascii="Arial" w:hAnsi="Arial" w:cs="Arial"/>
          <w:sz w:val="20"/>
          <w:szCs w:val="20"/>
        </w:rPr>
        <w:t xml:space="preserve"> solicita a las instituciones públicas la contracción del gasto, mediante la suspensión de contrataciones, capacitaciones y otros gastos no indispensables. </w:t>
      </w:r>
    </w:p>
    <w:p w:rsidR="00030E5D" w:rsidRPr="00AA48B0" w:rsidRDefault="00030E5D" w:rsidP="00AA48B0">
      <w:pPr>
        <w:spacing w:line="276" w:lineRule="auto"/>
        <w:jc w:val="both"/>
        <w:rPr>
          <w:rFonts w:ascii="Arial" w:hAnsi="Arial" w:cs="Arial"/>
          <w:sz w:val="20"/>
          <w:szCs w:val="20"/>
        </w:rPr>
      </w:pPr>
      <w:r w:rsidRPr="00AA48B0">
        <w:rPr>
          <w:rFonts w:ascii="Arial" w:hAnsi="Arial" w:cs="Arial"/>
          <w:sz w:val="20"/>
          <w:szCs w:val="20"/>
        </w:rPr>
        <w:t xml:space="preserve">A pesar de ello, el departamento contó con la ventaja de que muchas de las contrataciones realizadas en el año, estaban avanzas en ese momento, por lo que la Unidad de Proveeduría y Servicios Generales </w:t>
      </w:r>
      <w:r w:rsidR="00D61756" w:rsidRPr="00AA48B0">
        <w:rPr>
          <w:rFonts w:ascii="Arial" w:hAnsi="Arial" w:cs="Arial"/>
          <w:sz w:val="20"/>
          <w:szCs w:val="20"/>
        </w:rPr>
        <w:t xml:space="preserve">se abocó a cerrar los procesos iniciados. </w:t>
      </w:r>
    </w:p>
    <w:p w:rsidR="00BE1FA0" w:rsidRPr="00AA48B0" w:rsidRDefault="00BE1FA0" w:rsidP="00BE1FA0">
      <w:pPr>
        <w:spacing w:line="276" w:lineRule="auto"/>
        <w:jc w:val="both"/>
        <w:rPr>
          <w:rFonts w:ascii="Arial" w:hAnsi="Arial" w:cs="Arial"/>
          <w:sz w:val="20"/>
          <w:szCs w:val="20"/>
        </w:rPr>
      </w:pPr>
      <w:r w:rsidRPr="00AA48B0">
        <w:rPr>
          <w:rFonts w:ascii="Arial" w:hAnsi="Arial" w:cs="Arial"/>
          <w:sz w:val="20"/>
          <w:szCs w:val="20"/>
        </w:rPr>
        <w:t xml:space="preserve">Se realizaron un total de 267 órdenes de inicio y 100 solicitudes de contratación, las cuales se les dio gestión a 306 en combinación (un 83%). </w:t>
      </w:r>
    </w:p>
    <w:p w:rsidR="00D61756" w:rsidRPr="00AA48B0" w:rsidRDefault="00D61756" w:rsidP="00AA48B0">
      <w:pPr>
        <w:spacing w:line="276" w:lineRule="auto"/>
        <w:jc w:val="both"/>
        <w:rPr>
          <w:rFonts w:ascii="Arial" w:hAnsi="Arial" w:cs="Arial"/>
          <w:sz w:val="20"/>
          <w:szCs w:val="20"/>
        </w:rPr>
      </w:pPr>
      <w:r w:rsidRPr="00AA48B0">
        <w:rPr>
          <w:rFonts w:ascii="Arial" w:hAnsi="Arial" w:cs="Arial"/>
          <w:sz w:val="20"/>
          <w:szCs w:val="20"/>
        </w:rPr>
        <w:t xml:space="preserve">En total, se realizaron 825 movimientos de activos físicos, lo que representa un 85% de los movimientos estimados para el año. Por otro lado, es importante destacar que se estructuró el proceso de donación de bienes, conformando también la Comisión de Donación de Bienes de la Institución. </w:t>
      </w:r>
    </w:p>
    <w:p w:rsidR="0004550F" w:rsidRPr="00AA48B0" w:rsidRDefault="0004550F" w:rsidP="00AA48B0">
      <w:pPr>
        <w:spacing w:line="276" w:lineRule="auto"/>
        <w:jc w:val="both"/>
        <w:rPr>
          <w:rFonts w:ascii="Arial" w:hAnsi="Arial" w:cs="Arial"/>
          <w:sz w:val="20"/>
          <w:szCs w:val="20"/>
        </w:rPr>
      </w:pPr>
      <w:r w:rsidRPr="00AA48B0">
        <w:rPr>
          <w:rFonts w:ascii="Arial" w:hAnsi="Arial" w:cs="Arial"/>
          <w:sz w:val="20"/>
          <w:szCs w:val="20"/>
        </w:rPr>
        <w:t xml:space="preserve">La unidad de Recursos Humanos, participó activamente a la organización de la Semana de la Salud Ocupacional, en la organización de dos cursos que fueron ofrecidos a funcionarios y externos sobre Contratación Administrativa y Planificación Estratégica. </w:t>
      </w:r>
    </w:p>
    <w:p w:rsidR="0004550F" w:rsidRPr="00AA48B0" w:rsidRDefault="0004550F" w:rsidP="00AA48B0">
      <w:pPr>
        <w:spacing w:line="276" w:lineRule="auto"/>
        <w:jc w:val="both"/>
        <w:rPr>
          <w:rFonts w:ascii="Arial" w:hAnsi="Arial" w:cs="Arial"/>
          <w:sz w:val="20"/>
          <w:szCs w:val="20"/>
        </w:rPr>
      </w:pPr>
      <w:r w:rsidRPr="00AA48B0">
        <w:rPr>
          <w:rFonts w:ascii="Arial" w:hAnsi="Arial" w:cs="Arial"/>
          <w:sz w:val="20"/>
          <w:szCs w:val="20"/>
        </w:rPr>
        <w:t>Así también, se tiene una participación promedio de 12 funcionarios en el plan de formación institucional, del promedio esperado de 10 personas en promedio. Así</w:t>
      </w:r>
      <w:r w:rsidR="00BE1FA0">
        <w:rPr>
          <w:rFonts w:ascii="Arial" w:hAnsi="Arial" w:cs="Arial"/>
          <w:sz w:val="20"/>
          <w:szCs w:val="20"/>
        </w:rPr>
        <w:t xml:space="preserve"> también</w:t>
      </w:r>
      <w:r w:rsidRPr="00AA48B0">
        <w:rPr>
          <w:rFonts w:ascii="Arial" w:hAnsi="Arial" w:cs="Arial"/>
          <w:sz w:val="20"/>
          <w:szCs w:val="20"/>
        </w:rPr>
        <w:t xml:space="preserve">, se tiene que dentro del plan de la capacitación se dio capacitaciones a 86 funcionarios de la institución. </w:t>
      </w:r>
    </w:p>
    <w:p w:rsidR="0004550F" w:rsidRPr="00AA48B0" w:rsidRDefault="0004550F" w:rsidP="00AA48B0">
      <w:pPr>
        <w:spacing w:line="276" w:lineRule="auto"/>
        <w:jc w:val="both"/>
        <w:rPr>
          <w:rFonts w:ascii="Arial" w:hAnsi="Arial" w:cs="Arial"/>
          <w:sz w:val="20"/>
          <w:szCs w:val="20"/>
        </w:rPr>
      </w:pPr>
      <w:r w:rsidRPr="00AA48B0">
        <w:rPr>
          <w:rFonts w:ascii="Arial" w:hAnsi="Arial" w:cs="Arial"/>
          <w:sz w:val="20"/>
          <w:szCs w:val="20"/>
        </w:rPr>
        <w:t xml:space="preserve">En cuanto a los resultados de la Unidad de Salud Ocupacional, se tiene un avance casi completo en los planes de atención de emergencias y de igualdad de oportunidades. </w:t>
      </w:r>
    </w:p>
    <w:p w:rsidR="0004550F" w:rsidRDefault="00BE1FA0" w:rsidP="00AA48B0">
      <w:pPr>
        <w:spacing w:line="276" w:lineRule="auto"/>
        <w:jc w:val="both"/>
        <w:rPr>
          <w:rFonts w:ascii="Arial" w:hAnsi="Arial" w:cs="Arial"/>
          <w:sz w:val="20"/>
          <w:szCs w:val="20"/>
        </w:rPr>
      </w:pPr>
      <w:r>
        <w:rPr>
          <w:rFonts w:ascii="Arial" w:hAnsi="Arial" w:cs="Arial"/>
          <w:sz w:val="20"/>
          <w:szCs w:val="20"/>
        </w:rPr>
        <w:t>En cuanto a indicadores ambientales, se muestra un</w:t>
      </w:r>
      <w:r w:rsidR="0004550F" w:rsidRPr="00AA48B0">
        <w:rPr>
          <w:rFonts w:ascii="Arial" w:hAnsi="Arial" w:cs="Arial"/>
          <w:sz w:val="20"/>
          <w:szCs w:val="20"/>
        </w:rPr>
        <w:t xml:space="preserve"> consumo de 7,4 resmas de papel por funcionario para el año, contrapesando que durante este mismo periodo el promedio de kilogramos de residuos reciclados en el año supera los 20 por funcionario. </w:t>
      </w:r>
    </w:p>
    <w:p w:rsidR="00BE1FA0" w:rsidRPr="00AA48B0" w:rsidRDefault="00BE1FA0" w:rsidP="00AA48B0">
      <w:pPr>
        <w:spacing w:line="276" w:lineRule="auto"/>
        <w:jc w:val="both"/>
        <w:rPr>
          <w:rFonts w:ascii="Arial" w:hAnsi="Arial" w:cs="Arial"/>
          <w:sz w:val="20"/>
          <w:szCs w:val="20"/>
        </w:rPr>
      </w:pPr>
      <w:r>
        <w:rPr>
          <w:rFonts w:ascii="Arial" w:hAnsi="Arial" w:cs="Arial"/>
          <w:sz w:val="20"/>
          <w:szCs w:val="20"/>
        </w:rPr>
        <w:t xml:space="preserve">Los ajustes operativos realizados por la estrategia REDD+ en el año 2017, produjeron consecuentes ajustes en los resultados de la Unidad de Adquisiciones, por lo que se cuenta con un avance de ejecución del presupuesto de contrataciones del 23%, correspondiente a 67 contratos firmados a fin del año. </w:t>
      </w:r>
    </w:p>
    <w:p w:rsidR="0004550F" w:rsidRPr="00AA48B0" w:rsidRDefault="0004550F" w:rsidP="00AA48B0">
      <w:pPr>
        <w:spacing w:line="276" w:lineRule="auto"/>
        <w:jc w:val="both"/>
        <w:rPr>
          <w:rFonts w:ascii="Arial" w:hAnsi="Arial" w:cs="Arial"/>
          <w:sz w:val="20"/>
          <w:szCs w:val="20"/>
        </w:rPr>
      </w:pPr>
      <w:r w:rsidRPr="00AA48B0">
        <w:rPr>
          <w:rFonts w:ascii="Arial" w:hAnsi="Arial" w:cs="Arial"/>
          <w:sz w:val="20"/>
          <w:szCs w:val="20"/>
        </w:rPr>
        <w:t xml:space="preserve">Finalmente, la Unidad de Archivo contó con una contratación temporánea, que permitió que se hiciera una eliminación de más de 15 metros lineales de documentos </w:t>
      </w:r>
      <w:r w:rsidR="00AA48B0" w:rsidRPr="00AA48B0">
        <w:rPr>
          <w:rFonts w:ascii="Arial" w:hAnsi="Arial" w:cs="Arial"/>
          <w:sz w:val="20"/>
          <w:szCs w:val="20"/>
        </w:rPr>
        <w:t xml:space="preserve">y se recibieran en el archivo central más de 40 metros lineales de documentos, procedentes de los archivos de gestión de las áreas funcionales. </w:t>
      </w:r>
    </w:p>
    <w:p w:rsidR="00030E5D" w:rsidRPr="00AA48B0" w:rsidRDefault="00030E5D" w:rsidP="00AA48B0">
      <w:pPr>
        <w:spacing w:line="276" w:lineRule="auto"/>
        <w:jc w:val="both"/>
        <w:rPr>
          <w:rStyle w:val="nfasissutil"/>
          <w:rFonts w:ascii="Arial" w:hAnsi="Arial" w:cs="Arial"/>
          <w:sz w:val="20"/>
          <w:szCs w:val="20"/>
        </w:rPr>
      </w:pPr>
    </w:p>
    <w:p w:rsidR="00030E5D" w:rsidRPr="00AA48B0" w:rsidRDefault="00030E5D" w:rsidP="00AA48B0">
      <w:pPr>
        <w:spacing w:line="276" w:lineRule="auto"/>
        <w:jc w:val="both"/>
        <w:rPr>
          <w:rStyle w:val="nfasissutil"/>
          <w:rFonts w:ascii="Arial" w:hAnsi="Arial" w:cs="Arial"/>
          <w:sz w:val="20"/>
          <w:szCs w:val="20"/>
        </w:rPr>
      </w:pPr>
      <w:r w:rsidRPr="00AA48B0">
        <w:rPr>
          <w:rStyle w:val="nfasissutil"/>
          <w:rFonts w:ascii="Arial" w:hAnsi="Arial" w:cs="Arial"/>
          <w:sz w:val="20"/>
          <w:szCs w:val="20"/>
        </w:rPr>
        <w:t xml:space="preserve">Departamento Financiero Contable </w:t>
      </w:r>
    </w:p>
    <w:p w:rsidR="00030E5D" w:rsidRPr="00AA48B0" w:rsidRDefault="00030E5D" w:rsidP="00AA48B0">
      <w:pPr>
        <w:spacing w:line="276" w:lineRule="auto"/>
        <w:jc w:val="both"/>
        <w:rPr>
          <w:iCs/>
          <w:sz w:val="20"/>
        </w:rPr>
      </w:pPr>
      <w:r w:rsidRPr="00AA48B0">
        <w:rPr>
          <w:iCs/>
          <w:sz w:val="20"/>
        </w:rPr>
        <w:t xml:space="preserve">Este departamento, durante el periodo, realizó todas las actividades operativas programadas para los procesos de Tesorería, Presupuesto y Contabilidad. Por otro lado, cabe la pena destacar dos elementos importantes: </w:t>
      </w:r>
    </w:p>
    <w:p w:rsidR="00030E5D" w:rsidRPr="00AA48B0" w:rsidRDefault="00030E5D" w:rsidP="00AA48B0">
      <w:pPr>
        <w:pStyle w:val="Prrafodelista"/>
        <w:numPr>
          <w:ilvl w:val="0"/>
          <w:numId w:val="3"/>
        </w:numPr>
        <w:spacing w:line="276" w:lineRule="auto"/>
        <w:jc w:val="both"/>
        <w:rPr>
          <w:rFonts w:ascii="Arial" w:hAnsi="Arial" w:cs="Arial"/>
          <w:iCs/>
          <w:sz w:val="20"/>
        </w:rPr>
      </w:pPr>
      <w:r w:rsidRPr="00AA48B0">
        <w:rPr>
          <w:rFonts w:ascii="Arial" w:hAnsi="Arial" w:cs="Arial"/>
          <w:iCs/>
          <w:sz w:val="20"/>
        </w:rPr>
        <w:t>La aplicación de NICSP en los procesos contables, y</w:t>
      </w:r>
    </w:p>
    <w:p w:rsidR="00030E5D" w:rsidRPr="00AA48B0" w:rsidRDefault="00030E5D" w:rsidP="00AA48B0">
      <w:pPr>
        <w:pStyle w:val="Prrafodelista"/>
        <w:numPr>
          <w:ilvl w:val="0"/>
          <w:numId w:val="3"/>
        </w:numPr>
        <w:spacing w:line="276" w:lineRule="auto"/>
        <w:jc w:val="both"/>
        <w:rPr>
          <w:rFonts w:ascii="Arial" w:hAnsi="Arial" w:cs="Arial"/>
          <w:iCs/>
          <w:sz w:val="20"/>
        </w:rPr>
      </w:pPr>
      <w:r w:rsidRPr="00AA48B0">
        <w:rPr>
          <w:rFonts w:ascii="Arial" w:hAnsi="Arial" w:cs="Arial"/>
          <w:iCs/>
          <w:sz w:val="20"/>
        </w:rPr>
        <w:t xml:space="preserve">El establecimiento de 8 días como tiempo de respuesta para pagos de PSA y 7 días para pagos de proveedores. </w:t>
      </w:r>
    </w:p>
    <w:p w:rsidR="00FA5D0D" w:rsidRDefault="00FA5D0D" w:rsidP="00AA48B0">
      <w:pPr>
        <w:spacing w:line="276" w:lineRule="auto"/>
        <w:jc w:val="both"/>
        <w:rPr>
          <w:rFonts w:ascii="Arial" w:hAnsi="Arial" w:cs="Arial"/>
          <w:sz w:val="20"/>
          <w:szCs w:val="20"/>
        </w:rPr>
      </w:pPr>
    </w:p>
    <w:p w:rsidR="00AA48B0" w:rsidRDefault="00AA48B0" w:rsidP="00AA48B0">
      <w:pPr>
        <w:pStyle w:val="Subttulo"/>
        <w:spacing w:line="276" w:lineRule="auto"/>
        <w:jc w:val="both"/>
        <w:rPr>
          <w:rFonts w:ascii="Arial" w:hAnsi="Arial" w:cs="Arial"/>
          <w:sz w:val="20"/>
          <w:szCs w:val="20"/>
        </w:rPr>
      </w:pPr>
      <w:r>
        <w:rPr>
          <w:rFonts w:ascii="Arial" w:hAnsi="Arial" w:cs="Arial"/>
          <w:sz w:val="20"/>
          <w:szCs w:val="20"/>
        </w:rPr>
        <w:lastRenderedPageBreak/>
        <w:t xml:space="preserve">Otros proyectos </w:t>
      </w:r>
    </w:p>
    <w:p w:rsidR="00AA48B0" w:rsidRDefault="00AA48B0" w:rsidP="00AA48B0">
      <w:pPr>
        <w:spacing w:line="276" w:lineRule="auto"/>
        <w:jc w:val="both"/>
        <w:rPr>
          <w:rStyle w:val="nfasissutil"/>
        </w:rPr>
      </w:pPr>
      <w:r w:rsidRPr="00AA48B0">
        <w:rPr>
          <w:rStyle w:val="nfasissutil"/>
        </w:rPr>
        <w:t>REDD+</w:t>
      </w:r>
    </w:p>
    <w:p w:rsidR="00AA48B0" w:rsidRPr="00533A23" w:rsidRDefault="00AA48B0" w:rsidP="00AA48B0">
      <w:pPr>
        <w:pStyle w:val="Default"/>
        <w:spacing w:line="276" w:lineRule="auto"/>
        <w:jc w:val="both"/>
        <w:rPr>
          <w:rFonts w:eastAsiaTheme="minorHAnsi"/>
          <w:sz w:val="20"/>
          <w:szCs w:val="20"/>
          <w:lang w:val="es-MX" w:eastAsia="en-US"/>
        </w:rPr>
      </w:pPr>
      <w:r w:rsidRPr="00533A23">
        <w:rPr>
          <w:rFonts w:eastAsiaTheme="minorHAnsi"/>
          <w:sz w:val="20"/>
          <w:szCs w:val="20"/>
          <w:lang w:val="es-MX" w:eastAsia="en-US"/>
        </w:rPr>
        <w:t xml:space="preserve">Con respecto al producto REDD+ se tiene un avance de la meta con 72%, representando en absoluto, un total de -4.159.892 toneladas de reducción de emisiones netas de dióxido de carbono. Este avance, corresponde a un ajuste a la fórmula del nivel de referencia, que incluye el dato por degradación del bosque y se ajusta a los resultados obtenidos del recién realizado Inventario Nacional Forestal. </w:t>
      </w:r>
    </w:p>
    <w:p w:rsidR="00AA48B0" w:rsidRPr="00533A23" w:rsidRDefault="00AA48B0" w:rsidP="00AA48B0">
      <w:pPr>
        <w:pStyle w:val="Default"/>
        <w:spacing w:line="276" w:lineRule="auto"/>
        <w:jc w:val="both"/>
        <w:rPr>
          <w:rFonts w:eastAsiaTheme="minorHAnsi"/>
          <w:sz w:val="20"/>
          <w:szCs w:val="20"/>
          <w:lang w:val="es-MX" w:eastAsia="en-US"/>
        </w:rPr>
      </w:pPr>
    </w:p>
    <w:p w:rsidR="00AA48B0" w:rsidRDefault="00AA48B0" w:rsidP="00AA48B0">
      <w:pPr>
        <w:pStyle w:val="Default"/>
        <w:spacing w:line="276" w:lineRule="auto"/>
        <w:jc w:val="both"/>
        <w:rPr>
          <w:rFonts w:eastAsiaTheme="minorHAnsi"/>
          <w:sz w:val="20"/>
          <w:szCs w:val="20"/>
          <w:lang w:val="es-MX" w:eastAsia="en-US"/>
        </w:rPr>
      </w:pPr>
      <w:r w:rsidRPr="00533A23">
        <w:rPr>
          <w:rFonts w:eastAsiaTheme="minorHAnsi"/>
          <w:sz w:val="20"/>
          <w:szCs w:val="20"/>
          <w:lang w:val="es-MX" w:eastAsia="en-US"/>
        </w:rPr>
        <w:t xml:space="preserve">La estrategia REDD+, se abocó durante el año en el ajuste de este cálculo y muchas de las actividades programadas, fueron trasladas para el 2018. La estrategia avanza y afina los datos, para que sean más robustos para la negociación del pago por más de $60 millones por reducción de emisiones por deforestación y degradación del bosque. </w:t>
      </w:r>
    </w:p>
    <w:p w:rsidR="00AA48B0" w:rsidRDefault="00AA48B0" w:rsidP="00AA48B0">
      <w:pPr>
        <w:pStyle w:val="Default"/>
        <w:spacing w:line="276" w:lineRule="auto"/>
        <w:jc w:val="both"/>
        <w:rPr>
          <w:rFonts w:eastAsiaTheme="minorHAnsi"/>
          <w:sz w:val="20"/>
          <w:szCs w:val="20"/>
          <w:lang w:val="es-MX" w:eastAsia="en-US"/>
        </w:rPr>
      </w:pPr>
    </w:p>
    <w:p w:rsidR="00AA48B0" w:rsidRPr="00533A23" w:rsidRDefault="00AA48B0" w:rsidP="00AA48B0">
      <w:pPr>
        <w:pStyle w:val="Default"/>
        <w:spacing w:line="276" w:lineRule="auto"/>
        <w:jc w:val="both"/>
        <w:rPr>
          <w:rFonts w:eastAsiaTheme="minorHAnsi"/>
          <w:sz w:val="20"/>
          <w:szCs w:val="20"/>
          <w:lang w:val="es-MX" w:eastAsia="en-US"/>
        </w:rPr>
      </w:pPr>
      <w:r>
        <w:rPr>
          <w:rFonts w:eastAsiaTheme="minorHAnsi"/>
          <w:sz w:val="20"/>
          <w:szCs w:val="20"/>
          <w:lang w:val="es-MX" w:eastAsia="en-US"/>
        </w:rPr>
        <w:t xml:space="preserve">Con respecto a la eficacia de este </w:t>
      </w:r>
      <w:r w:rsidR="002C1359">
        <w:rPr>
          <w:rFonts w:eastAsiaTheme="minorHAnsi"/>
          <w:sz w:val="20"/>
          <w:szCs w:val="20"/>
          <w:lang w:val="es-MX" w:eastAsia="en-US"/>
        </w:rPr>
        <w:t>proyecto</w:t>
      </w:r>
      <w:r>
        <w:rPr>
          <w:rFonts w:eastAsiaTheme="minorHAnsi"/>
          <w:sz w:val="20"/>
          <w:szCs w:val="20"/>
          <w:lang w:val="es-MX" w:eastAsia="en-US"/>
        </w:rPr>
        <w:t xml:space="preserve">, se apuesta a la robustez de los datos para la negociación de emisiones, por ello, se espera contar con datos certeros, para que la distribución de beneficios para las partes interesadas relevantes (beneficiarios de la estrategia) sea equitativa y justa y además el país logre los impactos esperados. </w:t>
      </w:r>
    </w:p>
    <w:p w:rsidR="00AA48B0" w:rsidRPr="00AA48B0" w:rsidRDefault="00AA48B0" w:rsidP="00AA48B0">
      <w:pPr>
        <w:spacing w:line="276" w:lineRule="auto"/>
        <w:jc w:val="both"/>
        <w:rPr>
          <w:rStyle w:val="nfasissutil"/>
          <w:lang w:val="es-MX"/>
        </w:rPr>
      </w:pPr>
    </w:p>
    <w:p w:rsidR="00AA48B0" w:rsidRDefault="00AA48B0" w:rsidP="00AA48B0">
      <w:pPr>
        <w:spacing w:line="276" w:lineRule="auto"/>
        <w:jc w:val="both"/>
        <w:rPr>
          <w:rStyle w:val="nfasissutil"/>
        </w:rPr>
      </w:pPr>
      <w:r>
        <w:rPr>
          <w:rStyle w:val="nfasissutil"/>
        </w:rPr>
        <w:t xml:space="preserve">Fondo de Biodiversidad Sostenible </w:t>
      </w:r>
    </w:p>
    <w:p w:rsidR="00AA48B0" w:rsidRPr="002C1359" w:rsidRDefault="002C1359" w:rsidP="002C1359">
      <w:pPr>
        <w:pStyle w:val="Default"/>
        <w:spacing w:line="276" w:lineRule="auto"/>
        <w:jc w:val="both"/>
        <w:rPr>
          <w:rFonts w:eastAsiaTheme="minorHAnsi"/>
          <w:iCs/>
          <w:sz w:val="20"/>
          <w:szCs w:val="20"/>
          <w:lang w:val="es-MX" w:eastAsia="en-US"/>
        </w:rPr>
      </w:pPr>
      <w:r w:rsidRPr="002C1359">
        <w:rPr>
          <w:rFonts w:eastAsiaTheme="minorHAnsi"/>
          <w:iCs/>
          <w:sz w:val="20"/>
          <w:szCs w:val="20"/>
          <w:lang w:val="es-MX" w:eastAsia="en-US"/>
        </w:rPr>
        <w:t xml:space="preserve">El FBS, durante el periodo tiene un acumulado de 7840,64 hectáreas sometidas al Programa de Conservación de la Biodiversidad, con un desembolso de más de $147 mil. </w:t>
      </w:r>
    </w:p>
    <w:p w:rsidR="002C1359" w:rsidRDefault="002C1359" w:rsidP="002C1359">
      <w:pPr>
        <w:pStyle w:val="Default"/>
        <w:spacing w:line="276" w:lineRule="auto"/>
        <w:jc w:val="both"/>
        <w:rPr>
          <w:rFonts w:eastAsiaTheme="minorHAnsi"/>
          <w:iCs/>
          <w:sz w:val="20"/>
          <w:szCs w:val="20"/>
          <w:lang w:val="es-MX" w:eastAsia="en-US"/>
        </w:rPr>
      </w:pPr>
    </w:p>
    <w:p w:rsidR="002C1359" w:rsidRDefault="002C1359" w:rsidP="002C1359">
      <w:pPr>
        <w:pStyle w:val="Default"/>
        <w:spacing w:line="276" w:lineRule="auto"/>
        <w:jc w:val="both"/>
        <w:rPr>
          <w:rFonts w:eastAsiaTheme="minorHAnsi"/>
          <w:iCs/>
          <w:sz w:val="20"/>
          <w:szCs w:val="20"/>
          <w:lang w:val="es-MX" w:eastAsia="en-US"/>
        </w:rPr>
      </w:pPr>
      <w:r w:rsidRPr="002C1359">
        <w:rPr>
          <w:rFonts w:eastAsiaTheme="minorHAnsi"/>
          <w:iCs/>
          <w:sz w:val="20"/>
          <w:szCs w:val="20"/>
          <w:lang w:val="es-MX" w:eastAsia="en-US"/>
        </w:rPr>
        <w:t>Cabe</w:t>
      </w:r>
      <w:r>
        <w:rPr>
          <w:rFonts w:eastAsiaTheme="minorHAnsi"/>
          <w:iCs/>
          <w:sz w:val="20"/>
          <w:szCs w:val="20"/>
          <w:lang w:val="es-MX" w:eastAsia="en-US"/>
        </w:rPr>
        <w:t xml:space="preserve"> indicar, </w:t>
      </w:r>
      <w:r w:rsidR="0070178A">
        <w:rPr>
          <w:rFonts w:eastAsiaTheme="minorHAnsi"/>
          <w:iCs/>
          <w:sz w:val="20"/>
          <w:szCs w:val="20"/>
          <w:lang w:val="es-MX" w:eastAsia="en-US"/>
        </w:rPr>
        <w:t xml:space="preserve">que, </w:t>
      </w:r>
      <w:r w:rsidRPr="002C1359">
        <w:rPr>
          <w:rFonts w:eastAsiaTheme="minorHAnsi"/>
          <w:iCs/>
          <w:sz w:val="20"/>
          <w:szCs w:val="20"/>
          <w:lang w:val="es-MX" w:eastAsia="en-US"/>
        </w:rPr>
        <w:t xml:space="preserve">actualmente se tienen incluidos 50 beneficiarios en total para las regiones de interés del FBS. Los beneficiarios nuevos (19) no fueron formalizados en su totalidad durante </w:t>
      </w:r>
      <w:r w:rsidR="0070178A">
        <w:rPr>
          <w:rFonts w:eastAsiaTheme="minorHAnsi"/>
          <w:iCs/>
          <w:sz w:val="20"/>
          <w:szCs w:val="20"/>
          <w:lang w:val="es-MX" w:eastAsia="en-US"/>
        </w:rPr>
        <w:t>el periodo</w:t>
      </w:r>
      <w:r w:rsidRPr="002C1359">
        <w:rPr>
          <w:rFonts w:eastAsiaTheme="minorHAnsi"/>
          <w:iCs/>
          <w:sz w:val="20"/>
          <w:szCs w:val="20"/>
          <w:lang w:val="es-MX" w:eastAsia="en-US"/>
        </w:rPr>
        <w:t xml:space="preserve"> (todo el proceso hasta el desembolso) sin embargo</w:t>
      </w:r>
      <w:r w:rsidR="0070178A">
        <w:rPr>
          <w:rFonts w:eastAsiaTheme="minorHAnsi"/>
          <w:iCs/>
          <w:sz w:val="20"/>
          <w:szCs w:val="20"/>
          <w:lang w:val="es-MX" w:eastAsia="en-US"/>
        </w:rPr>
        <w:t>, sí</w:t>
      </w:r>
      <w:r w:rsidRPr="002C1359">
        <w:rPr>
          <w:rFonts w:eastAsiaTheme="minorHAnsi"/>
          <w:iCs/>
          <w:sz w:val="20"/>
          <w:szCs w:val="20"/>
          <w:lang w:val="es-MX" w:eastAsia="en-US"/>
        </w:rPr>
        <w:t xml:space="preserve"> cursaron el debido proceso de selección e ingreso al PCB.</w:t>
      </w:r>
    </w:p>
    <w:p w:rsidR="0070178A" w:rsidRPr="002C1359" w:rsidRDefault="0070178A" w:rsidP="002C1359">
      <w:pPr>
        <w:pStyle w:val="Default"/>
        <w:spacing w:line="276" w:lineRule="auto"/>
        <w:jc w:val="both"/>
        <w:rPr>
          <w:rFonts w:eastAsiaTheme="minorHAnsi"/>
          <w:iCs/>
          <w:sz w:val="20"/>
          <w:szCs w:val="20"/>
          <w:lang w:val="es-MX" w:eastAsia="en-US"/>
        </w:rPr>
      </w:pPr>
    </w:p>
    <w:p w:rsidR="00F454F7" w:rsidRPr="00AA48B0" w:rsidRDefault="00F454F7" w:rsidP="00AA48B0">
      <w:pPr>
        <w:pStyle w:val="Subttulo"/>
        <w:spacing w:line="276" w:lineRule="auto"/>
        <w:jc w:val="both"/>
        <w:rPr>
          <w:rFonts w:ascii="Arial" w:hAnsi="Arial" w:cs="Arial"/>
          <w:sz w:val="20"/>
          <w:szCs w:val="20"/>
        </w:rPr>
      </w:pPr>
      <w:r w:rsidRPr="00AA48B0">
        <w:rPr>
          <w:rFonts w:ascii="Arial" w:hAnsi="Arial" w:cs="Arial"/>
          <w:sz w:val="20"/>
          <w:szCs w:val="20"/>
        </w:rPr>
        <w:t xml:space="preserve">Conclusiones </w:t>
      </w:r>
    </w:p>
    <w:p w:rsidR="00FF50AF" w:rsidRPr="00FF50AF" w:rsidRDefault="00FF50AF" w:rsidP="00FF50AF">
      <w:pPr>
        <w:spacing w:line="276" w:lineRule="auto"/>
        <w:jc w:val="both"/>
        <w:rPr>
          <w:rFonts w:ascii="Arial" w:eastAsia="Times New Roman" w:hAnsi="Arial" w:cs="Arial"/>
          <w:sz w:val="20"/>
          <w:szCs w:val="20"/>
          <w:lang w:eastAsia="es-CR"/>
        </w:rPr>
      </w:pPr>
      <w:r w:rsidRPr="00FF50AF">
        <w:rPr>
          <w:rFonts w:ascii="Arial" w:eastAsia="Times New Roman" w:hAnsi="Arial" w:cs="Arial"/>
          <w:sz w:val="20"/>
          <w:szCs w:val="20"/>
          <w:lang w:eastAsia="es-CR"/>
        </w:rPr>
        <w:t xml:space="preserve">Una gestión institucional orientada a optimizar los resultados de desarrollo, garantiza la creación y aumento de valor público. Fonafifo está comprometido con los valores de transparencia, calidad en el servicio, mejora continua y excelencia. </w:t>
      </w:r>
    </w:p>
    <w:p w:rsidR="00FF50AF" w:rsidRPr="00FF50AF" w:rsidRDefault="00FF50AF" w:rsidP="00FF50AF">
      <w:pPr>
        <w:spacing w:line="276" w:lineRule="auto"/>
        <w:jc w:val="both"/>
        <w:rPr>
          <w:rFonts w:ascii="Arial" w:eastAsia="Times New Roman" w:hAnsi="Arial" w:cs="Arial"/>
          <w:sz w:val="20"/>
          <w:szCs w:val="20"/>
          <w:lang w:eastAsia="es-CR"/>
        </w:rPr>
      </w:pPr>
      <w:r w:rsidRPr="00FF50AF">
        <w:rPr>
          <w:rFonts w:ascii="Arial" w:eastAsia="Times New Roman" w:hAnsi="Arial" w:cs="Arial"/>
          <w:sz w:val="20"/>
          <w:szCs w:val="20"/>
          <w:lang w:eastAsia="es-CR"/>
        </w:rPr>
        <w:t>Fonafifo cuenta con funcionarios convencidos de mejorar la calidad del servicio día con día, de contar con una relación positiva con los beneficiarios de los programas sustantivos; es un valor instaurado en la cultura organizacional que posiciona a la institución y le permite una comunicación sincera y abierta con la sociedad civil.</w:t>
      </w:r>
    </w:p>
    <w:p w:rsidR="00F454F7" w:rsidRPr="00FF50AF" w:rsidRDefault="00FF50AF" w:rsidP="00FF50AF">
      <w:pPr>
        <w:spacing w:line="276" w:lineRule="auto"/>
        <w:jc w:val="both"/>
        <w:rPr>
          <w:rFonts w:ascii="Arial" w:hAnsi="Arial" w:cs="Arial"/>
          <w:sz w:val="20"/>
          <w:szCs w:val="20"/>
        </w:rPr>
      </w:pPr>
      <w:r w:rsidRPr="00FF50AF">
        <w:rPr>
          <w:rFonts w:ascii="Arial" w:eastAsia="Times New Roman" w:hAnsi="Arial" w:cs="Arial"/>
          <w:sz w:val="20"/>
          <w:szCs w:val="20"/>
          <w:lang w:eastAsia="es-CR"/>
        </w:rPr>
        <w:t xml:space="preserve">Por otro lado, </w:t>
      </w:r>
      <w:r w:rsidRPr="00FF50AF">
        <w:rPr>
          <w:rFonts w:ascii="Arial" w:hAnsi="Arial" w:cs="Arial"/>
          <w:sz w:val="20"/>
          <w:szCs w:val="20"/>
        </w:rPr>
        <w:t>e</w:t>
      </w:r>
      <w:r w:rsidR="00F454F7" w:rsidRPr="00FF50AF">
        <w:rPr>
          <w:rFonts w:ascii="Arial" w:hAnsi="Arial" w:cs="Arial"/>
          <w:sz w:val="20"/>
          <w:szCs w:val="20"/>
        </w:rPr>
        <w:t>ste análisis</w:t>
      </w:r>
      <w:r w:rsidRPr="00FF50AF">
        <w:rPr>
          <w:rFonts w:ascii="Arial" w:hAnsi="Arial" w:cs="Arial"/>
          <w:sz w:val="20"/>
          <w:szCs w:val="20"/>
        </w:rPr>
        <w:t xml:space="preserve">, </w:t>
      </w:r>
      <w:r w:rsidR="00F454F7" w:rsidRPr="00FF50AF">
        <w:rPr>
          <w:rFonts w:ascii="Arial" w:hAnsi="Arial" w:cs="Arial"/>
          <w:sz w:val="20"/>
          <w:szCs w:val="20"/>
        </w:rPr>
        <w:t>de acuerdo al rendimiento de la programación</w:t>
      </w:r>
      <w:r w:rsidRPr="00FF50AF">
        <w:rPr>
          <w:rFonts w:ascii="Arial" w:hAnsi="Arial" w:cs="Arial"/>
          <w:sz w:val="20"/>
          <w:szCs w:val="20"/>
        </w:rPr>
        <w:t xml:space="preserve"> por unidad funcional, se hará</w:t>
      </w:r>
      <w:r w:rsidR="00AA48B0" w:rsidRPr="00FF50AF">
        <w:rPr>
          <w:rFonts w:ascii="Arial" w:hAnsi="Arial" w:cs="Arial"/>
          <w:sz w:val="20"/>
          <w:szCs w:val="20"/>
        </w:rPr>
        <w:t xml:space="preserve"> por última vez</w:t>
      </w:r>
      <w:r w:rsidRPr="00FF50AF">
        <w:rPr>
          <w:rFonts w:ascii="Arial" w:hAnsi="Arial" w:cs="Arial"/>
          <w:sz w:val="20"/>
          <w:szCs w:val="20"/>
        </w:rPr>
        <w:t xml:space="preserve"> en esta ocasión;</w:t>
      </w:r>
      <w:r w:rsidR="00F454F7" w:rsidRPr="00FF50AF">
        <w:rPr>
          <w:rFonts w:ascii="Arial" w:hAnsi="Arial" w:cs="Arial"/>
          <w:sz w:val="20"/>
          <w:szCs w:val="20"/>
        </w:rPr>
        <w:t xml:space="preserve"> en adelante, y, como parte de la recomendación de la consultoría contratada para hacer el corte evaluativo del Plan Estratégico Institucional (PEI), se hará e</w:t>
      </w:r>
      <w:r w:rsidRPr="00FF50AF">
        <w:rPr>
          <w:rFonts w:ascii="Arial" w:hAnsi="Arial" w:cs="Arial"/>
          <w:sz w:val="20"/>
          <w:szCs w:val="20"/>
        </w:rPr>
        <w:t>l análisis por área estratégica,</w:t>
      </w:r>
      <w:r w:rsidR="00F454F7" w:rsidRPr="00FF50AF">
        <w:rPr>
          <w:rFonts w:ascii="Arial" w:hAnsi="Arial" w:cs="Arial"/>
          <w:sz w:val="20"/>
          <w:szCs w:val="20"/>
        </w:rPr>
        <w:t xml:space="preserve"> a fin de contar con mayor oportunidad de ajustar </w:t>
      </w:r>
      <w:r w:rsidRPr="00FF50AF">
        <w:rPr>
          <w:rFonts w:ascii="Arial" w:hAnsi="Arial" w:cs="Arial"/>
          <w:sz w:val="20"/>
          <w:szCs w:val="20"/>
        </w:rPr>
        <w:t>las acciones</w:t>
      </w:r>
      <w:r w:rsidR="00F454F7" w:rsidRPr="00FF50AF">
        <w:rPr>
          <w:rFonts w:ascii="Arial" w:hAnsi="Arial" w:cs="Arial"/>
          <w:sz w:val="20"/>
          <w:szCs w:val="20"/>
        </w:rPr>
        <w:t xml:space="preserve"> estratégicas y la operación relativa a estas. </w:t>
      </w:r>
    </w:p>
    <w:p w:rsidR="00D7183B" w:rsidRPr="00AA48B0" w:rsidRDefault="00D7183B" w:rsidP="00D7183B">
      <w:pPr>
        <w:rPr>
          <w:rFonts w:ascii="Arial" w:hAnsi="Arial" w:cs="Arial"/>
          <w:sz w:val="20"/>
          <w:szCs w:val="20"/>
        </w:rPr>
      </w:pPr>
      <w:bookmarkStart w:id="0" w:name="_GoBack"/>
      <w:bookmarkEnd w:id="0"/>
    </w:p>
    <w:sectPr w:rsidR="00D7183B" w:rsidRPr="00AA48B0" w:rsidSect="00FA5D0D">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01" w:rsidRDefault="00553A01" w:rsidP="00FA5D0D">
      <w:pPr>
        <w:spacing w:after="0" w:line="240" w:lineRule="auto"/>
      </w:pPr>
      <w:r>
        <w:separator/>
      </w:r>
    </w:p>
  </w:endnote>
  <w:endnote w:type="continuationSeparator" w:id="0">
    <w:p w:rsidR="00553A01" w:rsidRDefault="00553A01" w:rsidP="00FA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61638728"/>
      <w:docPartObj>
        <w:docPartGallery w:val="Page Numbers (Bottom of Page)"/>
        <w:docPartUnique/>
      </w:docPartObj>
    </w:sdtPr>
    <w:sdtEndPr/>
    <w:sdtContent>
      <w:p w:rsidR="006320C5" w:rsidRPr="006320C5" w:rsidRDefault="006320C5">
        <w:pPr>
          <w:pStyle w:val="Piedepgina"/>
          <w:jc w:val="center"/>
          <w:rPr>
            <w:sz w:val="18"/>
            <w:szCs w:val="18"/>
          </w:rPr>
        </w:pPr>
        <w:r w:rsidRPr="006320C5">
          <w:rPr>
            <w:sz w:val="18"/>
            <w:szCs w:val="18"/>
          </w:rPr>
          <w:fldChar w:fldCharType="begin"/>
        </w:r>
        <w:r w:rsidRPr="006320C5">
          <w:rPr>
            <w:sz w:val="18"/>
            <w:szCs w:val="18"/>
          </w:rPr>
          <w:instrText>PAGE   \* MERGEFORMAT</w:instrText>
        </w:r>
        <w:r w:rsidRPr="006320C5">
          <w:rPr>
            <w:sz w:val="18"/>
            <w:szCs w:val="18"/>
          </w:rPr>
          <w:fldChar w:fldCharType="separate"/>
        </w:r>
        <w:r w:rsidR="00D7183B" w:rsidRPr="00D7183B">
          <w:rPr>
            <w:noProof/>
            <w:sz w:val="18"/>
            <w:szCs w:val="18"/>
            <w:lang w:val="es-ES"/>
          </w:rPr>
          <w:t>11</w:t>
        </w:r>
        <w:r w:rsidRPr="006320C5">
          <w:rPr>
            <w:sz w:val="18"/>
            <w:szCs w:val="18"/>
          </w:rPr>
          <w:fldChar w:fldCharType="end"/>
        </w:r>
      </w:p>
    </w:sdtContent>
  </w:sdt>
  <w:p w:rsidR="006320C5" w:rsidRPr="006320C5" w:rsidRDefault="006320C5">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01" w:rsidRDefault="00553A01" w:rsidP="00FA5D0D">
      <w:pPr>
        <w:spacing w:after="0" w:line="240" w:lineRule="auto"/>
      </w:pPr>
      <w:r>
        <w:separator/>
      </w:r>
    </w:p>
  </w:footnote>
  <w:footnote w:type="continuationSeparator" w:id="0">
    <w:p w:rsidR="00553A01" w:rsidRDefault="00553A01" w:rsidP="00FA5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0F" w:rsidRPr="00FA5D0D" w:rsidRDefault="0004550F" w:rsidP="00FA5D0D">
    <w:pPr>
      <w:pStyle w:val="Encabezado"/>
    </w:pPr>
    <w:r w:rsidRPr="00FA5D0D">
      <w:rPr>
        <w:noProof/>
        <w:lang w:eastAsia="es-CR"/>
      </w:rPr>
      <w:drawing>
        <wp:inline distT="0" distB="0" distL="0" distR="0">
          <wp:extent cx="5612130" cy="797803"/>
          <wp:effectExtent l="0" t="0" r="7620" b="2540"/>
          <wp:docPr id="1" name="Imagen 1" descr="C:\Users\awilliams\OneDrive - Fonafifo\Documentos\Misceláneo\Libro de marca\encabezado-hoja-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iams\OneDrive - Fonafifo\Documentos\Misceláneo\Libro de marca\encabezado-hoja-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97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61"/>
    <w:multiLevelType w:val="hybridMultilevel"/>
    <w:tmpl w:val="E00EFF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D073B99"/>
    <w:multiLevelType w:val="hybridMultilevel"/>
    <w:tmpl w:val="1D048A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DF677D5"/>
    <w:multiLevelType w:val="hybridMultilevel"/>
    <w:tmpl w:val="CAC0DA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D"/>
    <w:rsid w:val="00010B0F"/>
    <w:rsid w:val="00030E5D"/>
    <w:rsid w:val="0004550F"/>
    <w:rsid w:val="000F6F13"/>
    <w:rsid w:val="00197F38"/>
    <w:rsid w:val="001D338A"/>
    <w:rsid w:val="00206FB1"/>
    <w:rsid w:val="00272C33"/>
    <w:rsid w:val="002B0F1E"/>
    <w:rsid w:val="002C1359"/>
    <w:rsid w:val="002C7753"/>
    <w:rsid w:val="002E73BB"/>
    <w:rsid w:val="003671E8"/>
    <w:rsid w:val="003A3950"/>
    <w:rsid w:val="003B291C"/>
    <w:rsid w:val="004A042B"/>
    <w:rsid w:val="00534023"/>
    <w:rsid w:val="00553A01"/>
    <w:rsid w:val="006320C5"/>
    <w:rsid w:val="00633D3B"/>
    <w:rsid w:val="00667219"/>
    <w:rsid w:val="0070178A"/>
    <w:rsid w:val="00725898"/>
    <w:rsid w:val="00775E78"/>
    <w:rsid w:val="00811BB4"/>
    <w:rsid w:val="008432E3"/>
    <w:rsid w:val="00850347"/>
    <w:rsid w:val="00866E33"/>
    <w:rsid w:val="008A6D10"/>
    <w:rsid w:val="0093071F"/>
    <w:rsid w:val="00970838"/>
    <w:rsid w:val="00987212"/>
    <w:rsid w:val="00AA48B0"/>
    <w:rsid w:val="00AB0D7D"/>
    <w:rsid w:val="00AD7360"/>
    <w:rsid w:val="00B231D3"/>
    <w:rsid w:val="00BE1FA0"/>
    <w:rsid w:val="00C45F11"/>
    <w:rsid w:val="00CD59DA"/>
    <w:rsid w:val="00CD69A4"/>
    <w:rsid w:val="00D61756"/>
    <w:rsid w:val="00D7183B"/>
    <w:rsid w:val="00DF0453"/>
    <w:rsid w:val="00EB4069"/>
    <w:rsid w:val="00F03C50"/>
    <w:rsid w:val="00F454F7"/>
    <w:rsid w:val="00FA5D0D"/>
    <w:rsid w:val="00FE5858"/>
    <w:rsid w:val="00FF50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DDF1"/>
  <w15:chartTrackingRefBased/>
  <w15:docId w15:val="{8C9402D1-F9CA-4FC8-8B3B-21241933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3950"/>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Ttulo2">
    <w:name w:val="heading 2"/>
    <w:basedOn w:val="Normal"/>
    <w:next w:val="Normal"/>
    <w:link w:val="Ttulo2Car"/>
    <w:uiPriority w:val="9"/>
    <w:unhideWhenUsed/>
    <w:qFormat/>
    <w:rsid w:val="003A3950"/>
    <w:pPr>
      <w:keepNext/>
      <w:keepLines/>
      <w:spacing w:before="40" w:after="0"/>
      <w:outlineLvl w:val="1"/>
    </w:pPr>
    <w:rPr>
      <w:rFonts w:asciiTheme="majorHAnsi" w:eastAsiaTheme="majorEastAsia" w:hAnsiTheme="majorHAnsi" w:cstheme="majorBidi"/>
      <w:color w:val="6B911C"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A5D0D"/>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FA5D0D"/>
    <w:rPr>
      <w:rFonts w:eastAsiaTheme="minorEastAsia"/>
      <w:lang w:eastAsia="es-CR"/>
    </w:rPr>
  </w:style>
  <w:style w:type="paragraph" w:styleId="Encabezado">
    <w:name w:val="header"/>
    <w:basedOn w:val="Normal"/>
    <w:link w:val="EncabezadoCar"/>
    <w:uiPriority w:val="99"/>
    <w:unhideWhenUsed/>
    <w:rsid w:val="00FA5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D0D"/>
  </w:style>
  <w:style w:type="paragraph" w:styleId="Piedepgina">
    <w:name w:val="footer"/>
    <w:basedOn w:val="Normal"/>
    <w:link w:val="PiedepginaCar"/>
    <w:uiPriority w:val="99"/>
    <w:unhideWhenUsed/>
    <w:rsid w:val="00FA5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D0D"/>
  </w:style>
  <w:style w:type="paragraph" w:styleId="Sangra2detindependiente">
    <w:name w:val="Body Text Indent 2"/>
    <w:basedOn w:val="Normal"/>
    <w:link w:val="Sangra2detindependienteCar"/>
    <w:rsid w:val="00C45F11"/>
    <w:pPr>
      <w:spacing w:after="0" w:line="240" w:lineRule="auto"/>
      <w:ind w:left="720"/>
    </w:pPr>
    <w:rPr>
      <w:rFonts w:ascii="Times New Roman" w:eastAsia="Times New Roman" w:hAnsi="Times New Roman" w:cs="Times New Roman"/>
      <w:sz w:val="24"/>
      <w:szCs w:val="24"/>
      <w:lang w:val="es-MX" w:eastAsia="es-ES"/>
    </w:rPr>
  </w:style>
  <w:style w:type="character" w:customStyle="1" w:styleId="Sangra2detindependienteCar">
    <w:name w:val="Sangría 2 de t. independiente Car"/>
    <w:basedOn w:val="Fuentedeprrafopredeter"/>
    <w:link w:val="Sangra2detindependiente"/>
    <w:rsid w:val="00C45F11"/>
    <w:rPr>
      <w:rFonts w:ascii="Times New Roman" w:eastAsia="Times New Roman" w:hAnsi="Times New Roman" w:cs="Times New Roman"/>
      <w:sz w:val="24"/>
      <w:szCs w:val="24"/>
      <w:lang w:val="es-MX" w:eastAsia="es-ES"/>
    </w:rPr>
  </w:style>
  <w:style w:type="table" w:styleId="Tabladelista4-nfasis5">
    <w:name w:val="List Table 4 Accent 5"/>
    <w:basedOn w:val="Tablanormal"/>
    <w:uiPriority w:val="49"/>
    <w:rsid w:val="00C45F1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adelista3-nfasis1">
    <w:name w:val="List Table 3 Accent 1"/>
    <w:basedOn w:val="Tablanormal"/>
    <w:uiPriority w:val="48"/>
    <w:rsid w:val="00C45F11"/>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character" w:customStyle="1" w:styleId="Ttulo1Car">
    <w:name w:val="Título 1 Car"/>
    <w:basedOn w:val="Fuentedeprrafopredeter"/>
    <w:link w:val="Ttulo1"/>
    <w:uiPriority w:val="9"/>
    <w:rsid w:val="003A3950"/>
    <w:rPr>
      <w:rFonts w:asciiTheme="majorHAnsi" w:eastAsiaTheme="majorEastAsia" w:hAnsiTheme="majorHAnsi" w:cstheme="majorBidi"/>
      <w:color w:val="6B911C" w:themeColor="accent1" w:themeShade="BF"/>
      <w:sz w:val="32"/>
      <w:szCs w:val="32"/>
    </w:rPr>
  </w:style>
  <w:style w:type="character" w:customStyle="1" w:styleId="Ttulo2Car">
    <w:name w:val="Título 2 Car"/>
    <w:basedOn w:val="Fuentedeprrafopredeter"/>
    <w:link w:val="Ttulo2"/>
    <w:uiPriority w:val="9"/>
    <w:rsid w:val="003A3950"/>
    <w:rPr>
      <w:rFonts w:asciiTheme="majorHAnsi" w:eastAsiaTheme="majorEastAsia" w:hAnsiTheme="majorHAnsi" w:cstheme="majorBidi"/>
      <w:color w:val="6B911C" w:themeColor="accent1" w:themeShade="BF"/>
      <w:sz w:val="26"/>
      <w:szCs w:val="26"/>
    </w:rPr>
  </w:style>
  <w:style w:type="paragraph" w:styleId="Subttulo">
    <w:name w:val="Subtitle"/>
    <w:basedOn w:val="Normal"/>
    <w:next w:val="Normal"/>
    <w:link w:val="SubttuloCar"/>
    <w:uiPriority w:val="11"/>
    <w:qFormat/>
    <w:rsid w:val="003A395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A3950"/>
    <w:rPr>
      <w:rFonts w:eastAsiaTheme="minorEastAsia"/>
      <w:color w:val="5A5A5A" w:themeColor="text1" w:themeTint="A5"/>
      <w:spacing w:val="15"/>
    </w:rPr>
  </w:style>
  <w:style w:type="table" w:styleId="Tabladecuadrcula3-nfasis5">
    <w:name w:val="Grid Table 3 Accent 5"/>
    <w:basedOn w:val="Tablanormal"/>
    <w:uiPriority w:val="48"/>
    <w:rsid w:val="003A3950"/>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Tabladecuadrcula6concolores-nfasis2">
    <w:name w:val="Grid Table 6 Colorful Accent 2"/>
    <w:basedOn w:val="Tablanormal"/>
    <w:uiPriority w:val="51"/>
    <w:rsid w:val="003A3950"/>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adecuadrcula2-nfasis1">
    <w:name w:val="Grid Table 2 Accent 1"/>
    <w:basedOn w:val="Tablanormal"/>
    <w:uiPriority w:val="47"/>
    <w:rsid w:val="003B291C"/>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paragraph" w:styleId="Textodeglobo">
    <w:name w:val="Balloon Text"/>
    <w:basedOn w:val="Normal"/>
    <w:link w:val="TextodegloboCar"/>
    <w:semiHidden/>
    <w:rsid w:val="004A042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4A042B"/>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4A042B"/>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A042B"/>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030E5D"/>
    <w:rPr>
      <w:i/>
      <w:iCs/>
      <w:color w:val="404040" w:themeColor="text1" w:themeTint="BF"/>
    </w:rPr>
  </w:style>
  <w:style w:type="paragraph" w:customStyle="1" w:styleId="Default">
    <w:name w:val="Default"/>
    <w:rsid w:val="00AA48B0"/>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385">
      <w:bodyDiv w:val="1"/>
      <w:marLeft w:val="0"/>
      <w:marRight w:val="0"/>
      <w:marTop w:val="0"/>
      <w:marBottom w:val="0"/>
      <w:divBdr>
        <w:top w:val="none" w:sz="0" w:space="0" w:color="auto"/>
        <w:left w:val="none" w:sz="0" w:space="0" w:color="auto"/>
        <w:bottom w:val="none" w:sz="0" w:space="0" w:color="auto"/>
        <w:right w:val="none" w:sz="0" w:space="0" w:color="auto"/>
      </w:divBdr>
    </w:div>
    <w:div w:id="11093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F8A98E-AD23-4685-8A04-57AB9C06DD17}" type="doc">
      <dgm:prSet loTypeId="urn:microsoft.com/office/officeart/2005/8/layout/lProcess2" loCatId="list" qsTypeId="urn:microsoft.com/office/officeart/2005/8/quickstyle/simple2" qsCatId="simple" csTypeId="urn:microsoft.com/office/officeart/2005/8/colors/accent1_2" csCatId="accent1" phldr="1"/>
      <dgm:spPr/>
      <dgm:t>
        <a:bodyPr/>
        <a:lstStyle/>
        <a:p>
          <a:endParaRPr lang="es-ES"/>
        </a:p>
      </dgm:t>
    </dgm:pt>
    <dgm:pt modelId="{8E36B661-1CB9-40DD-B9B3-2949D291178B}">
      <dgm:prSet phldrT="[Texto]"/>
      <dgm:spPr/>
      <dgm:t>
        <a:bodyPr/>
        <a:lstStyle/>
        <a:p>
          <a:pPr algn="ctr"/>
          <a:r>
            <a:rPr lang="es-ES"/>
            <a:t>Gestiones Resueltas</a:t>
          </a:r>
        </a:p>
      </dgm:t>
    </dgm:pt>
    <dgm:pt modelId="{1889EC71-F97E-4806-A807-4413DD49F3A8}" type="parTrans" cxnId="{547745AC-1E88-478A-BF0A-31BD16D80557}">
      <dgm:prSet/>
      <dgm:spPr/>
      <dgm:t>
        <a:bodyPr/>
        <a:lstStyle/>
        <a:p>
          <a:pPr algn="ctr"/>
          <a:endParaRPr lang="es-ES"/>
        </a:p>
      </dgm:t>
    </dgm:pt>
    <dgm:pt modelId="{1DE14F37-16EE-45D9-B8BB-0DA58A330871}" type="sibTrans" cxnId="{547745AC-1E88-478A-BF0A-31BD16D80557}">
      <dgm:prSet/>
      <dgm:spPr/>
      <dgm:t>
        <a:bodyPr/>
        <a:lstStyle/>
        <a:p>
          <a:pPr algn="ctr"/>
          <a:endParaRPr lang="es-ES"/>
        </a:p>
      </dgm:t>
    </dgm:pt>
    <dgm:pt modelId="{C43AE5EC-0F26-4B8B-8AA5-A9818BBB01E8}">
      <dgm:prSet phldrT="[Texto]"/>
      <dgm:spPr/>
      <dgm:t>
        <a:bodyPr/>
        <a:lstStyle/>
        <a:p>
          <a:pPr algn="ctr"/>
          <a:r>
            <a:rPr lang="es-ES"/>
            <a:t>375</a:t>
          </a:r>
        </a:p>
      </dgm:t>
    </dgm:pt>
    <dgm:pt modelId="{A62F57A6-9BF3-43E1-9290-BA4E9F65E096}" type="parTrans" cxnId="{732BAC44-57DC-47BC-9080-8D7932D60105}">
      <dgm:prSet/>
      <dgm:spPr/>
      <dgm:t>
        <a:bodyPr/>
        <a:lstStyle/>
        <a:p>
          <a:pPr algn="ctr"/>
          <a:endParaRPr lang="es-ES"/>
        </a:p>
      </dgm:t>
    </dgm:pt>
    <dgm:pt modelId="{E47CB487-F7EE-4E25-A6C4-C78E7A62C04C}" type="sibTrans" cxnId="{732BAC44-57DC-47BC-9080-8D7932D60105}">
      <dgm:prSet/>
      <dgm:spPr/>
      <dgm:t>
        <a:bodyPr/>
        <a:lstStyle/>
        <a:p>
          <a:pPr algn="ctr"/>
          <a:endParaRPr lang="es-ES"/>
        </a:p>
      </dgm:t>
    </dgm:pt>
    <dgm:pt modelId="{F8B823A2-CF53-4D29-9CFA-A8372C917519}">
      <dgm:prSet phldrT="[Texto]"/>
      <dgm:spPr/>
      <dgm:t>
        <a:bodyPr/>
        <a:lstStyle/>
        <a:p>
          <a:pPr algn="ctr"/>
          <a:r>
            <a:rPr lang="es-ES"/>
            <a:t>Denuncias o Inconformidades</a:t>
          </a:r>
        </a:p>
      </dgm:t>
    </dgm:pt>
    <dgm:pt modelId="{59FA1241-334F-4ACE-B5FF-80FEB7C0FDDE}" type="parTrans" cxnId="{589ED599-ED20-4FE7-951E-7CF8757CE453}">
      <dgm:prSet/>
      <dgm:spPr/>
      <dgm:t>
        <a:bodyPr/>
        <a:lstStyle/>
        <a:p>
          <a:pPr algn="ctr"/>
          <a:endParaRPr lang="es-ES"/>
        </a:p>
      </dgm:t>
    </dgm:pt>
    <dgm:pt modelId="{EC767E0F-BD10-4087-A925-23822FFE528E}" type="sibTrans" cxnId="{589ED599-ED20-4FE7-951E-7CF8757CE453}">
      <dgm:prSet/>
      <dgm:spPr/>
      <dgm:t>
        <a:bodyPr/>
        <a:lstStyle/>
        <a:p>
          <a:pPr algn="ctr"/>
          <a:endParaRPr lang="es-ES"/>
        </a:p>
      </dgm:t>
    </dgm:pt>
    <dgm:pt modelId="{89CD31F9-ECDC-44DF-A1E7-4D199CA584C0}">
      <dgm:prSet phldrT="[Texto]"/>
      <dgm:spPr/>
      <dgm:t>
        <a:bodyPr/>
        <a:lstStyle/>
        <a:p>
          <a:pPr algn="ctr"/>
          <a:r>
            <a:rPr lang="es-ES"/>
            <a:t>20</a:t>
          </a:r>
        </a:p>
      </dgm:t>
    </dgm:pt>
    <dgm:pt modelId="{193A9D5F-F629-41F5-A848-02CDA524C8FD}" type="parTrans" cxnId="{12DD635E-C779-42CF-9DB2-05831A14587B}">
      <dgm:prSet/>
      <dgm:spPr/>
      <dgm:t>
        <a:bodyPr/>
        <a:lstStyle/>
        <a:p>
          <a:pPr algn="ctr"/>
          <a:endParaRPr lang="es-ES"/>
        </a:p>
      </dgm:t>
    </dgm:pt>
    <dgm:pt modelId="{2C14B180-4804-4783-86CC-3B6E414B7CA9}" type="sibTrans" cxnId="{12DD635E-C779-42CF-9DB2-05831A14587B}">
      <dgm:prSet/>
      <dgm:spPr/>
      <dgm:t>
        <a:bodyPr/>
        <a:lstStyle/>
        <a:p>
          <a:pPr algn="ctr"/>
          <a:endParaRPr lang="es-ES"/>
        </a:p>
      </dgm:t>
    </dgm:pt>
    <dgm:pt modelId="{46A2DDFC-076D-404B-B9D4-CB42FF91AB9F}">
      <dgm:prSet phldrT="[Texto]"/>
      <dgm:spPr/>
      <dgm:t>
        <a:bodyPr/>
        <a:lstStyle/>
        <a:p>
          <a:pPr algn="ctr"/>
          <a:r>
            <a:rPr lang="es-ES"/>
            <a:t>Mecanismo de consulta REDD+</a:t>
          </a:r>
        </a:p>
      </dgm:t>
    </dgm:pt>
    <dgm:pt modelId="{D5629A6C-121D-4DF3-B3A0-ED5ABAA70A4D}" type="parTrans" cxnId="{4F15CC2D-53A1-4096-9D93-A918B0FBE13C}">
      <dgm:prSet/>
      <dgm:spPr/>
      <dgm:t>
        <a:bodyPr/>
        <a:lstStyle/>
        <a:p>
          <a:pPr algn="ctr"/>
          <a:endParaRPr lang="es-ES"/>
        </a:p>
      </dgm:t>
    </dgm:pt>
    <dgm:pt modelId="{CD02490B-FE1D-4156-B253-C195847CAB9C}" type="sibTrans" cxnId="{4F15CC2D-53A1-4096-9D93-A918B0FBE13C}">
      <dgm:prSet/>
      <dgm:spPr/>
      <dgm:t>
        <a:bodyPr/>
        <a:lstStyle/>
        <a:p>
          <a:pPr algn="ctr"/>
          <a:endParaRPr lang="es-ES"/>
        </a:p>
      </dgm:t>
    </dgm:pt>
    <dgm:pt modelId="{AF081F0B-0C57-49F8-A28B-78A53862F5DC}">
      <dgm:prSet phldrT="[Texto]"/>
      <dgm:spPr/>
      <dgm:t>
        <a:bodyPr/>
        <a:lstStyle/>
        <a:p>
          <a:pPr algn="ctr"/>
          <a:r>
            <a:rPr lang="es-ES"/>
            <a:t>9</a:t>
          </a:r>
        </a:p>
      </dgm:t>
    </dgm:pt>
    <dgm:pt modelId="{8BF3410B-D1C4-4CAB-B9D1-E37A3376F6EA}" type="parTrans" cxnId="{9C1FB336-FB85-477B-8476-247F8EE0A438}">
      <dgm:prSet/>
      <dgm:spPr/>
      <dgm:t>
        <a:bodyPr/>
        <a:lstStyle/>
        <a:p>
          <a:pPr algn="ctr"/>
          <a:endParaRPr lang="es-ES"/>
        </a:p>
      </dgm:t>
    </dgm:pt>
    <dgm:pt modelId="{F23DED79-2FAB-4417-9ABC-A5C2FE3D6274}" type="sibTrans" cxnId="{9C1FB336-FB85-477B-8476-247F8EE0A438}">
      <dgm:prSet/>
      <dgm:spPr/>
      <dgm:t>
        <a:bodyPr/>
        <a:lstStyle/>
        <a:p>
          <a:pPr algn="ctr"/>
          <a:endParaRPr lang="es-ES"/>
        </a:p>
      </dgm:t>
    </dgm:pt>
    <dgm:pt modelId="{F2EA85F5-9881-4BF8-BCC6-53B21BEECC3B}" type="pres">
      <dgm:prSet presAssocID="{86F8A98E-AD23-4685-8A04-57AB9C06DD17}" presName="theList" presStyleCnt="0">
        <dgm:presLayoutVars>
          <dgm:dir/>
          <dgm:animLvl val="lvl"/>
          <dgm:resizeHandles val="exact"/>
        </dgm:presLayoutVars>
      </dgm:prSet>
      <dgm:spPr/>
      <dgm:t>
        <a:bodyPr/>
        <a:lstStyle/>
        <a:p>
          <a:endParaRPr lang="es-ES"/>
        </a:p>
      </dgm:t>
    </dgm:pt>
    <dgm:pt modelId="{5BC3FC1A-B0BE-4E45-B805-F92CFFD898EB}" type="pres">
      <dgm:prSet presAssocID="{8E36B661-1CB9-40DD-B9B3-2949D291178B}" presName="compNode" presStyleCnt="0"/>
      <dgm:spPr/>
    </dgm:pt>
    <dgm:pt modelId="{7D477057-6DA7-4BB6-9872-014F58D5202D}" type="pres">
      <dgm:prSet presAssocID="{8E36B661-1CB9-40DD-B9B3-2949D291178B}" presName="aNode" presStyleLbl="bgShp" presStyleIdx="0" presStyleCnt="3"/>
      <dgm:spPr/>
      <dgm:t>
        <a:bodyPr/>
        <a:lstStyle/>
        <a:p>
          <a:endParaRPr lang="es-ES"/>
        </a:p>
      </dgm:t>
    </dgm:pt>
    <dgm:pt modelId="{40EC8707-25E1-4700-B9DE-6514BBB9DAD8}" type="pres">
      <dgm:prSet presAssocID="{8E36B661-1CB9-40DD-B9B3-2949D291178B}" presName="textNode" presStyleLbl="bgShp" presStyleIdx="0" presStyleCnt="3"/>
      <dgm:spPr/>
      <dgm:t>
        <a:bodyPr/>
        <a:lstStyle/>
        <a:p>
          <a:endParaRPr lang="es-ES"/>
        </a:p>
      </dgm:t>
    </dgm:pt>
    <dgm:pt modelId="{52735398-FC3F-4DB8-ADCB-438C28F4D0BF}" type="pres">
      <dgm:prSet presAssocID="{8E36B661-1CB9-40DD-B9B3-2949D291178B}" presName="compChildNode" presStyleCnt="0"/>
      <dgm:spPr/>
    </dgm:pt>
    <dgm:pt modelId="{08952AB5-25CC-4D1C-9F79-4D5D604C8FE9}" type="pres">
      <dgm:prSet presAssocID="{8E36B661-1CB9-40DD-B9B3-2949D291178B}" presName="theInnerList" presStyleCnt="0"/>
      <dgm:spPr/>
    </dgm:pt>
    <dgm:pt modelId="{203DEAFF-314C-4C0D-B761-1480618C6732}" type="pres">
      <dgm:prSet presAssocID="{C43AE5EC-0F26-4B8B-8AA5-A9818BBB01E8}" presName="childNode" presStyleLbl="node1" presStyleIdx="0" presStyleCnt="3">
        <dgm:presLayoutVars>
          <dgm:bulletEnabled val="1"/>
        </dgm:presLayoutVars>
      </dgm:prSet>
      <dgm:spPr/>
      <dgm:t>
        <a:bodyPr/>
        <a:lstStyle/>
        <a:p>
          <a:endParaRPr lang="es-ES"/>
        </a:p>
      </dgm:t>
    </dgm:pt>
    <dgm:pt modelId="{D1A8F62A-F3D2-4B40-A041-538A44B9CF29}" type="pres">
      <dgm:prSet presAssocID="{8E36B661-1CB9-40DD-B9B3-2949D291178B}" presName="aSpace" presStyleCnt="0"/>
      <dgm:spPr/>
    </dgm:pt>
    <dgm:pt modelId="{8948C7D3-0237-498E-A77D-A70121D24DAE}" type="pres">
      <dgm:prSet presAssocID="{F8B823A2-CF53-4D29-9CFA-A8372C917519}" presName="compNode" presStyleCnt="0"/>
      <dgm:spPr/>
    </dgm:pt>
    <dgm:pt modelId="{D5FB4FFD-94DA-4F7F-81BA-D7325CE53D41}" type="pres">
      <dgm:prSet presAssocID="{F8B823A2-CF53-4D29-9CFA-A8372C917519}" presName="aNode" presStyleLbl="bgShp" presStyleIdx="1" presStyleCnt="3"/>
      <dgm:spPr/>
      <dgm:t>
        <a:bodyPr/>
        <a:lstStyle/>
        <a:p>
          <a:endParaRPr lang="es-ES"/>
        </a:p>
      </dgm:t>
    </dgm:pt>
    <dgm:pt modelId="{9C51B406-3AE1-4976-9731-EB55E61DC65B}" type="pres">
      <dgm:prSet presAssocID="{F8B823A2-CF53-4D29-9CFA-A8372C917519}" presName="textNode" presStyleLbl="bgShp" presStyleIdx="1" presStyleCnt="3"/>
      <dgm:spPr/>
      <dgm:t>
        <a:bodyPr/>
        <a:lstStyle/>
        <a:p>
          <a:endParaRPr lang="es-ES"/>
        </a:p>
      </dgm:t>
    </dgm:pt>
    <dgm:pt modelId="{AE7378A2-C6B2-4D86-852D-B63C19A4EB01}" type="pres">
      <dgm:prSet presAssocID="{F8B823A2-CF53-4D29-9CFA-A8372C917519}" presName="compChildNode" presStyleCnt="0"/>
      <dgm:spPr/>
    </dgm:pt>
    <dgm:pt modelId="{24846CC4-4307-44D8-A3F9-1BC113EE6E63}" type="pres">
      <dgm:prSet presAssocID="{F8B823A2-CF53-4D29-9CFA-A8372C917519}" presName="theInnerList" presStyleCnt="0"/>
      <dgm:spPr/>
    </dgm:pt>
    <dgm:pt modelId="{390E5EEB-0F7F-4E03-BA71-9BB0400D7E25}" type="pres">
      <dgm:prSet presAssocID="{89CD31F9-ECDC-44DF-A1E7-4D199CA584C0}" presName="childNode" presStyleLbl="node1" presStyleIdx="1" presStyleCnt="3">
        <dgm:presLayoutVars>
          <dgm:bulletEnabled val="1"/>
        </dgm:presLayoutVars>
      </dgm:prSet>
      <dgm:spPr/>
      <dgm:t>
        <a:bodyPr/>
        <a:lstStyle/>
        <a:p>
          <a:endParaRPr lang="es-ES"/>
        </a:p>
      </dgm:t>
    </dgm:pt>
    <dgm:pt modelId="{BAF8C348-4311-4DC5-97C2-71CCCC8B081E}" type="pres">
      <dgm:prSet presAssocID="{F8B823A2-CF53-4D29-9CFA-A8372C917519}" presName="aSpace" presStyleCnt="0"/>
      <dgm:spPr/>
    </dgm:pt>
    <dgm:pt modelId="{8DE4FDF4-D87A-4BF3-95C3-552B47F3DB78}" type="pres">
      <dgm:prSet presAssocID="{46A2DDFC-076D-404B-B9D4-CB42FF91AB9F}" presName="compNode" presStyleCnt="0"/>
      <dgm:spPr/>
    </dgm:pt>
    <dgm:pt modelId="{4858A914-F49E-4574-A2B2-3DCF792BA4BA}" type="pres">
      <dgm:prSet presAssocID="{46A2DDFC-076D-404B-B9D4-CB42FF91AB9F}" presName="aNode" presStyleLbl="bgShp" presStyleIdx="2" presStyleCnt="3"/>
      <dgm:spPr/>
      <dgm:t>
        <a:bodyPr/>
        <a:lstStyle/>
        <a:p>
          <a:endParaRPr lang="es-ES"/>
        </a:p>
      </dgm:t>
    </dgm:pt>
    <dgm:pt modelId="{E542097A-085B-4949-8AD8-8F3507C4D190}" type="pres">
      <dgm:prSet presAssocID="{46A2DDFC-076D-404B-B9D4-CB42FF91AB9F}" presName="textNode" presStyleLbl="bgShp" presStyleIdx="2" presStyleCnt="3"/>
      <dgm:spPr/>
      <dgm:t>
        <a:bodyPr/>
        <a:lstStyle/>
        <a:p>
          <a:endParaRPr lang="es-ES"/>
        </a:p>
      </dgm:t>
    </dgm:pt>
    <dgm:pt modelId="{EAAA6610-1D9E-46C1-88E6-5ADFFDD78937}" type="pres">
      <dgm:prSet presAssocID="{46A2DDFC-076D-404B-B9D4-CB42FF91AB9F}" presName="compChildNode" presStyleCnt="0"/>
      <dgm:spPr/>
    </dgm:pt>
    <dgm:pt modelId="{1958511A-6E94-46D2-AA58-A5A6C9845449}" type="pres">
      <dgm:prSet presAssocID="{46A2DDFC-076D-404B-B9D4-CB42FF91AB9F}" presName="theInnerList" presStyleCnt="0"/>
      <dgm:spPr/>
    </dgm:pt>
    <dgm:pt modelId="{BF89FE2F-1D05-4577-A4A3-1FC67ED22012}" type="pres">
      <dgm:prSet presAssocID="{AF081F0B-0C57-49F8-A28B-78A53862F5DC}" presName="childNode" presStyleLbl="node1" presStyleIdx="2" presStyleCnt="3">
        <dgm:presLayoutVars>
          <dgm:bulletEnabled val="1"/>
        </dgm:presLayoutVars>
      </dgm:prSet>
      <dgm:spPr/>
      <dgm:t>
        <a:bodyPr/>
        <a:lstStyle/>
        <a:p>
          <a:endParaRPr lang="es-ES"/>
        </a:p>
      </dgm:t>
    </dgm:pt>
  </dgm:ptLst>
  <dgm:cxnLst>
    <dgm:cxn modelId="{732BAC44-57DC-47BC-9080-8D7932D60105}" srcId="{8E36B661-1CB9-40DD-B9B3-2949D291178B}" destId="{C43AE5EC-0F26-4B8B-8AA5-A9818BBB01E8}" srcOrd="0" destOrd="0" parTransId="{A62F57A6-9BF3-43E1-9290-BA4E9F65E096}" sibTransId="{E47CB487-F7EE-4E25-A6C4-C78E7A62C04C}"/>
    <dgm:cxn modelId="{547745AC-1E88-478A-BF0A-31BD16D80557}" srcId="{86F8A98E-AD23-4685-8A04-57AB9C06DD17}" destId="{8E36B661-1CB9-40DD-B9B3-2949D291178B}" srcOrd="0" destOrd="0" parTransId="{1889EC71-F97E-4806-A807-4413DD49F3A8}" sibTransId="{1DE14F37-16EE-45D9-B8BB-0DA58A330871}"/>
    <dgm:cxn modelId="{12DD635E-C779-42CF-9DB2-05831A14587B}" srcId="{F8B823A2-CF53-4D29-9CFA-A8372C917519}" destId="{89CD31F9-ECDC-44DF-A1E7-4D199CA584C0}" srcOrd="0" destOrd="0" parTransId="{193A9D5F-F629-41F5-A848-02CDA524C8FD}" sibTransId="{2C14B180-4804-4783-86CC-3B6E414B7CA9}"/>
    <dgm:cxn modelId="{CC601074-B0BA-4EB4-9E20-E3149F04F70B}" type="presOf" srcId="{8E36B661-1CB9-40DD-B9B3-2949D291178B}" destId="{40EC8707-25E1-4700-B9DE-6514BBB9DAD8}" srcOrd="1" destOrd="0" presId="urn:microsoft.com/office/officeart/2005/8/layout/lProcess2"/>
    <dgm:cxn modelId="{D0267DE8-2683-4E51-B295-0DFF0524CA43}" type="presOf" srcId="{C43AE5EC-0F26-4B8B-8AA5-A9818BBB01E8}" destId="{203DEAFF-314C-4C0D-B761-1480618C6732}" srcOrd="0" destOrd="0" presId="urn:microsoft.com/office/officeart/2005/8/layout/lProcess2"/>
    <dgm:cxn modelId="{9C1FB336-FB85-477B-8476-247F8EE0A438}" srcId="{46A2DDFC-076D-404B-B9D4-CB42FF91AB9F}" destId="{AF081F0B-0C57-49F8-A28B-78A53862F5DC}" srcOrd="0" destOrd="0" parTransId="{8BF3410B-D1C4-4CAB-B9D1-E37A3376F6EA}" sibTransId="{F23DED79-2FAB-4417-9ABC-A5C2FE3D6274}"/>
    <dgm:cxn modelId="{2D16C539-973C-4068-B346-1D3ACFAB4B4A}" type="presOf" srcId="{F8B823A2-CF53-4D29-9CFA-A8372C917519}" destId="{9C51B406-3AE1-4976-9731-EB55E61DC65B}" srcOrd="1" destOrd="0" presId="urn:microsoft.com/office/officeart/2005/8/layout/lProcess2"/>
    <dgm:cxn modelId="{63E0613D-552D-463F-A453-58B4FF33846C}" type="presOf" srcId="{46A2DDFC-076D-404B-B9D4-CB42FF91AB9F}" destId="{4858A914-F49E-4574-A2B2-3DCF792BA4BA}" srcOrd="0" destOrd="0" presId="urn:microsoft.com/office/officeart/2005/8/layout/lProcess2"/>
    <dgm:cxn modelId="{38501567-C4D9-427E-BC18-C76A98AD4ACD}" type="presOf" srcId="{F8B823A2-CF53-4D29-9CFA-A8372C917519}" destId="{D5FB4FFD-94DA-4F7F-81BA-D7325CE53D41}" srcOrd="0" destOrd="0" presId="urn:microsoft.com/office/officeart/2005/8/layout/lProcess2"/>
    <dgm:cxn modelId="{B4D1AE4C-6215-449F-B1A0-0AA4C780FF0B}" type="presOf" srcId="{46A2DDFC-076D-404B-B9D4-CB42FF91AB9F}" destId="{E542097A-085B-4949-8AD8-8F3507C4D190}" srcOrd="1" destOrd="0" presId="urn:microsoft.com/office/officeart/2005/8/layout/lProcess2"/>
    <dgm:cxn modelId="{5F7E7091-A327-44BC-9F1F-35E818A687DA}" type="presOf" srcId="{89CD31F9-ECDC-44DF-A1E7-4D199CA584C0}" destId="{390E5EEB-0F7F-4E03-BA71-9BB0400D7E25}" srcOrd="0" destOrd="0" presId="urn:microsoft.com/office/officeart/2005/8/layout/lProcess2"/>
    <dgm:cxn modelId="{4F15CC2D-53A1-4096-9D93-A918B0FBE13C}" srcId="{86F8A98E-AD23-4685-8A04-57AB9C06DD17}" destId="{46A2DDFC-076D-404B-B9D4-CB42FF91AB9F}" srcOrd="2" destOrd="0" parTransId="{D5629A6C-121D-4DF3-B3A0-ED5ABAA70A4D}" sibTransId="{CD02490B-FE1D-4156-B253-C195847CAB9C}"/>
    <dgm:cxn modelId="{A466F07F-C359-4319-8F5C-AD934343C901}" type="presOf" srcId="{86F8A98E-AD23-4685-8A04-57AB9C06DD17}" destId="{F2EA85F5-9881-4BF8-BCC6-53B21BEECC3B}" srcOrd="0" destOrd="0" presId="urn:microsoft.com/office/officeart/2005/8/layout/lProcess2"/>
    <dgm:cxn modelId="{589ED599-ED20-4FE7-951E-7CF8757CE453}" srcId="{86F8A98E-AD23-4685-8A04-57AB9C06DD17}" destId="{F8B823A2-CF53-4D29-9CFA-A8372C917519}" srcOrd="1" destOrd="0" parTransId="{59FA1241-334F-4ACE-B5FF-80FEB7C0FDDE}" sibTransId="{EC767E0F-BD10-4087-A925-23822FFE528E}"/>
    <dgm:cxn modelId="{2281279E-D78B-4A3F-B565-6679202B0C44}" type="presOf" srcId="{AF081F0B-0C57-49F8-A28B-78A53862F5DC}" destId="{BF89FE2F-1D05-4577-A4A3-1FC67ED22012}" srcOrd="0" destOrd="0" presId="urn:microsoft.com/office/officeart/2005/8/layout/lProcess2"/>
    <dgm:cxn modelId="{5465D750-6C10-48B0-86F3-0018B10DF2C1}" type="presOf" srcId="{8E36B661-1CB9-40DD-B9B3-2949D291178B}" destId="{7D477057-6DA7-4BB6-9872-014F58D5202D}" srcOrd="0" destOrd="0" presId="urn:microsoft.com/office/officeart/2005/8/layout/lProcess2"/>
    <dgm:cxn modelId="{8A8EA2EF-25F0-46DD-A003-B1E86F76836A}" type="presParOf" srcId="{F2EA85F5-9881-4BF8-BCC6-53B21BEECC3B}" destId="{5BC3FC1A-B0BE-4E45-B805-F92CFFD898EB}" srcOrd="0" destOrd="0" presId="urn:microsoft.com/office/officeart/2005/8/layout/lProcess2"/>
    <dgm:cxn modelId="{D7F2697D-1AAC-4FAA-8D1C-BB4FA64FD688}" type="presParOf" srcId="{5BC3FC1A-B0BE-4E45-B805-F92CFFD898EB}" destId="{7D477057-6DA7-4BB6-9872-014F58D5202D}" srcOrd="0" destOrd="0" presId="urn:microsoft.com/office/officeart/2005/8/layout/lProcess2"/>
    <dgm:cxn modelId="{B0EF7730-9418-4248-85C9-B51C03DC676E}" type="presParOf" srcId="{5BC3FC1A-B0BE-4E45-B805-F92CFFD898EB}" destId="{40EC8707-25E1-4700-B9DE-6514BBB9DAD8}" srcOrd="1" destOrd="0" presId="urn:microsoft.com/office/officeart/2005/8/layout/lProcess2"/>
    <dgm:cxn modelId="{5B5ACA57-C346-41DF-9139-B1C58CBEB670}" type="presParOf" srcId="{5BC3FC1A-B0BE-4E45-B805-F92CFFD898EB}" destId="{52735398-FC3F-4DB8-ADCB-438C28F4D0BF}" srcOrd="2" destOrd="0" presId="urn:microsoft.com/office/officeart/2005/8/layout/lProcess2"/>
    <dgm:cxn modelId="{1F9A5820-1E2F-4539-87E0-2BC18A9E6F9C}" type="presParOf" srcId="{52735398-FC3F-4DB8-ADCB-438C28F4D0BF}" destId="{08952AB5-25CC-4D1C-9F79-4D5D604C8FE9}" srcOrd="0" destOrd="0" presId="urn:microsoft.com/office/officeart/2005/8/layout/lProcess2"/>
    <dgm:cxn modelId="{8C0E0B15-631F-4B54-B05A-0DA1E1BD2A88}" type="presParOf" srcId="{08952AB5-25CC-4D1C-9F79-4D5D604C8FE9}" destId="{203DEAFF-314C-4C0D-B761-1480618C6732}" srcOrd="0" destOrd="0" presId="urn:microsoft.com/office/officeart/2005/8/layout/lProcess2"/>
    <dgm:cxn modelId="{47252C6A-43EC-4FC5-BD1A-2434AB278AD0}" type="presParOf" srcId="{F2EA85F5-9881-4BF8-BCC6-53B21BEECC3B}" destId="{D1A8F62A-F3D2-4B40-A041-538A44B9CF29}" srcOrd="1" destOrd="0" presId="urn:microsoft.com/office/officeart/2005/8/layout/lProcess2"/>
    <dgm:cxn modelId="{CC165A38-F630-4DE1-A20A-7025D1D70D46}" type="presParOf" srcId="{F2EA85F5-9881-4BF8-BCC6-53B21BEECC3B}" destId="{8948C7D3-0237-498E-A77D-A70121D24DAE}" srcOrd="2" destOrd="0" presId="urn:microsoft.com/office/officeart/2005/8/layout/lProcess2"/>
    <dgm:cxn modelId="{9724EBEC-997E-4B34-8C3D-454874732A01}" type="presParOf" srcId="{8948C7D3-0237-498E-A77D-A70121D24DAE}" destId="{D5FB4FFD-94DA-4F7F-81BA-D7325CE53D41}" srcOrd="0" destOrd="0" presId="urn:microsoft.com/office/officeart/2005/8/layout/lProcess2"/>
    <dgm:cxn modelId="{1BC77216-62D7-4ADB-8117-B2B781064F99}" type="presParOf" srcId="{8948C7D3-0237-498E-A77D-A70121D24DAE}" destId="{9C51B406-3AE1-4976-9731-EB55E61DC65B}" srcOrd="1" destOrd="0" presId="urn:microsoft.com/office/officeart/2005/8/layout/lProcess2"/>
    <dgm:cxn modelId="{3F3A7327-A583-4469-9963-8FEBA25605B9}" type="presParOf" srcId="{8948C7D3-0237-498E-A77D-A70121D24DAE}" destId="{AE7378A2-C6B2-4D86-852D-B63C19A4EB01}" srcOrd="2" destOrd="0" presId="urn:microsoft.com/office/officeart/2005/8/layout/lProcess2"/>
    <dgm:cxn modelId="{4A1BEEA4-0E89-415D-B6EB-ABDC325B3EEC}" type="presParOf" srcId="{AE7378A2-C6B2-4D86-852D-B63C19A4EB01}" destId="{24846CC4-4307-44D8-A3F9-1BC113EE6E63}" srcOrd="0" destOrd="0" presId="urn:microsoft.com/office/officeart/2005/8/layout/lProcess2"/>
    <dgm:cxn modelId="{B9C01F60-417E-43F1-B8FF-DF8868FCA611}" type="presParOf" srcId="{24846CC4-4307-44D8-A3F9-1BC113EE6E63}" destId="{390E5EEB-0F7F-4E03-BA71-9BB0400D7E25}" srcOrd="0" destOrd="0" presId="urn:microsoft.com/office/officeart/2005/8/layout/lProcess2"/>
    <dgm:cxn modelId="{1D76A89B-64DC-4DEA-B45B-560BE11B671B}" type="presParOf" srcId="{F2EA85F5-9881-4BF8-BCC6-53B21BEECC3B}" destId="{BAF8C348-4311-4DC5-97C2-71CCCC8B081E}" srcOrd="3" destOrd="0" presId="urn:microsoft.com/office/officeart/2005/8/layout/lProcess2"/>
    <dgm:cxn modelId="{A7D02812-BC33-4856-BBC8-C4548239A655}" type="presParOf" srcId="{F2EA85F5-9881-4BF8-BCC6-53B21BEECC3B}" destId="{8DE4FDF4-D87A-4BF3-95C3-552B47F3DB78}" srcOrd="4" destOrd="0" presId="urn:microsoft.com/office/officeart/2005/8/layout/lProcess2"/>
    <dgm:cxn modelId="{B82CFC4F-573D-4B96-8D58-09C61CDDBCB5}" type="presParOf" srcId="{8DE4FDF4-D87A-4BF3-95C3-552B47F3DB78}" destId="{4858A914-F49E-4574-A2B2-3DCF792BA4BA}" srcOrd="0" destOrd="0" presId="urn:microsoft.com/office/officeart/2005/8/layout/lProcess2"/>
    <dgm:cxn modelId="{B5968561-68FB-49A7-8A09-66B3A6A8EF47}" type="presParOf" srcId="{8DE4FDF4-D87A-4BF3-95C3-552B47F3DB78}" destId="{E542097A-085B-4949-8AD8-8F3507C4D190}" srcOrd="1" destOrd="0" presId="urn:microsoft.com/office/officeart/2005/8/layout/lProcess2"/>
    <dgm:cxn modelId="{27F5244B-5624-4734-8C5E-38FDE7F5B31D}" type="presParOf" srcId="{8DE4FDF4-D87A-4BF3-95C3-552B47F3DB78}" destId="{EAAA6610-1D9E-46C1-88E6-5ADFFDD78937}" srcOrd="2" destOrd="0" presId="urn:microsoft.com/office/officeart/2005/8/layout/lProcess2"/>
    <dgm:cxn modelId="{375F5F1F-B326-45CC-9037-F98AE0079CDE}" type="presParOf" srcId="{EAAA6610-1D9E-46C1-88E6-5ADFFDD78937}" destId="{1958511A-6E94-46D2-AA58-A5A6C9845449}" srcOrd="0" destOrd="0" presId="urn:microsoft.com/office/officeart/2005/8/layout/lProcess2"/>
    <dgm:cxn modelId="{A241DCFE-2140-4A3D-9DD9-575307858223}" type="presParOf" srcId="{1958511A-6E94-46D2-AA58-A5A6C9845449}" destId="{BF89FE2F-1D05-4577-A4A3-1FC67ED22012}" srcOrd="0"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177A85-4E18-48D0-8ABE-B3FADA9AA7E2}" type="doc">
      <dgm:prSet loTypeId="urn:microsoft.com/office/officeart/2005/8/layout/venn1" loCatId="relationship" qsTypeId="urn:microsoft.com/office/officeart/2005/8/quickstyle/simple4" qsCatId="simple" csTypeId="urn:microsoft.com/office/officeart/2005/8/colors/accent1_2" csCatId="accent1" phldr="1"/>
      <dgm:spPr/>
      <dgm:t>
        <a:bodyPr/>
        <a:lstStyle/>
        <a:p>
          <a:endParaRPr lang="es-ES"/>
        </a:p>
      </dgm:t>
    </dgm:pt>
    <dgm:pt modelId="{D7CD3A65-9A8B-4444-967B-0D649EC39884}">
      <dgm:prSet phldrT="[Texto]"/>
      <dgm:spPr/>
      <dgm:t>
        <a:bodyPr/>
        <a:lstStyle/>
        <a:p>
          <a:r>
            <a:rPr lang="es-ES"/>
            <a:t>Grado de cumplimiento institucional de las actividades SEVRI </a:t>
          </a:r>
        </a:p>
        <a:p>
          <a:r>
            <a:rPr lang="es-ES" b="1"/>
            <a:t>80%</a:t>
          </a:r>
        </a:p>
      </dgm:t>
    </dgm:pt>
    <dgm:pt modelId="{DB277B1A-BFEF-4E4E-8CC2-84866CD4C6EE}" type="parTrans" cxnId="{58680187-A1E3-483F-9EBE-623AFC5F4DAF}">
      <dgm:prSet/>
      <dgm:spPr/>
      <dgm:t>
        <a:bodyPr/>
        <a:lstStyle/>
        <a:p>
          <a:endParaRPr lang="es-ES"/>
        </a:p>
      </dgm:t>
    </dgm:pt>
    <dgm:pt modelId="{744FD5E0-ECD3-474B-92CE-5B5AD19471E7}" type="sibTrans" cxnId="{58680187-A1E3-483F-9EBE-623AFC5F4DAF}">
      <dgm:prSet/>
      <dgm:spPr/>
      <dgm:t>
        <a:bodyPr/>
        <a:lstStyle/>
        <a:p>
          <a:endParaRPr lang="es-ES"/>
        </a:p>
      </dgm:t>
    </dgm:pt>
    <dgm:pt modelId="{29AA131A-E0E5-454A-AD2A-7AF4DA3F8E88}">
      <dgm:prSet phldrT="[Texto]"/>
      <dgm:spPr/>
      <dgm:t>
        <a:bodyPr/>
        <a:lstStyle/>
        <a:p>
          <a:r>
            <a:rPr lang="es-ES"/>
            <a:t>Porcentaje de materialización de riesgos institucionales</a:t>
          </a:r>
        </a:p>
        <a:p>
          <a:r>
            <a:rPr lang="es-ES" b="1"/>
            <a:t>7,25% </a:t>
          </a:r>
        </a:p>
      </dgm:t>
    </dgm:pt>
    <dgm:pt modelId="{EB4BF534-7236-496B-BA4B-4ED06F6BF044}" type="parTrans" cxnId="{ED06504C-E17E-4DC2-8680-0AAB0F61DEFB}">
      <dgm:prSet/>
      <dgm:spPr/>
      <dgm:t>
        <a:bodyPr/>
        <a:lstStyle/>
        <a:p>
          <a:endParaRPr lang="es-ES"/>
        </a:p>
      </dgm:t>
    </dgm:pt>
    <dgm:pt modelId="{4BBAB239-0903-4542-ABDB-FFC1167082B3}" type="sibTrans" cxnId="{ED06504C-E17E-4DC2-8680-0AAB0F61DEFB}">
      <dgm:prSet/>
      <dgm:spPr/>
      <dgm:t>
        <a:bodyPr/>
        <a:lstStyle/>
        <a:p>
          <a:endParaRPr lang="es-ES"/>
        </a:p>
      </dgm:t>
    </dgm:pt>
    <dgm:pt modelId="{5390BCE2-3ABE-48B5-8DF8-6F383028C540}">
      <dgm:prSet phldrT="[Texto]"/>
      <dgm:spPr/>
      <dgm:t>
        <a:bodyPr/>
        <a:lstStyle/>
        <a:p>
          <a:r>
            <a:rPr lang="es-ES"/>
            <a:t>Porcentaje de avance en la implementación del planes de mejora por unidad funcional </a:t>
          </a:r>
        </a:p>
        <a:p>
          <a:r>
            <a:rPr lang="es-ES" b="1"/>
            <a:t>73,53%</a:t>
          </a:r>
        </a:p>
      </dgm:t>
    </dgm:pt>
    <dgm:pt modelId="{1D7A06D0-2F75-47E3-B293-D787B1F1F997}" type="parTrans" cxnId="{A15B36E8-71A7-4FDB-BDF0-DC8B8DCFC8C8}">
      <dgm:prSet/>
      <dgm:spPr/>
      <dgm:t>
        <a:bodyPr/>
        <a:lstStyle/>
        <a:p>
          <a:endParaRPr lang="es-ES"/>
        </a:p>
      </dgm:t>
    </dgm:pt>
    <dgm:pt modelId="{789BB9A6-1A09-4BD3-B30C-8CF8650FBD43}" type="sibTrans" cxnId="{A15B36E8-71A7-4FDB-BDF0-DC8B8DCFC8C8}">
      <dgm:prSet/>
      <dgm:spPr/>
      <dgm:t>
        <a:bodyPr/>
        <a:lstStyle/>
        <a:p>
          <a:endParaRPr lang="es-ES"/>
        </a:p>
      </dgm:t>
    </dgm:pt>
    <dgm:pt modelId="{244B1AF0-710A-4900-AE79-FCDECE71CE00}" type="pres">
      <dgm:prSet presAssocID="{B0177A85-4E18-48D0-8ABE-B3FADA9AA7E2}" presName="compositeShape" presStyleCnt="0">
        <dgm:presLayoutVars>
          <dgm:chMax val="7"/>
          <dgm:dir/>
          <dgm:resizeHandles val="exact"/>
        </dgm:presLayoutVars>
      </dgm:prSet>
      <dgm:spPr/>
      <dgm:t>
        <a:bodyPr/>
        <a:lstStyle/>
        <a:p>
          <a:endParaRPr lang="es-ES"/>
        </a:p>
      </dgm:t>
    </dgm:pt>
    <dgm:pt modelId="{E6EB308B-4968-4CAF-8D00-54E7399A3758}" type="pres">
      <dgm:prSet presAssocID="{D7CD3A65-9A8B-4444-967B-0D649EC39884}" presName="circ1" presStyleLbl="vennNode1" presStyleIdx="0" presStyleCnt="3"/>
      <dgm:spPr/>
      <dgm:t>
        <a:bodyPr/>
        <a:lstStyle/>
        <a:p>
          <a:endParaRPr lang="es-ES"/>
        </a:p>
      </dgm:t>
    </dgm:pt>
    <dgm:pt modelId="{29DDE1C8-FDCA-493A-AF63-A784F4E34315}" type="pres">
      <dgm:prSet presAssocID="{D7CD3A65-9A8B-4444-967B-0D649EC39884}" presName="circ1Tx" presStyleLbl="revTx" presStyleIdx="0" presStyleCnt="0">
        <dgm:presLayoutVars>
          <dgm:chMax val="0"/>
          <dgm:chPref val="0"/>
          <dgm:bulletEnabled val="1"/>
        </dgm:presLayoutVars>
      </dgm:prSet>
      <dgm:spPr/>
      <dgm:t>
        <a:bodyPr/>
        <a:lstStyle/>
        <a:p>
          <a:endParaRPr lang="es-ES"/>
        </a:p>
      </dgm:t>
    </dgm:pt>
    <dgm:pt modelId="{556A7368-B08B-4774-A426-D11C45003C70}" type="pres">
      <dgm:prSet presAssocID="{29AA131A-E0E5-454A-AD2A-7AF4DA3F8E88}" presName="circ2" presStyleLbl="vennNode1" presStyleIdx="1" presStyleCnt="3"/>
      <dgm:spPr/>
      <dgm:t>
        <a:bodyPr/>
        <a:lstStyle/>
        <a:p>
          <a:endParaRPr lang="es-ES"/>
        </a:p>
      </dgm:t>
    </dgm:pt>
    <dgm:pt modelId="{365346AB-3038-4BCB-9DF2-06C7027B5C6F}" type="pres">
      <dgm:prSet presAssocID="{29AA131A-E0E5-454A-AD2A-7AF4DA3F8E88}" presName="circ2Tx" presStyleLbl="revTx" presStyleIdx="0" presStyleCnt="0">
        <dgm:presLayoutVars>
          <dgm:chMax val="0"/>
          <dgm:chPref val="0"/>
          <dgm:bulletEnabled val="1"/>
        </dgm:presLayoutVars>
      </dgm:prSet>
      <dgm:spPr/>
      <dgm:t>
        <a:bodyPr/>
        <a:lstStyle/>
        <a:p>
          <a:endParaRPr lang="es-ES"/>
        </a:p>
      </dgm:t>
    </dgm:pt>
    <dgm:pt modelId="{8E228258-AF7A-4733-A37E-6AF757F779B8}" type="pres">
      <dgm:prSet presAssocID="{5390BCE2-3ABE-48B5-8DF8-6F383028C540}" presName="circ3" presStyleLbl="vennNode1" presStyleIdx="2" presStyleCnt="3"/>
      <dgm:spPr/>
      <dgm:t>
        <a:bodyPr/>
        <a:lstStyle/>
        <a:p>
          <a:endParaRPr lang="es-ES"/>
        </a:p>
      </dgm:t>
    </dgm:pt>
    <dgm:pt modelId="{DFF2D5BB-E5E6-4F71-8C49-D5283EAD1D47}" type="pres">
      <dgm:prSet presAssocID="{5390BCE2-3ABE-48B5-8DF8-6F383028C540}" presName="circ3Tx" presStyleLbl="revTx" presStyleIdx="0" presStyleCnt="0">
        <dgm:presLayoutVars>
          <dgm:chMax val="0"/>
          <dgm:chPref val="0"/>
          <dgm:bulletEnabled val="1"/>
        </dgm:presLayoutVars>
      </dgm:prSet>
      <dgm:spPr/>
      <dgm:t>
        <a:bodyPr/>
        <a:lstStyle/>
        <a:p>
          <a:endParaRPr lang="es-ES"/>
        </a:p>
      </dgm:t>
    </dgm:pt>
  </dgm:ptLst>
  <dgm:cxnLst>
    <dgm:cxn modelId="{B35CCBD2-6593-4597-84FE-1C8CC312380C}" type="presOf" srcId="{29AA131A-E0E5-454A-AD2A-7AF4DA3F8E88}" destId="{556A7368-B08B-4774-A426-D11C45003C70}" srcOrd="0" destOrd="0" presId="urn:microsoft.com/office/officeart/2005/8/layout/venn1"/>
    <dgm:cxn modelId="{A15B36E8-71A7-4FDB-BDF0-DC8B8DCFC8C8}" srcId="{B0177A85-4E18-48D0-8ABE-B3FADA9AA7E2}" destId="{5390BCE2-3ABE-48B5-8DF8-6F383028C540}" srcOrd="2" destOrd="0" parTransId="{1D7A06D0-2F75-47E3-B293-D787B1F1F997}" sibTransId="{789BB9A6-1A09-4BD3-B30C-8CF8650FBD43}"/>
    <dgm:cxn modelId="{ED06504C-E17E-4DC2-8680-0AAB0F61DEFB}" srcId="{B0177A85-4E18-48D0-8ABE-B3FADA9AA7E2}" destId="{29AA131A-E0E5-454A-AD2A-7AF4DA3F8E88}" srcOrd="1" destOrd="0" parTransId="{EB4BF534-7236-496B-BA4B-4ED06F6BF044}" sibTransId="{4BBAB239-0903-4542-ABDB-FFC1167082B3}"/>
    <dgm:cxn modelId="{F091E088-3C3F-4D5F-99E7-5CCCF8742C74}" type="presOf" srcId="{5390BCE2-3ABE-48B5-8DF8-6F383028C540}" destId="{DFF2D5BB-E5E6-4F71-8C49-D5283EAD1D47}" srcOrd="1" destOrd="0" presId="urn:microsoft.com/office/officeart/2005/8/layout/venn1"/>
    <dgm:cxn modelId="{6F262FD9-EA00-40F2-9521-B663AC008687}" type="presOf" srcId="{B0177A85-4E18-48D0-8ABE-B3FADA9AA7E2}" destId="{244B1AF0-710A-4900-AE79-FCDECE71CE00}" srcOrd="0" destOrd="0" presId="urn:microsoft.com/office/officeart/2005/8/layout/venn1"/>
    <dgm:cxn modelId="{C366CD4E-8CFD-498B-8FAF-AA821ED2CF5F}" type="presOf" srcId="{D7CD3A65-9A8B-4444-967B-0D649EC39884}" destId="{E6EB308B-4968-4CAF-8D00-54E7399A3758}" srcOrd="0" destOrd="0" presId="urn:microsoft.com/office/officeart/2005/8/layout/venn1"/>
    <dgm:cxn modelId="{58680187-A1E3-483F-9EBE-623AFC5F4DAF}" srcId="{B0177A85-4E18-48D0-8ABE-B3FADA9AA7E2}" destId="{D7CD3A65-9A8B-4444-967B-0D649EC39884}" srcOrd="0" destOrd="0" parTransId="{DB277B1A-BFEF-4E4E-8CC2-84866CD4C6EE}" sibTransId="{744FD5E0-ECD3-474B-92CE-5B5AD19471E7}"/>
    <dgm:cxn modelId="{767A95CC-E2BC-4219-96CC-0B9A5348F387}" type="presOf" srcId="{D7CD3A65-9A8B-4444-967B-0D649EC39884}" destId="{29DDE1C8-FDCA-493A-AF63-A784F4E34315}" srcOrd="1" destOrd="0" presId="urn:microsoft.com/office/officeart/2005/8/layout/venn1"/>
    <dgm:cxn modelId="{CBAE8C1F-B13F-4592-9847-CF7863BCB04F}" type="presOf" srcId="{5390BCE2-3ABE-48B5-8DF8-6F383028C540}" destId="{8E228258-AF7A-4733-A37E-6AF757F779B8}" srcOrd="0" destOrd="0" presId="urn:microsoft.com/office/officeart/2005/8/layout/venn1"/>
    <dgm:cxn modelId="{6AD63566-0F12-4199-9D4D-EE4F4B244A84}" type="presOf" srcId="{29AA131A-E0E5-454A-AD2A-7AF4DA3F8E88}" destId="{365346AB-3038-4BCB-9DF2-06C7027B5C6F}" srcOrd="1" destOrd="0" presId="urn:microsoft.com/office/officeart/2005/8/layout/venn1"/>
    <dgm:cxn modelId="{99F7E73E-EAA7-42F6-B431-D18D5E3EDF0F}" type="presParOf" srcId="{244B1AF0-710A-4900-AE79-FCDECE71CE00}" destId="{E6EB308B-4968-4CAF-8D00-54E7399A3758}" srcOrd="0" destOrd="0" presId="urn:microsoft.com/office/officeart/2005/8/layout/venn1"/>
    <dgm:cxn modelId="{F2175D20-2470-4F77-8DFF-291AE9AFADBA}" type="presParOf" srcId="{244B1AF0-710A-4900-AE79-FCDECE71CE00}" destId="{29DDE1C8-FDCA-493A-AF63-A784F4E34315}" srcOrd="1" destOrd="0" presId="urn:microsoft.com/office/officeart/2005/8/layout/venn1"/>
    <dgm:cxn modelId="{54011B5A-6B7B-40F0-87D3-184015CDEAD5}" type="presParOf" srcId="{244B1AF0-710A-4900-AE79-FCDECE71CE00}" destId="{556A7368-B08B-4774-A426-D11C45003C70}" srcOrd="2" destOrd="0" presId="urn:microsoft.com/office/officeart/2005/8/layout/venn1"/>
    <dgm:cxn modelId="{D88FE2F1-9839-4427-9FB8-9E50A7A92435}" type="presParOf" srcId="{244B1AF0-710A-4900-AE79-FCDECE71CE00}" destId="{365346AB-3038-4BCB-9DF2-06C7027B5C6F}" srcOrd="3" destOrd="0" presId="urn:microsoft.com/office/officeart/2005/8/layout/venn1"/>
    <dgm:cxn modelId="{65F21DF2-BFEA-4369-BAF6-A87D3BCB3271}" type="presParOf" srcId="{244B1AF0-710A-4900-AE79-FCDECE71CE00}" destId="{8E228258-AF7A-4733-A37E-6AF757F779B8}" srcOrd="4" destOrd="0" presId="urn:microsoft.com/office/officeart/2005/8/layout/venn1"/>
    <dgm:cxn modelId="{CADCCA72-7E06-4440-A231-F3B4CA9BEE14}" type="presParOf" srcId="{244B1AF0-710A-4900-AE79-FCDECE71CE00}" destId="{DFF2D5BB-E5E6-4F71-8C49-D5283EAD1D47}"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77057-6DA7-4BB6-9872-014F58D5202D}">
      <dsp:nvSpPr>
        <dsp:cNvPr id="0" name=""/>
        <dsp:cNvSpPr/>
      </dsp:nvSpPr>
      <dsp:spPr>
        <a:xfrm>
          <a:off x="555" y="0"/>
          <a:ext cx="1445028" cy="24955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Gestiones Resueltas</a:t>
          </a:r>
        </a:p>
      </dsp:txBody>
      <dsp:txXfrm>
        <a:off x="555" y="0"/>
        <a:ext cx="1445028" cy="748665"/>
      </dsp:txXfrm>
    </dsp:sp>
    <dsp:sp modelId="{203DEAFF-314C-4C0D-B761-1480618C6732}">
      <dsp:nvSpPr>
        <dsp:cNvPr id="0" name=""/>
        <dsp:cNvSpPr/>
      </dsp:nvSpPr>
      <dsp:spPr>
        <a:xfrm>
          <a:off x="145058" y="748665"/>
          <a:ext cx="1156022" cy="1622107"/>
        </a:xfrm>
        <a:prstGeom prst="roundRect">
          <a:avLst>
            <a:gd name="adj" fmla="val 10000"/>
          </a:avLst>
        </a:prstGeom>
        <a:solidFill>
          <a:schemeClr val="accent1">
            <a:hueOff val="0"/>
            <a:satOff val="0"/>
            <a:lumOff val="0"/>
            <a:alphaOff val="0"/>
          </a:schemeClr>
        </a:solidFill>
        <a:ln w="25400" cap="rnd"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04140" tIns="78105" rIns="104140" bIns="78105" numCol="1" spcCol="1270" anchor="ctr" anchorCtr="0">
          <a:noAutofit/>
        </a:bodyPr>
        <a:lstStyle/>
        <a:p>
          <a:pPr lvl="0" algn="ctr" defTabSz="1822450">
            <a:lnSpc>
              <a:spcPct val="90000"/>
            </a:lnSpc>
            <a:spcBef>
              <a:spcPct val="0"/>
            </a:spcBef>
            <a:spcAft>
              <a:spcPct val="35000"/>
            </a:spcAft>
          </a:pPr>
          <a:r>
            <a:rPr lang="es-ES" sz="4100" kern="1200"/>
            <a:t>375</a:t>
          </a:r>
        </a:p>
      </dsp:txBody>
      <dsp:txXfrm>
        <a:off x="178917" y="782524"/>
        <a:ext cx="1088304" cy="1554389"/>
      </dsp:txXfrm>
    </dsp:sp>
    <dsp:sp modelId="{D5FB4FFD-94DA-4F7F-81BA-D7325CE53D41}">
      <dsp:nvSpPr>
        <dsp:cNvPr id="0" name=""/>
        <dsp:cNvSpPr/>
      </dsp:nvSpPr>
      <dsp:spPr>
        <a:xfrm>
          <a:off x="1553960" y="0"/>
          <a:ext cx="1445028" cy="24955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Denuncias o Inconformidades</a:t>
          </a:r>
        </a:p>
      </dsp:txBody>
      <dsp:txXfrm>
        <a:off x="1553960" y="0"/>
        <a:ext cx="1445028" cy="748665"/>
      </dsp:txXfrm>
    </dsp:sp>
    <dsp:sp modelId="{390E5EEB-0F7F-4E03-BA71-9BB0400D7E25}">
      <dsp:nvSpPr>
        <dsp:cNvPr id="0" name=""/>
        <dsp:cNvSpPr/>
      </dsp:nvSpPr>
      <dsp:spPr>
        <a:xfrm>
          <a:off x="1698463" y="748665"/>
          <a:ext cx="1156022" cy="1622107"/>
        </a:xfrm>
        <a:prstGeom prst="roundRect">
          <a:avLst>
            <a:gd name="adj" fmla="val 10000"/>
          </a:avLst>
        </a:prstGeom>
        <a:solidFill>
          <a:schemeClr val="accent1">
            <a:hueOff val="0"/>
            <a:satOff val="0"/>
            <a:lumOff val="0"/>
            <a:alphaOff val="0"/>
          </a:schemeClr>
        </a:solidFill>
        <a:ln w="25400" cap="rnd"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04140" tIns="78105" rIns="104140" bIns="78105" numCol="1" spcCol="1270" anchor="ctr" anchorCtr="0">
          <a:noAutofit/>
        </a:bodyPr>
        <a:lstStyle/>
        <a:p>
          <a:pPr lvl="0" algn="ctr" defTabSz="1822450">
            <a:lnSpc>
              <a:spcPct val="90000"/>
            </a:lnSpc>
            <a:spcBef>
              <a:spcPct val="0"/>
            </a:spcBef>
            <a:spcAft>
              <a:spcPct val="35000"/>
            </a:spcAft>
          </a:pPr>
          <a:r>
            <a:rPr lang="es-ES" sz="4100" kern="1200"/>
            <a:t>20</a:t>
          </a:r>
        </a:p>
      </dsp:txBody>
      <dsp:txXfrm>
        <a:off x="1732322" y="782524"/>
        <a:ext cx="1088304" cy="1554389"/>
      </dsp:txXfrm>
    </dsp:sp>
    <dsp:sp modelId="{4858A914-F49E-4574-A2B2-3DCF792BA4BA}">
      <dsp:nvSpPr>
        <dsp:cNvPr id="0" name=""/>
        <dsp:cNvSpPr/>
      </dsp:nvSpPr>
      <dsp:spPr>
        <a:xfrm>
          <a:off x="3107366" y="0"/>
          <a:ext cx="1445028" cy="24955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Mecanismo de consulta REDD+</a:t>
          </a:r>
        </a:p>
      </dsp:txBody>
      <dsp:txXfrm>
        <a:off x="3107366" y="0"/>
        <a:ext cx="1445028" cy="748665"/>
      </dsp:txXfrm>
    </dsp:sp>
    <dsp:sp modelId="{BF89FE2F-1D05-4577-A4A3-1FC67ED22012}">
      <dsp:nvSpPr>
        <dsp:cNvPr id="0" name=""/>
        <dsp:cNvSpPr/>
      </dsp:nvSpPr>
      <dsp:spPr>
        <a:xfrm>
          <a:off x="3251868" y="748665"/>
          <a:ext cx="1156022" cy="1622107"/>
        </a:xfrm>
        <a:prstGeom prst="roundRect">
          <a:avLst>
            <a:gd name="adj" fmla="val 10000"/>
          </a:avLst>
        </a:prstGeom>
        <a:solidFill>
          <a:schemeClr val="accent1">
            <a:hueOff val="0"/>
            <a:satOff val="0"/>
            <a:lumOff val="0"/>
            <a:alphaOff val="0"/>
          </a:schemeClr>
        </a:solidFill>
        <a:ln w="25400" cap="rnd"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04140" tIns="78105" rIns="104140" bIns="78105" numCol="1" spcCol="1270" anchor="ctr" anchorCtr="0">
          <a:noAutofit/>
        </a:bodyPr>
        <a:lstStyle/>
        <a:p>
          <a:pPr lvl="0" algn="ctr" defTabSz="1822450">
            <a:lnSpc>
              <a:spcPct val="90000"/>
            </a:lnSpc>
            <a:spcBef>
              <a:spcPct val="0"/>
            </a:spcBef>
            <a:spcAft>
              <a:spcPct val="35000"/>
            </a:spcAft>
          </a:pPr>
          <a:r>
            <a:rPr lang="es-ES" sz="4100" kern="1200"/>
            <a:t>9</a:t>
          </a:r>
        </a:p>
      </dsp:txBody>
      <dsp:txXfrm>
        <a:off x="3285727" y="782524"/>
        <a:ext cx="1088304" cy="15543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EB308B-4968-4CAF-8D00-54E7399A3758}">
      <dsp:nvSpPr>
        <dsp:cNvPr id="0" name=""/>
        <dsp:cNvSpPr/>
      </dsp:nvSpPr>
      <dsp:spPr>
        <a:xfrm>
          <a:off x="1783080" y="40004"/>
          <a:ext cx="1920240" cy="1920240"/>
        </a:xfrm>
        <a:prstGeom prst="ellipse">
          <a:avLst/>
        </a:prstGeom>
        <a:gradFill rotWithShape="0">
          <a:gsLst>
            <a:gs pos="0">
              <a:schemeClr val="accent1">
                <a:alpha val="50000"/>
                <a:hueOff val="0"/>
                <a:satOff val="0"/>
                <a:lumOff val="0"/>
                <a:alphaOff val="0"/>
                <a:tint val="96000"/>
                <a:lumMod val="100000"/>
              </a:schemeClr>
            </a:gs>
            <a:gs pos="78000">
              <a:schemeClr val="accent1">
                <a:alpha val="50000"/>
                <a:hueOff val="0"/>
                <a:satOff val="0"/>
                <a:lumOff val="0"/>
                <a:alphaOff val="0"/>
                <a:shade val="94000"/>
                <a:lumMod val="94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ES" sz="1000" kern="1200"/>
            <a:t>Grado de cumplimiento institucional de las actividades SEVRI </a:t>
          </a:r>
        </a:p>
        <a:p>
          <a:pPr lvl="0" algn="ctr" defTabSz="444500">
            <a:lnSpc>
              <a:spcPct val="90000"/>
            </a:lnSpc>
            <a:spcBef>
              <a:spcPct val="0"/>
            </a:spcBef>
            <a:spcAft>
              <a:spcPct val="35000"/>
            </a:spcAft>
          </a:pPr>
          <a:r>
            <a:rPr lang="es-ES" sz="1000" b="1" kern="1200"/>
            <a:t>80%</a:t>
          </a:r>
        </a:p>
      </dsp:txBody>
      <dsp:txXfrm>
        <a:off x="2039112" y="376046"/>
        <a:ext cx="1408176" cy="864108"/>
      </dsp:txXfrm>
    </dsp:sp>
    <dsp:sp modelId="{556A7368-B08B-4774-A426-D11C45003C70}">
      <dsp:nvSpPr>
        <dsp:cNvPr id="0" name=""/>
        <dsp:cNvSpPr/>
      </dsp:nvSpPr>
      <dsp:spPr>
        <a:xfrm>
          <a:off x="2475966" y="1240155"/>
          <a:ext cx="1920240" cy="1920240"/>
        </a:xfrm>
        <a:prstGeom prst="ellipse">
          <a:avLst/>
        </a:prstGeom>
        <a:gradFill rotWithShape="0">
          <a:gsLst>
            <a:gs pos="0">
              <a:schemeClr val="accent1">
                <a:alpha val="50000"/>
                <a:hueOff val="0"/>
                <a:satOff val="0"/>
                <a:lumOff val="0"/>
                <a:alphaOff val="0"/>
                <a:tint val="96000"/>
                <a:lumMod val="100000"/>
              </a:schemeClr>
            </a:gs>
            <a:gs pos="78000">
              <a:schemeClr val="accent1">
                <a:alpha val="50000"/>
                <a:hueOff val="0"/>
                <a:satOff val="0"/>
                <a:lumOff val="0"/>
                <a:alphaOff val="0"/>
                <a:shade val="94000"/>
                <a:lumMod val="94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ES" sz="1000" kern="1200"/>
            <a:t>Porcentaje de materialización de riesgos institucionales</a:t>
          </a:r>
        </a:p>
        <a:p>
          <a:pPr lvl="0" algn="ctr" defTabSz="444500">
            <a:lnSpc>
              <a:spcPct val="90000"/>
            </a:lnSpc>
            <a:spcBef>
              <a:spcPct val="0"/>
            </a:spcBef>
            <a:spcAft>
              <a:spcPct val="35000"/>
            </a:spcAft>
          </a:pPr>
          <a:r>
            <a:rPr lang="es-ES" sz="1000" b="1" kern="1200"/>
            <a:t>7,25% </a:t>
          </a:r>
        </a:p>
      </dsp:txBody>
      <dsp:txXfrm>
        <a:off x="3063240" y="1736217"/>
        <a:ext cx="1152144" cy="1056132"/>
      </dsp:txXfrm>
    </dsp:sp>
    <dsp:sp modelId="{8E228258-AF7A-4733-A37E-6AF757F779B8}">
      <dsp:nvSpPr>
        <dsp:cNvPr id="0" name=""/>
        <dsp:cNvSpPr/>
      </dsp:nvSpPr>
      <dsp:spPr>
        <a:xfrm>
          <a:off x="1090193" y="1240155"/>
          <a:ext cx="1920240" cy="1920240"/>
        </a:xfrm>
        <a:prstGeom prst="ellipse">
          <a:avLst/>
        </a:prstGeom>
        <a:gradFill rotWithShape="0">
          <a:gsLst>
            <a:gs pos="0">
              <a:schemeClr val="accent1">
                <a:alpha val="50000"/>
                <a:hueOff val="0"/>
                <a:satOff val="0"/>
                <a:lumOff val="0"/>
                <a:alphaOff val="0"/>
                <a:tint val="96000"/>
                <a:lumMod val="100000"/>
              </a:schemeClr>
            </a:gs>
            <a:gs pos="78000">
              <a:schemeClr val="accent1">
                <a:alpha val="50000"/>
                <a:hueOff val="0"/>
                <a:satOff val="0"/>
                <a:lumOff val="0"/>
                <a:alphaOff val="0"/>
                <a:shade val="94000"/>
                <a:lumMod val="94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ES" sz="1000" kern="1200"/>
            <a:t>Porcentaje de avance en la implementación del planes de mejora por unidad funcional </a:t>
          </a:r>
        </a:p>
        <a:p>
          <a:pPr lvl="0" algn="ctr" defTabSz="444500">
            <a:lnSpc>
              <a:spcPct val="90000"/>
            </a:lnSpc>
            <a:spcBef>
              <a:spcPct val="0"/>
            </a:spcBef>
            <a:spcAft>
              <a:spcPct val="35000"/>
            </a:spcAft>
          </a:pPr>
          <a:r>
            <a:rPr lang="es-ES" sz="1000" b="1" kern="1200"/>
            <a:t>73,53%</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817</TotalTime>
  <Pages>1</Pages>
  <Words>3656</Words>
  <Characters>20110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Informe Anual PAO 2017</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PAO 2017</dc:title>
  <dc:subject>Fondo nacional de Financiamiento Forestal</dc:subject>
  <dc:creator>Antonette Williams Barnett</dc:creator>
  <cp:keywords/>
  <dc:description/>
  <cp:lastModifiedBy>Antonette Williams Barnett</cp:lastModifiedBy>
  <cp:revision>21</cp:revision>
  <dcterms:created xsi:type="dcterms:W3CDTF">2018-03-02T13:57:00Z</dcterms:created>
  <dcterms:modified xsi:type="dcterms:W3CDTF">2018-03-05T14:15:00Z</dcterms:modified>
</cp:coreProperties>
</file>