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731938" w:rsidRDefault="00FB25AB" w:rsidP="00C541B5">
      <w:pPr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noProof/>
          <w:sz w:val="20"/>
          <w:szCs w:val="20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731938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0"/>
          <w:szCs w:val="20"/>
        </w:rPr>
      </w:pPr>
      <w:r w:rsidRPr="00731938">
        <w:rPr>
          <w:rFonts w:ascii="Arial" w:hAnsi="Arial" w:cs="Arial"/>
          <w:b/>
          <w:noProof/>
          <w:color w:val="000000"/>
          <w:sz w:val="20"/>
          <w:szCs w:val="20"/>
        </w:rPr>
        <w:t>Fondo Nacional de Financiamiento  Forestal</w:t>
      </w:r>
    </w:p>
    <w:p w14:paraId="2F1BAC5A" w14:textId="77777777" w:rsidR="00DB378C" w:rsidRPr="00731938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0"/>
          <w:szCs w:val="20"/>
        </w:rPr>
      </w:pPr>
      <w:r w:rsidRPr="00731938">
        <w:rPr>
          <w:rFonts w:eastAsia="SimSun"/>
          <w:sz w:val="20"/>
          <w:szCs w:val="20"/>
        </w:rPr>
        <w:t>Junta Directiva</w:t>
      </w:r>
    </w:p>
    <w:p w14:paraId="53AFCBDD" w14:textId="77777777" w:rsidR="00DB378C" w:rsidRPr="00731938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</w:p>
    <w:p w14:paraId="1A2CCEF4" w14:textId="77777777" w:rsidR="00DB378C" w:rsidRPr="00731938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</w:p>
    <w:p w14:paraId="440C2F2C" w14:textId="58B27784" w:rsidR="00DB378C" w:rsidRPr="00731938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  <w:r w:rsidRPr="00731938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Pr="00731938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 xml:space="preserve">Ordinaria </w:t>
      </w:r>
      <w:r w:rsidRPr="00731938">
        <w:rPr>
          <w:rFonts w:eastAsia="SimSun"/>
          <w:b w:val="0"/>
          <w:bCs w:val="0"/>
          <w:noProof w:val="0"/>
          <w:color w:val="auto"/>
          <w:sz w:val="20"/>
          <w:szCs w:val="20"/>
        </w:rPr>
        <w:t>N°0</w:t>
      </w:r>
      <w:r w:rsidR="00106821" w:rsidRPr="00731938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>9</w:t>
      </w:r>
      <w:r w:rsidRPr="00731938">
        <w:rPr>
          <w:rFonts w:eastAsia="SimSun"/>
          <w:b w:val="0"/>
          <w:bCs w:val="0"/>
          <w:noProof w:val="0"/>
          <w:color w:val="auto"/>
          <w:sz w:val="20"/>
          <w:szCs w:val="20"/>
        </w:rPr>
        <w:t>-201</w:t>
      </w:r>
      <w:r w:rsidR="002027CF" w:rsidRPr="00731938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>9</w:t>
      </w:r>
      <w:r w:rsidRPr="00731938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 xml:space="preserve">, </w:t>
      </w:r>
      <w:r w:rsidR="00F1771E" w:rsidRPr="00731938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>miércoles 13 de noviembre</w:t>
      </w:r>
      <w:r w:rsidR="00106821" w:rsidRPr="00731938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de</w:t>
      </w:r>
      <w:r w:rsidR="002027CF" w:rsidRPr="00731938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2019</w:t>
      </w:r>
      <w:r w:rsidR="00A60AD8" w:rsidRPr="00731938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6F1158" w:rsidRPr="00731938">
        <w:rPr>
          <w:rFonts w:eastAsia="SimSun"/>
          <w:b w:val="0"/>
          <w:bCs w:val="0"/>
          <w:noProof w:val="0"/>
          <w:color w:val="auto"/>
          <w:sz w:val="20"/>
          <w:szCs w:val="20"/>
        </w:rPr>
        <w:t>en Fonafifo</w:t>
      </w:r>
    </w:p>
    <w:p w14:paraId="227A7E3B" w14:textId="21F8E456" w:rsidR="00DB378C" w:rsidRPr="00731938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14:paraId="15D468AB" w14:textId="77777777" w:rsidR="000B553A" w:rsidRPr="00731938" w:rsidRDefault="000B553A" w:rsidP="00DB378C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14:paraId="50496FB4" w14:textId="3D73C43B" w:rsidR="00DB378C" w:rsidRPr="00731938" w:rsidRDefault="00DB378C" w:rsidP="00DB378C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  <w:r w:rsidRPr="00731938">
        <w:rPr>
          <w:rFonts w:eastAsia="SimSun"/>
          <w:bCs w:val="0"/>
          <w:noProof w:val="0"/>
          <w:color w:val="auto"/>
          <w:sz w:val="20"/>
          <w:szCs w:val="20"/>
          <w:u w:val="single"/>
        </w:rPr>
        <w:t>AGENDA</w:t>
      </w:r>
    </w:p>
    <w:p w14:paraId="760419E0" w14:textId="4385F333" w:rsidR="00DB378C" w:rsidRPr="00731938" w:rsidRDefault="00DB378C" w:rsidP="00DB37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19B7E" w14:textId="77777777" w:rsidR="00DB378C" w:rsidRPr="00731938" w:rsidRDefault="00DB378C" w:rsidP="00DB37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96E0A7" w14:textId="77777777" w:rsidR="00DB378C" w:rsidRPr="00731938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>Lectura y aprobación de la agenda del día</w:t>
      </w:r>
    </w:p>
    <w:p w14:paraId="6C354321" w14:textId="77777777" w:rsidR="00DB378C" w:rsidRPr="00731938" w:rsidRDefault="00DB378C" w:rsidP="00FE13C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43B541" w14:textId="582DD67D" w:rsidR="001D54A0" w:rsidRPr="00731938" w:rsidRDefault="00DB378C" w:rsidP="001D54A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 xml:space="preserve">Lectura y aprobación Acta </w:t>
      </w:r>
      <w:r w:rsidR="00406023" w:rsidRPr="00731938">
        <w:rPr>
          <w:rFonts w:ascii="Arial" w:hAnsi="Arial" w:cs="Arial"/>
          <w:sz w:val="20"/>
          <w:szCs w:val="20"/>
        </w:rPr>
        <w:t>N°</w:t>
      </w:r>
      <w:r w:rsidR="00F54B3F" w:rsidRPr="00731938">
        <w:rPr>
          <w:rFonts w:ascii="Arial" w:hAnsi="Arial" w:cs="Arial"/>
          <w:sz w:val="20"/>
          <w:szCs w:val="20"/>
        </w:rPr>
        <w:t>0</w:t>
      </w:r>
      <w:r w:rsidR="00D5607A" w:rsidRPr="00731938">
        <w:rPr>
          <w:rFonts w:ascii="Arial" w:hAnsi="Arial" w:cs="Arial"/>
          <w:sz w:val="20"/>
          <w:szCs w:val="20"/>
        </w:rPr>
        <w:t>8</w:t>
      </w:r>
      <w:r w:rsidR="00406023" w:rsidRPr="00731938">
        <w:rPr>
          <w:rFonts w:ascii="Arial" w:hAnsi="Arial" w:cs="Arial"/>
          <w:sz w:val="20"/>
          <w:szCs w:val="20"/>
        </w:rPr>
        <w:t>-2019</w:t>
      </w:r>
    </w:p>
    <w:p w14:paraId="6660051D" w14:textId="77777777" w:rsidR="00F615B2" w:rsidRPr="00731938" w:rsidRDefault="00F615B2" w:rsidP="00F615B2">
      <w:pPr>
        <w:pStyle w:val="Prrafodelista"/>
        <w:rPr>
          <w:rFonts w:ascii="Arial" w:hAnsi="Arial" w:cs="Arial"/>
          <w:sz w:val="20"/>
          <w:szCs w:val="20"/>
        </w:rPr>
      </w:pPr>
    </w:p>
    <w:p w14:paraId="718A6C0C" w14:textId="4C378E00" w:rsidR="00F615B2" w:rsidRPr="00731938" w:rsidRDefault="00F615B2" w:rsidP="001D54A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>Ejecución Presupuestaria Fonafifo y Fideicomiso</w:t>
      </w:r>
    </w:p>
    <w:p w14:paraId="769DCD30" w14:textId="77777777" w:rsidR="00F615B2" w:rsidRPr="00731938" w:rsidRDefault="00F615B2" w:rsidP="00F615B2">
      <w:pPr>
        <w:pStyle w:val="Prrafodelista"/>
        <w:rPr>
          <w:rFonts w:ascii="Arial" w:hAnsi="Arial" w:cs="Arial"/>
          <w:sz w:val="20"/>
          <w:szCs w:val="20"/>
        </w:rPr>
      </w:pPr>
    </w:p>
    <w:p w14:paraId="7A24F37C" w14:textId="45FB87C4" w:rsidR="00F615B2" w:rsidRPr="00731938" w:rsidRDefault="00F615B2" w:rsidP="001D54A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>Estados Financieros Fonafifo</w:t>
      </w:r>
    </w:p>
    <w:p w14:paraId="70269A35" w14:textId="5A742C86" w:rsidR="00251116" w:rsidRPr="00731938" w:rsidRDefault="00251116" w:rsidP="002511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88BC4" w14:textId="07465E98" w:rsidR="001D54A0" w:rsidRPr="00731938" w:rsidRDefault="008B18E1" w:rsidP="001D54A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731938">
        <w:rPr>
          <w:rFonts w:ascii="Arial" w:eastAsia="Times New Roman" w:hAnsi="Arial" w:cs="Arial"/>
          <w:sz w:val="20"/>
          <w:szCs w:val="20"/>
          <w:lang w:eastAsia="es-CR"/>
        </w:rPr>
        <w:t>Presentación sobre</w:t>
      </w:r>
      <w:r w:rsidR="001D54A0" w:rsidRPr="00731938">
        <w:rPr>
          <w:rFonts w:ascii="Arial" w:eastAsia="Times New Roman" w:hAnsi="Arial" w:cs="Arial"/>
          <w:sz w:val="20"/>
          <w:szCs w:val="20"/>
          <w:lang w:eastAsia="es-CR"/>
        </w:rPr>
        <w:t xml:space="preserve"> </w:t>
      </w:r>
      <w:r w:rsidR="003F0916" w:rsidRPr="00731938">
        <w:rPr>
          <w:rFonts w:ascii="Arial" w:eastAsia="Times New Roman" w:hAnsi="Arial" w:cs="Arial"/>
          <w:sz w:val="20"/>
          <w:szCs w:val="20"/>
          <w:lang w:eastAsia="es-CR"/>
        </w:rPr>
        <w:t xml:space="preserve">Declaración </w:t>
      </w:r>
      <w:r w:rsidR="001D54A0" w:rsidRPr="00731938">
        <w:rPr>
          <w:rFonts w:ascii="Arial" w:eastAsia="Times New Roman" w:hAnsi="Arial" w:cs="Arial"/>
          <w:sz w:val="20"/>
          <w:szCs w:val="20"/>
          <w:lang w:eastAsia="es-CR"/>
        </w:rPr>
        <w:t>Jurada NICSP 20</w:t>
      </w:r>
    </w:p>
    <w:p w14:paraId="07B573DD" w14:textId="77777777" w:rsidR="0064315F" w:rsidRPr="00731938" w:rsidRDefault="0064315F" w:rsidP="0064315F">
      <w:pPr>
        <w:pStyle w:val="Prrafodelista"/>
        <w:rPr>
          <w:rFonts w:ascii="Arial" w:eastAsia="Times New Roman" w:hAnsi="Arial" w:cs="Arial"/>
          <w:sz w:val="20"/>
          <w:szCs w:val="20"/>
          <w:lang w:eastAsia="es-CR"/>
        </w:rPr>
      </w:pPr>
    </w:p>
    <w:p w14:paraId="31A7A6C4" w14:textId="3168D4E6" w:rsidR="0064315F" w:rsidRPr="00731938" w:rsidRDefault="0064315F" w:rsidP="0064315F">
      <w:pPr>
        <w:pStyle w:val="Prrafodelista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731938">
        <w:rPr>
          <w:rFonts w:ascii="Arial" w:eastAsia="Times New Roman" w:hAnsi="Arial" w:cs="Arial"/>
          <w:sz w:val="20"/>
          <w:szCs w:val="20"/>
          <w:lang w:eastAsia="es-CR"/>
        </w:rPr>
        <w:t>Histórico de Procedimientos Administrativos atendidos por la Dirección de Asuntos Jurídicos</w:t>
      </w:r>
    </w:p>
    <w:p w14:paraId="3CF8FAF3" w14:textId="4BEBC0B7" w:rsidR="00E26F1B" w:rsidRPr="00731938" w:rsidRDefault="00E26F1B" w:rsidP="00EE6C8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es-CR"/>
        </w:rPr>
      </w:pPr>
    </w:p>
    <w:p w14:paraId="12F6D0A2" w14:textId="55A260B5" w:rsidR="00B24139" w:rsidRPr="00731938" w:rsidRDefault="00DB378C" w:rsidP="007D6C2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>Lectura de correspondencia</w:t>
      </w:r>
    </w:p>
    <w:p w14:paraId="617F17DE" w14:textId="0D84AE88" w:rsidR="00FB227A" w:rsidRPr="00731938" w:rsidRDefault="00FB227A" w:rsidP="001449CD">
      <w:pPr>
        <w:pStyle w:val="Default"/>
        <w:jc w:val="both"/>
        <w:rPr>
          <w:sz w:val="20"/>
          <w:szCs w:val="20"/>
        </w:rPr>
      </w:pPr>
    </w:p>
    <w:p w14:paraId="45771B0F" w14:textId="236C02B3" w:rsidR="00577261" w:rsidRPr="00731938" w:rsidRDefault="00DF65A0" w:rsidP="00DF65A0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 xml:space="preserve">Correspondencia </w:t>
      </w:r>
      <w:r w:rsidR="002A2BB6" w:rsidRPr="00731938">
        <w:rPr>
          <w:rFonts w:ascii="Arial" w:hAnsi="Arial" w:cs="Arial"/>
          <w:sz w:val="20"/>
          <w:szCs w:val="20"/>
        </w:rPr>
        <w:t>envia</w:t>
      </w:r>
      <w:r w:rsidRPr="00731938">
        <w:rPr>
          <w:rFonts w:ascii="Arial" w:hAnsi="Arial" w:cs="Arial"/>
          <w:sz w:val="20"/>
          <w:szCs w:val="20"/>
        </w:rPr>
        <w:t>da:</w:t>
      </w:r>
    </w:p>
    <w:p w14:paraId="01B04CF2" w14:textId="0BB9367F" w:rsidR="002A2BB6" w:rsidRPr="00731938" w:rsidRDefault="002A2BB6" w:rsidP="002A2B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E184C" w14:textId="3748E7A5" w:rsidR="00251116" w:rsidRPr="00731938" w:rsidRDefault="00B405CE" w:rsidP="00834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eastAsia="Times New Roman" w:hAnsi="Arial" w:cs="Arial"/>
          <w:sz w:val="20"/>
          <w:szCs w:val="20"/>
          <w:lang w:eastAsia="es-CR"/>
        </w:rPr>
        <w:t>A</w:t>
      </w:r>
      <w:r w:rsidR="00834008" w:rsidRPr="00731938">
        <w:rPr>
          <w:rFonts w:ascii="Arial" w:eastAsia="Times New Roman" w:hAnsi="Arial" w:cs="Arial"/>
          <w:sz w:val="20"/>
          <w:szCs w:val="20"/>
          <w:lang w:eastAsia="es-CR"/>
        </w:rPr>
        <w:t xml:space="preserve">nálisis </w:t>
      </w:r>
      <w:r w:rsidRPr="00731938">
        <w:rPr>
          <w:rFonts w:ascii="Arial" w:eastAsia="Times New Roman" w:hAnsi="Arial" w:cs="Arial"/>
          <w:sz w:val="20"/>
          <w:szCs w:val="20"/>
          <w:lang w:eastAsia="es-CR"/>
        </w:rPr>
        <w:t xml:space="preserve">de los efectos </w:t>
      </w:r>
      <w:r w:rsidR="00834008" w:rsidRPr="00731938">
        <w:rPr>
          <w:rFonts w:ascii="Arial" w:eastAsia="Times New Roman" w:hAnsi="Arial" w:cs="Arial"/>
          <w:sz w:val="20"/>
          <w:szCs w:val="20"/>
          <w:lang w:eastAsia="es-CR"/>
        </w:rPr>
        <w:t>de la</w:t>
      </w:r>
      <w:r w:rsidR="00251116" w:rsidRPr="00731938">
        <w:rPr>
          <w:rFonts w:ascii="Arial" w:eastAsia="Times New Roman" w:hAnsi="Arial" w:cs="Arial"/>
          <w:sz w:val="20"/>
          <w:szCs w:val="20"/>
          <w:lang w:eastAsia="es-CR"/>
        </w:rPr>
        <w:t xml:space="preserve"> Ley N°9524 “Fortalecimiento del Control Presupuestario de los Órganos Desconcentrados del Gobierno Central”</w:t>
      </w:r>
    </w:p>
    <w:p w14:paraId="5B6C6899" w14:textId="77777777" w:rsidR="002A2BB6" w:rsidRPr="00731938" w:rsidRDefault="002A2BB6" w:rsidP="002A2B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2AA6B4" w14:textId="77777777" w:rsidR="002A2BB6" w:rsidRPr="00731938" w:rsidRDefault="002A2BB6" w:rsidP="002A2BB6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>Correspondencia recibida:</w:t>
      </w:r>
    </w:p>
    <w:p w14:paraId="0926C1FF" w14:textId="77777777" w:rsidR="006F7F29" w:rsidRPr="00731938" w:rsidRDefault="006F7F29" w:rsidP="006F7F2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57CAD2" w14:textId="10E1666C" w:rsidR="006F7F29" w:rsidRPr="00731938" w:rsidRDefault="006F7F29" w:rsidP="006F7F29">
      <w:pPr>
        <w:pStyle w:val="Default"/>
        <w:jc w:val="both"/>
        <w:rPr>
          <w:i/>
          <w:iCs/>
          <w:sz w:val="20"/>
          <w:szCs w:val="20"/>
        </w:rPr>
      </w:pPr>
      <w:r w:rsidRPr="00731938">
        <w:rPr>
          <w:rFonts w:eastAsia="Times New Roman"/>
          <w:color w:val="auto"/>
          <w:sz w:val="20"/>
          <w:szCs w:val="20"/>
          <w:lang w:eastAsia="es-CR"/>
        </w:rPr>
        <w:t xml:space="preserve">Oficio DCN-UCC-0987-2019 de Contabilidad Nacional relacionado con la respuesta a la política </w:t>
      </w:r>
      <w:r w:rsidR="00663111" w:rsidRPr="00731938">
        <w:rPr>
          <w:rFonts w:eastAsia="Times New Roman"/>
          <w:color w:val="auto"/>
          <w:sz w:val="20"/>
          <w:szCs w:val="20"/>
          <w:lang w:eastAsia="es-CR"/>
        </w:rPr>
        <w:t xml:space="preserve">presentada </w:t>
      </w:r>
      <w:r w:rsidRPr="00731938">
        <w:rPr>
          <w:rFonts w:eastAsia="Times New Roman"/>
          <w:color w:val="auto"/>
          <w:sz w:val="20"/>
          <w:szCs w:val="20"/>
          <w:lang w:eastAsia="es-CR"/>
        </w:rPr>
        <w:t>para la contabilización de los Derechos de unidades costarricenses de compensación y para el registro de los desembolsos vinculados con el Programa de Pago por Servicios</w:t>
      </w:r>
      <w:r w:rsidRPr="00731938">
        <w:rPr>
          <w:i/>
          <w:iCs/>
          <w:sz w:val="20"/>
          <w:szCs w:val="20"/>
        </w:rPr>
        <w:t>.</w:t>
      </w:r>
    </w:p>
    <w:p w14:paraId="3222E83F" w14:textId="00347668" w:rsidR="00113F32" w:rsidRPr="00731938" w:rsidRDefault="00113F32" w:rsidP="006F7F29">
      <w:pPr>
        <w:pStyle w:val="Default"/>
        <w:jc w:val="both"/>
        <w:rPr>
          <w:i/>
          <w:iCs/>
          <w:sz w:val="20"/>
          <w:szCs w:val="20"/>
        </w:rPr>
      </w:pPr>
    </w:p>
    <w:p w14:paraId="5A67E574" w14:textId="5EDA7179" w:rsidR="00F65879" w:rsidRPr="00731938" w:rsidRDefault="00F65879" w:rsidP="00F658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eastAsia="Times New Roman" w:hAnsi="Arial" w:cs="Arial"/>
          <w:sz w:val="20"/>
          <w:szCs w:val="20"/>
          <w:lang w:eastAsia="es-CR"/>
        </w:rPr>
        <w:t>Oficio DFOE-SD-1913</w:t>
      </w:r>
      <w:r w:rsidRPr="00731938">
        <w:rPr>
          <w:rFonts w:ascii="Arial" w:hAnsi="Arial" w:cs="Arial"/>
          <w:i/>
          <w:iCs/>
          <w:sz w:val="20"/>
          <w:szCs w:val="20"/>
        </w:rPr>
        <w:t xml:space="preserve"> </w:t>
      </w:r>
      <w:r w:rsidRPr="00731938">
        <w:rPr>
          <w:rFonts w:ascii="Arial" w:eastAsia="Times New Roman" w:hAnsi="Arial" w:cs="Arial"/>
          <w:sz w:val="20"/>
          <w:szCs w:val="20"/>
          <w:lang w:eastAsia="es-CR"/>
        </w:rPr>
        <w:t>de la Contraloría relacionada con la calificación obtenida por Fonafifo en el</w:t>
      </w:r>
      <w:r w:rsidRPr="00731938">
        <w:rPr>
          <w:rFonts w:ascii="Arial" w:hAnsi="Arial" w:cs="Arial"/>
          <w:sz w:val="20"/>
          <w:szCs w:val="20"/>
        </w:rPr>
        <w:t xml:space="preserve"> “Índice Institucional de Cumplimiento de Disposiciones y Recomendaciones (IDR)”.</w:t>
      </w:r>
    </w:p>
    <w:p w14:paraId="4B7EC16A" w14:textId="0DD5B405" w:rsidR="004C2FE5" w:rsidRPr="00731938" w:rsidRDefault="004C2FE5" w:rsidP="00844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1B5E7C" w14:textId="5E2FD15D" w:rsidR="004C2FE5" w:rsidRPr="00731938" w:rsidRDefault="004C2FE5" w:rsidP="007332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731938">
        <w:rPr>
          <w:rFonts w:ascii="Arial" w:eastAsia="Times New Roman" w:hAnsi="Arial" w:cs="Arial"/>
          <w:sz w:val="20"/>
          <w:szCs w:val="20"/>
          <w:lang w:eastAsia="es-CR"/>
        </w:rPr>
        <w:t xml:space="preserve">Oficio DSA-OF-0062-2019 relacionado con la respuesta brindada por el señor </w:t>
      </w:r>
      <w:proofErr w:type="spellStart"/>
      <w:r w:rsidRPr="00731938">
        <w:rPr>
          <w:rFonts w:ascii="Arial" w:eastAsia="Times New Roman" w:hAnsi="Arial" w:cs="Arial"/>
          <w:sz w:val="20"/>
          <w:szCs w:val="20"/>
          <w:lang w:eastAsia="es-CR"/>
        </w:rPr>
        <w:t>Olman</w:t>
      </w:r>
      <w:proofErr w:type="spellEnd"/>
      <w:r w:rsidRPr="00731938">
        <w:rPr>
          <w:rFonts w:ascii="Arial" w:eastAsia="Times New Roman" w:hAnsi="Arial" w:cs="Arial"/>
          <w:sz w:val="20"/>
          <w:szCs w:val="20"/>
          <w:lang w:eastAsia="es-CR"/>
        </w:rPr>
        <w:t xml:space="preserve"> Cordero Prendas, administrador del Centro Agrícola Cantonal de </w:t>
      </w:r>
      <w:proofErr w:type="spellStart"/>
      <w:r w:rsidRPr="00731938">
        <w:rPr>
          <w:rFonts w:ascii="Arial" w:eastAsia="Times New Roman" w:hAnsi="Arial" w:cs="Arial"/>
          <w:sz w:val="20"/>
          <w:szCs w:val="20"/>
          <w:lang w:eastAsia="es-CR"/>
        </w:rPr>
        <w:t>Hojancha</w:t>
      </w:r>
      <w:proofErr w:type="spellEnd"/>
      <w:r w:rsidR="00733215" w:rsidRPr="00731938">
        <w:rPr>
          <w:rFonts w:ascii="Arial" w:eastAsia="Times New Roman" w:hAnsi="Arial" w:cs="Arial"/>
          <w:sz w:val="20"/>
          <w:szCs w:val="20"/>
          <w:lang w:eastAsia="es-CR"/>
        </w:rPr>
        <w:t xml:space="preserve"> sobre </w:t>
      </w:r>
      <w:r w:rsidRPr="00731938">
        <w:rPr>
          <w:rFonts w:ascii="Arial" w:eastAsia="Times New Roman" w:hAnsi="Arial" w:cs="Arial"/>
          <w:sz w:val="20"/>
          <w:szCs w:val="20"/>
          <w:lang w:eastAsia="es-CR"/>
        </w:rPr>
        <w:t xml:space="preserve">situación de 81 contratos de PSA vigentes que fueron gestionados por </w:t>
      </w:r>
      <w:r w:rsidR="00733215" w:rsidRPr="00731938">
        <w:rPr>
          <w:rFonts w:ascii="Arial" w:eastAsia="Times New Roman" w:hAnsi="Arial" w:cs="Arial"/>
          <w:sz w:val="20"/>
          <w:szCs w:val="20"/>
          <w:lang w:eastAsia="es-CR"/>
        </w:rPr>
        <w:t>dicho centro.</w:t>
      </w:r>
    </w:p>
    <w:p w14:paraId="6B7FCF46" w14:textId="213F9F40" w:rsidR="005D5126" w:rsidRPr="00731938" w:rsidRDefault="005D5126" w:rsidP="007332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5CBDE4CA" w14:textId="37679266" w:rsidR="005D5126" w:rsidRPr="00731938" w:rsidRDefault="005D5126" w:rsidP="005D5126">
      <w:pPr>
        <w:pStyle w:val="Default"/>
        <w:jc w:val="both"/>
        <w:rPr>
          <w:rFonts w:eastAsia="Times New Roman"/>
          <w:color w:val="auto"/>
          <w:sz w:val="20"/>
          <w:szCs w:val="20"/>
          <w:lang w:eastAsia="es-CR"/>
        </w:rPr>
      </w:pPr>
      <w:r w:rsidRPr="00731938">
        <w:rPr>
          <w:rFonts w:eastAsia="Times New Roman"/>
          <w:color w:val="auto"/>
          <w:sz w:val="20"/>
          <w:szCs w:val="20"/>
          <w:lang w:eastAsia="es-CR"/>
        </w:rPr>
        <w:t xml:space="preserve">Oficio DSA-OF-0069-2019 relacionado con la solicitud del señor Juan Fernando Letona de la compañía Hevea CR, para que se incluya la especie Hevea </w:t>
      </w:r>
      <w:proofErr w:type="spellStart"/>
      <w:r w:rsidRPr="00731938">
        <w:rPr>
          <w:rFonts w:eastAsia="Times New Roman"/>
          <w:color w:val="auto"/>
          <w:sz w:val="20"/>
          <w:szCs w:val="20"/>
          <w:lang w:eastAsia="es-CR"/>
        </w:rPr>
        <w:t>brasiliensis</w:t>
      </w:r>
      <w:proofErr w:type="spellEnd"/>
      <w:r w:rsidRPr="00731938">
        <w:rPr>
          <w:rFonts w:eastAsia="Times New Roman"/>
          <w:color w:val="auto"/>
          <w:sz w:val="20"/>
          <w:szCs w:val="20"/>
          <w:lang w:eastAsia="es-CR"/>
        </w:rPr>
        <w:t xml:space="preserve"> (hule) en el listado de especies que el Fonafifo considera dentro de la actividad de reforestación para recibir el reconocimiento de Pago por Servicios Ambientales.</w:t>
      </w:r>
    </w:p>
    <w:p w14:paraId="05B5BB95" w14:textId="0D01934A" w:rsidR="006F7F29" w:rsidRPr="00731938" w:rsidRDefault="006F7F29" w:rsidP="006F7F29">
      <w:pPr>
        <w:pStyle w:val="Default"/>
        <w:jc w:val="both"/>
        <w:rPr>
          <w:sz w:val="20"/>
          <w:szCs w:val="20"/>
        </w:rPr>
      </w:pPr>
    </w:p>
    <w:p w14:paraId="37F1A583" w14:textId="712AF226" w:rsidR="00D80820" w:rsidRPr="00731938" w:rsidRDefault="00DB378C" w:rsidP="00D8082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>Puntos varios</w:t>
      </w:r>
      <w:r w:rsidR="00A23ED2" w:rsidRPr="00731938">
        <w:rPr>
          <w:rFonts w:ascii="Arial" w:hAnsi="Arial" w:cs="Arial"/>
          <w:sz w:val="20"/>
          <w:szCs w:val="20"/>
        </w:rPr>
        <w:t>:</w:t>
      </w:r>
    </w:p>
    <w:p w14:paraId="7FD2D7CD" w14:textId="6F1D8EF1" w:rsidR="00552229" w:rsidRPr="00731938" w:rsidRDefault="00552229" w:rsidP="005328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3796A" w14:textId="3155A4AB" w:rsidR="003D72F1" w:rsidRPr="00731938" w:rsidRDefault="003D72F1" w:rsidP="0067789C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>Expedientes llamados a audiencia</w:t>
      </w:r>
    </w:p>
    <w:p w14:paraId="3D9AF5D5" w14:textId="77777777" w:rsidR="003D72F1" w:rsidRPr="00731938" w:rsidRDefault="003D72F1" w:rsidP="0067789C">
      <w:pPr>
        <w:pStyle w:val="Prrafodelist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B8E63CB" w14:textId="717648AA" w:rsidR="00DB12F1" w:rsidRDefault="00DB12F1" w:rsidP="00DB12F1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Informe</w:t>
      </w:r>
      <w:r w:rsidRPr="00DB12F1">
        <w:rPr>
          <w:rFonts w:ascii="Arial" w:hAnsi="Arial" w:cs="Arial"/>
          <w:sz w:val="20"/>
          <w:szCs w:val="20"/>
        </w:rPr>
        <w:t xml:space="preserve"> sobre la situación en cuanto al desarrollo de la iniciativa PSA sistemas mixtos</w:t>
      </w:r>
    </w:p>
    <w:p w14:paraId="4DE63A99" w14:textId="77777777" w:rsidR="00DB12F1" w:rsidRPr="00DB12F1" w:rsidRDefault="00DB12F1" w:rsidP="00DB12F1">
      <w:pPr>
        <w:pStyle w:val="Prrafodelista"/>
        <w:rPr>
          <w:rFonts w:ascii="Arial" w:hAnsi="Arial" w:cs="Arial"/>
          <w:sz w:val="20"/>
          <w:szCs w:val="20"/>
        </w:rPr>
      </w:pPr>
    </w:p>
    <w:p w14:paraId="61CE9991" w14:textId="77777777" w:rsidR="00DB12F1" w:rsidRPr="00DB12F1" w:rsidRDefault="00DB12F1" w:rsidP="00DB12F1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4F7AD18" w14:textId="1A70F9B1" w:rsidR="00552229" w:rsidRPr="00731938" w:rsidRDefault="00F00F58" w:rsidP="0067789C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 xml:space="preserve">Caso PSA en sistemas forestales en </w:t>
      </w:r>
      <w:proofErr w:type="spellStart"/>
      <w:r w:rsidRPr="00731938">
        <w:rPr>
          <w:rFonts w:ascii="Arial" w:hAnsi="Arial" w:cs="Arial"/>
          <w:sz w:val="20"/>
          <w:szCs w:val="20"/>
        </w:rPr>
        <w:t>Jicaral</w:t>
      </w:r>
      <w:proofErr w:type="spellEnd"/>
      <w:r w:rsidRPr="00731938">
        <w:rPr>
          <w:rFonts w:ascii="Arial" w:hAnsi="Arial" w:cs="Arial"/>
          <w:sz w:val="20"/>
          <w:szCs w:val="20"/>
        </w:rPr>
        <w:t xml:space="preserve"> y su vinculación con la producción apícola en esa zona.</w:t>
      </w:r>
    </w:p>
    <w:p w14:paraId="0FA26BC2" w14:textId="77777777" w:rsidR="00092A55" w:rsidRPr="00731938" w:rsidRDefault="00092A55" w:rsidP="0067789C">
      <w:pPr>
        <w:pStyle w:val="Prrafodelist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EAE4BE5" w14:textId="0594EB6C" w:rsidR="00092A55" w:rsidRDefault="00092A55" w:rsidP="0067789C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731938">
        <w:rPr>
          <w:rFonts w:ascii="Arial" w:hAnsi="Arial" w:cs="Arial"/>
          <w:sz w:val="20"/>
          <w:szCs w:val="20"/>
        </w:rPr>
        <w:t>Taller de "</w:t>
      </w:r>
      <w:proofErr w:type="spellStart"/>
      <w:r w:rsidRPr="00731938">
        <w:rPr>
          <w:rFonts w:ascii="Arial" w:hAnsi="Arial" w:cs="Arial"/>
          <w:sz w:val="20"/>
          <w:szCs w:val="20"/>
        </w:rPr>
        <w:t>Ceratocystes</w:t>
      </w:r>
      <w:proofErr w:type="spellEnd"/>
      <w:r w:rsidRPr="00731938">
        <w:rPr>
          <w:rFonts w:ascii="Arial" w:hAnsi="Arial" w:cs="Arial"/>
          <w:sz w:val="20"/>
          <w:szCs w:val="20"/>
        </w:rPr>
        <w:t>" en Melina</w:t>
      </w:r>
    </w:p>
    <w:p w14:paraId="64676E44" w14:textId="77777777" w:rsidR="00DB12F1" w:rsidRPr="00DB12F1" w:rsidRDefault="00DB12F1" w:rsidP="00DB12F1">
      <w:pPr>
        <w:pStyle w:val="Prrafodelista"/>
        <w:rPr>
          <w:rFonts w:ascii="Arial" w:hAnsi="Arial" w:cs="Arial"/>
          <w:sz w:val="20"/>
          <w:szCs w:val="20"/>
        </w:rPr>
      </w:pPr>
    </w:p>
    <w:p w14:paraId="3D1832F3" w14:textId="4FA9678C" w:rsidR="00DB12F1" w:rsidRPr="00731938" w:rsidRDefault="00DB12F1" w:rsidP="0067789C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sesión de Junta Directiva de diciembre</w:t>
      </w:r>
      <w:bookmarkStart w:id="0" w:name="_GoBack"/>
      <w:bookmarkEnd w:id="0"/>
    </w:p>
    <w:p w14:paraId="32D7375F" w14:textId="0AC1DA2D" w:rsidR="0005001D" w:rsidRPr="00731938" w:rsidRDefault="0005001D" w:rsidP="00805E10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728C28B" w14:textId="77777777" w:rsidR="00503D4A" w:rsidRPr="00731938" w:rsidRDefault="00503D4A" w:rsidP="0067789C">
      <w:pPr>
        <w:pStyle w:val="Prrafodelista"/>
        <w:ind w:firstLine="709"/>
        <w:rPr>
          <w:rFonts w:ascii="Arial" w:hAnsi="Arial" w:cs="Arial"/>
          <w:sz w:val="20"/>
          <w:szCs w:val="20"/>
        </w:rPr>
      </w:pPr>
    </w:p>
    <w:p w14:paraId="718D4222" w14:textId="73F741BD" w:rsidR="009B262F" w:rsidRPr="00731938" w:rsidRDefault="009B262F" w:rsidP="005C3D84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</w:p>
    <w:sectPr w:rsidR="009B262F" w:rsidRPr="00731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0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 w:tentative="1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6"/>
  </w:num>
  <w:num w:numId="10">
    <w:abstractNumId w:val="9"/>
  </w:num>
  <w:num w:numId="11">
    <w:abstractNumId w:val="18"/>
  </w:num>
  <w:num w:numId="12">
    <w:abstractNumId w:val="10"/>
  </w:num>
  <w:num w:numId="13">
    <w:abstractNumId w:val="5"/>
  </w:num>
  <w:num w:numId="14">
    <w:abstractNumId w:val="15"/>
  </w:num>
  <w:num w:numId="15">
    <w:abstractNumId w:val="23"/>
  </w:num>
  <w:num w:numId="16">
    <w:abstractNumId w:val="13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10131"/>
    <w:rsid w:val="00013B71"/>
    <w:rsid w:val="00021C43"/>
    <w:rsid w:val="000254BA"/>
    <w:rsid w:val="00033CD3"/>
    <w:rsid w:val="00035884"/>
    <w:rsid w:val="0005001D"/>
    <w:rsid w:val="000574F0"/>
    <w:rsid w:val="00061C88"/>
    <w:rsid w:val="000670FB"/>
    <w:rsid w:val="000902CF"/>
    <w:rsid w:val="00092A55"/>
    <w:rsid w:val="000B107B"/>
    <w:rsid w:val="000B553A"/>
    <w:rsid w:val="000C7E78"/>
    <w:rsid w:val="000D038B"/>
    <w:rsid w:val="000E0BE9"/>
    <w:rsid w:val="000E3B9D"/>
    <w:rsid w:val="000F06FB"/>
    <w:rsid w:val="000F2F5A"/>
    <w:rsid w:val="0010190C"/>
    <w:rsid w:val="00106821"/>
    <w:rsid w:val="00113F32"/>
    <w:rsid w:val="0011464C"/>
    <w:rsid w:val="00123987"/>
    <w:rsid w:val="00127CB0"/>
    <w:rsid w:val="00130096"/>
    <w:rsid w:val="0013318A"/>
    <w:rsid w:val="001449CD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7AB6"/>
    <w:rsid w:val="00250CAC"/>
    <w:rsid w:val="0025111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523C"/>
    <w:rsid w:val="002F34AC"/>
    <w:rsid w:val="00310EAC"/>
    <w:rsid w:val="003145DC"/>
    <w:rsid w:val="00315A60"/>
    <w:rsid w:val="00324E00"/>
    <w:rsid w:val="003333CD"/>
    <w:rsid w:val="00336747"/>
    <w:rsid w:val="003426D8"/>
    <w:rsid w:val="00344AC9"/>
    <w:rsid w:val="00366A33"/>
    <w:rsid w:val="003701E3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72F1"/>
    <w:rsid w:val="003F0916"/>
    <w:rsid w:val="003F5812"/>
    <w:rsid w:val="003F744B"/>
    <w:rsid w:val="00406023"/>
    <w:rsid w:val="00411158"/>
    <w:rsid w:val="00416613"/>
    <w:rsid w:val="0042200D"/>
    <w:rsid w:val="00430559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D4A"/>
    <w:rsid w:val="00506A45"/>
    <w:rsid w:val="00507B62"/>
    <w:rsid w:val="00512238"/>
    <w:rsid w:val="00532822"/>
    <w:rsid w:val="0053439F"/>
    <w:rsid w:val="00536E67"/>
    <w:rsid w:val="005375F1"/>
    <w:rsid w:val="00544644"/>
    <w:rsid w:val="00552229"/>
    <w:rsid w:val="005704C5"/>
    <w:rsid w:val="0057323E"/>
    <w:rsid w:val="00577261"/>
    <w:rsid w:val="00577759"/>
    <w:rsid w:val="0058653B"/>
    <w:rsid w:val="0059051E"/>
    <w:rsid w:val="00595DCF"/>
    <w:rsid w:val="005A1F6F"/>
    <w:rsid w:val="005A555D"/>
    <w:rsid w:val="005A6E0A"/>
    <w:rsid w:val="005B4DD1"/>
    <w:rsid w:val="005C3D84"/>
    <w:rsid w:val="005C4EAE"/>
    <w:rsid w:val="005C60E7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10A1A"/>
    <w:rsid w:val="006131CC"/>
    <w:rsid w:val="00613D05"/>
    <w:rsid w:val="00615F8A"/>
    <w:rsid w:val="00625F2F"/>
    <w:rsid w:val="00636BEC"/>
    <w:rsid w:val="0064315F"/>
    <w:rsid w:val="00643568"/>
    <w:rsid w:val="00644B15"/>
    <w:rsid w:val="00654046"/>
    <w:rsid w:val="00654E3A"/>
    <w:rsid w:val="006576BE"/>
    <w:rsid w:val="00663111"/>
    <w:rsid w:val="006654AF"/>
    <w:rsid w:val="00671B41"/>
    <w:rsid w:val="0067680E"/>
    <w:rsid w:val="0067789C"/>
    <w:rsid w:val="00680585"/>
    <w:rsid w:val="006809B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F6A"/>
    <w:rsid w:val="0071381D"/>
    <w:rsid w:val="00716905"/>
    <w:rsid w:val="007266B1"/>
    <w:rsid w:val="00731664"/>
    <w:rsid w:val="00731938"/>
    <w:rsid w:val="00733215"/>
    <w:rsid w:val="0073661D"/>
    <w:rsid w:val="00736E2E"/>
    <w:rsid w:val="00740805"/>
    <w:rsid w:val="00745C3D"/>
    <w:rsid w:val="0075328B"/>
    <w:rsid w:val="00761454"/>
    <w:rsid w:val="00767C24"/>
    <w:rsid w:val="00770987"/>
    <w:rsid w:val="00787029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44D5"/>
    <w:rsid w:val="00851461"/>
    <w:rsid w:val="0085152B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917803"/>
    <w:rsid w:val="009267D9"/>
    <w:rsid w:val="009326D5"/>
    <w:rsid w:val="00935E09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BCE"/>
    <w:rsid w:val="009C44A9"/>
    <w:rsid w:val="009D6128"/>
    <w:rsid w:val="009E1045"/>
    <w:rsid w:val="00A02FA8"/>
    <w:rsid w:val="00A1454F"/>
    <w:rsid w:val="00A23ED2"/>
    <w:rsid w:val="00A35D53"/>
    <w:rsid w:val="00A46480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A27B8"/>
    <w:rsid w:val="00BB7E51"/>
    <w:rsid w:val="00BB7E9B"/>
    <w:rsid w:val="00BC6224"/>
    <w:rsid w:val="00BD2609"/>
    <w:rsid w:val="00BF52F0"/>
    <w:rsid w:val="00C138AD"/>
    <w:rsid w:val="00C17868"/>
    <w:rsid w:val="00C41ECE"/>
    <w:rsid w:val="00C53001"/>
    <w:rsid w:val="00C541B5"/>
    <w:rsid w:val="00C567AB"/>
    <w:rsid w:val="00C57522"/>
    <w:rsid w:val="00C73365"/>
    <w:rsid w:val="00C81AC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3063C"/>
    <w:rsid w:val="00D31965"/>
    <w:rsid w:val="00D429C4"/>
    <w:rsid w:val="00D44E0A"/>
    <w:rsid w:val="00D4731F"/>
    <w:rsid w:val="00D52FB7"/>
    <w:rsid w:val="00D5607A"/>
    <w:rsid w:val="00D5767C"/>
    <w:rsid w:val="00D71E88"/>
    <w:rsid w:val="00D72376"/>
    <w:rsid w:val="00D80820"/>
    <w:rsid w:val="00D86972"/>
    <w:rsid w:val="00D94DA2"/>
    <w:rsid w:val="00DA4E21"/>
    <w:rsid w:val="00DB0D23"/>
    <w:rsid w:val="00DB12F1"/>
    <w:rsid w:val="00DB378C"/>
    <w:rsid w:val="00DB3D1C"/>
    <w:rsid w:val="00DB4DC6"/>
    <w:rsid w:val="00DB762D"/>
    <w:rsid w:val="00DD4D3A"/>
    <w:rsid w:val="00DD7DF6"/>
    <w:rsid w:val="00DE3861"/>
    <w:rsid w:val="00DF65A0"/>
    <w:rsid w:val="00E00318"/>
    <w:rsid w:val="00E063D3"/>
    <w:rsid w:val="00E0653F"/>
    <w:rsid w:val="00E071B1"/>
    <w:rsid w:val="00E17630"/>
    <w:rsid w:val="00E23F56"/>
    <w:rsid w:val="00E26F1B"/>
    <w:rsid w:val="00E579E7"/>
    <w:rsid w:val="00E85AAD"/>
    <w:rsid w:val="00E85B51"/>
    <w:rsid w:val="00E90E1B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F00F58"/>
    <w:rsid w:val="00F118EF"/>
    <w:rsid w:val="00F1771E"/>
    <w:rsid w:val="00F177B4"/>
    <w:rsid w:val="00F203C2"/>
    <w:rsid w:val="00F360C2"/>
    <w:rsid w:val="00F45761"/>
    <w:rsid w:val="00F53557"/>
    <w:rsid w:val="00F53A3F"/>
    <w:rsid w:val="00F54B3F"/>
    <w:rsid w:val="00F615B2"/>
    <w:rsid w:val="00F65879"/>
    <w:rsid w:val="00F66883"/>
    <w:rsid w:val="00F83204"/>
    <w:rsid w:val="00FA36E2"/>
    <w:rsid w:val="00FA407D"/>
    <w:rsid w:val="00FB227A"/>
    <w:rsid w:val="00FB25AB"/>
    <w:rsid w:val="00FB605D"/>
    <w:rsid w:val="00FC04FE"/>
    <w:rsid w:val="00FC7B26"/>
    <w:rsid w:val="00FD78B0"/>
    <w:rsid w:val="00FE0CCD"/>
    <w:rsid w:val="00FE13CD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365</cp:revision>
  <cp:lastPrinted>2019-11-11T15:28:00Z</cp:lastPrinted>
  <dcterms:created xsi:type="dcterms:W3CDTF">2018-09-11T20:44:00Z</dcterms:created>
  <dcterms:modified xsi:type="dcterms:W3CDTF">2019-11-22T16:02:00Z</dcterms:modified>
</cp:coreProperties>
</file>