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89541" w14:textId="77777777" w:rsidR="0064010E" w:rsidRDefault="00B04828">
      <w:bookmarkStart w:id="0" w:name="_GoBack"/>
      <w:bookmarkEnd w:id="0"/>
      <w:r>
        <w:rPr>
          <w:rFonts w:cstheme="minorHAnsi"/>
          <w:b/>
          <w:noProof/>
          <w:lang w:val="es-MX" w:eastAsia="es-MX"/>
        </w:rPr>
        <w:drawing>
          <wp:anchor distT="0" distB="0" distL="114300" distR="114300" simplePos="0" relativeHeight="251659264" behindDoc="1" locked="0" layoutInCell="1" allowOverlap="1" wp14:anchorId="552B321C" wp14:editId="752E2E24">
            <wp:simplePos x="0" y="0"/>
            <wp:positionH relativeFrom="page">
              <wp:align>left</wp:align>
            </wp:positionH>
            <wp:positionV relativeFrom="paragraph">
              <wp:posOffset>-1096645</wp:posOffset>
            </wp:positionV>
            <wp:extent cx="8037830" cy="10273085"/>
            <wp:effectExtent l="0" t="0" r="127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7830" cy="10273085"/>
                    </a:xfrm>
                    <a:prstGeom prst="rect">
                      <a:avLst/>
                    </a:prstGeom>
                    <a:noFill/>
                  </pic:spPr>
                </pic:pic>
              </a:graphicData>
            </a:graphic>
          </wp:anchor>
        </w:drawing>
      </w:r>
    </w:p>
    <w:p w14:paraId="4B72B8FA" w14:textId="77777777" w:rsidR="00B04828" w:rsidRDefault="00B04828" w:rsidP="00B04828">
      <w:pPr>
        <w:tabs>
          <w:tab w:val="left" w:pos="1845"/>
          <w:tab w:val="left" w:pos="2550"/>
          <w:tab w:val="left" w:pos="3225"/>
        </w:tabs>
      </w:pPr>
      <w:r>
        <w:tab/>
      </w:r>
      <w:r>
        <w:tab/>
      </w:r>
      <w:r>
        <w:tab/>
      </w:r>
    </w:p>
    <w:p w14:paraId="0B2F2AE9" w14:textId="77777777" w:rsidR="00B04828" w:rsidRPr="00B04828" w:rsidRDefault="00B04828" w:rsidP="00B04828">
      <w:pPr>
        <w:tabs>
          <w:tab w:val="left" w:pos="2910"/>
        </w:tabs>
        <w:jc w:val="center"/>
        <w:rPr>
          <w:rFonts w:ascii="Arial" w:hAnsi="Arial" w:cs="Arial"/>
          <w:b/>
          <w:sz w:val="28"/>
          <w:szCs w:val="28"/>
        </w:rPr>
      </w:pPr>
      <w:r w:rsidRPr="00B04828">
        <w:rPr>
          <w:rFonts w:ascii="Arial" w:hAnsi="Arial" w:cs="Arial"/>
          <w:b/>
          <w:sz w:val="28"/>
          <w:szCs w:val="28"/>
        </w:rPr>
        <w:t>FIDEICOMISO 544 FONAFIFO/ BANCO NACIONAL</w:t>
      </w:r>
    </w:p>
    <w:p w14:paraId="2B8DE930" w14:textId="77777777" w:rsidR="00B04828" w:rsidRDefault="00B04828" w:rsidP="00B04828">
      <w:pPr>
        <w:ind w:firstLine="708"/>
      </w:pPr>
    </w:p>
    <w:p w14:paraId="7E37A748" w14:textId="77777777" w:rsidR="00B04828" w:rsidRDefault="00B04828"/>
    <w:p w14:paraId="381974FC" w14:textId="77777777" w:rsidR="00B04828" w:rsidRDefault="00B04828">
      <w:r>
        <w:rPr>
          <w:rFonts w:ascii="Arial" w:hAnsi="Arial" w:cs="Arial"/>
          <w:b/>
          <w:noProof/>
          <w:lang w:val="es-MX" w:eastAsia="es-MX"/>
        </w:rPr>
        <w:drawing>
          <wp:anchor distT="0" distB="0" distL="114300" distR="114300" simplePos="0" relativeHeight="251660288" behindDoc="0" locked="0" layoutInCell="1" allowOverlap="1" wp14:anchorId="07AD1058" wp14:editId="1558BDCA">
            <wp:simplePos x="0" y="0"/>
            <wp:positionH relativeFrom="page">
              <wp:posOffset>2752725</wp:posOffset>
            </wp:positionH>
            <wp:positionV relativeFrom="paragraph">
              <wp:posOffset>271145</wp:posOffset>
            </wp:positionV>
            <wp:extent cx="2145665" cy="1158240"/>
            <wp:effectExtent l="0" t="0" r="6985"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anchor>
        </w:drawing>
      </w:r>
    </w:p>
    <w:p w14:paraId="43A9BCE4" w14:textId="77777777" w:rsidR="00B04828" w:rsidRDefault="00B04828"/>
    <w:p w14:paraId="61C04C65" w14:textId="77777777" w:rsidR="00B04828" w:rsidRDefault="00B04828" w:rsidP="00B04828">
      <w:pPr>
        <w:tabs>
          <w:tab w:val="left" w:pos="6555"/>
        </w:tabs>
      </w:pPr>
      <w:r>
        <w:tab/>
      </w:r>
    </w:p>
    <w:p w14:paraId="293FA92B" w14:textId="77777777" w:rsidR="00B04828" w:rsidRDefault="00B04828"/>
    <w:p w14:paraId="0A498E5F" w14:textId="77777777" w:rsidR="00B04828" w:rsidRDefault="00B04828"/>
    <w:p w14:paraId="42E78B62"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47DB0345"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381951A6"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3E5E1024"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399E0FD1" w14:textId="59CD7AD6" w:rsidR="00B04828" w:rsidRPr="0072046E" w:rsidRDefault="00FB41F7" w:rsidP="00B04828">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EVALUACIÓN Y EJECUCIÓN SEMESTRAL</w:t>
      </w:r>
    </w:p>
    <w:p w14:paraId="7FD19D7D" w14:textId="77777777"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14:paraId="2793B913" w14:textId="77777777"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14:paraId="692FE0B2" w14:textId="77777777" w:rsidR="00B04828" w:rsidRDefault="00B04828" w:rsidP="00B04828">
      <w:pPr>
        <w:tabs>
          <w:tab w:val="left" w:pos="1878"/>
          <w:tab w:val="left" w:pos="2855"/>
        </w:tabs>
        <w:spacing w:after="160" w:line="259" w:lineRule="auto"/>
        <w:jc w:val="center"/>
        <w:rPr>
          <w:rFonts w:ascii="Arial" w:hAnsi="Arial" w:cs="Arial"/>
          <w:b/>
          <w:sz w:val="28"/>
          <w:szCs w:val="28"/>
        </w:rPr>
      </w:pPr>
    </w:p>
    <w:p w14:paraId="6CCC01D9" w14:textId="77777777"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14:paraId="696FE554" w14:textId="38F56C00" w:rsidR="00B04828" w:rsidRPr="0072046E" w:rsidRDefault="00F7509F" w:rsidP="00B04828">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Julio,</w:t>
      </w:r>
      <w:r w:rsidR="00B04828" w:rsidRPr="0072046E">
        <w:rPr>
          <w:rFonts w:ascii="Arial" w:hAnsi="Arial" w:cs="Arial"/>
          <w:b/>
          <w:sz w:val="28"/>
          <w:szCs w:val="28"/>
        </w:rPr>
        <w:t xml:space="preserve"> 20</w:t>
      </w:r>
      <w:r w:rsidR="00097BCC">
        <w:rPr>
          <w:rFonts w:ascii="Arial" w:hAnsi="Arial" w:cs="Arial"/>
          <w:b/>
          <w:sz w:val="28"/>
          <w:szCs w:val="28"/>
        </w:rPr>
        <w:t>2</w:t>
      </w:r>
      <w:r w:rsidR="004C0F2B">
        <w:rPr>
          <w:rFonts w:ascii="Arial" w:hAnsi="Arial" w:cs="Arial"/>
          <w:b/>
          <w:sz w:val="28"/>
          <w:szCs w:val="28"/>
        </w:rPr>
        <w:t>2</w:t>
      </w:r>
    </w:p>
    <w:p w14:paraId="04BDBF54" w14:textId="77777777" w:rsidR="00B04828" w:rsidRDefault="00B04828" w:rsidP="00B04828">
      <w:pPr>
        <w:jc w:val="center"/>
      </w:pPr>
    </w:p>
    <w:p w14:paraId="7E61BDFF" w14:textId="77777777" w:rsidR="00B04828" w:rsidRDefault="00B04828"/>
    <w:p w14:paraId="06C2E098" w14:textId="77777777" w:rsidR="00B04828" w:rsidRDefault="00B04828" w:rsidP="00B04828">
      <w:pPr>
        <w:tabs>
          <w:tab w:val="left" w:pos="3150"/>
          <w:tab w:val="left" w:pos="3720"/>
        </w:tabs>
      </w:pPr>
      <w:r>
        <w:tab/>
      </w:r>
      <w:r>
        <w:tab/>
      </w:r>
    </w:p>
    <w:p w14:paraId="7D2ECB8E" w14:textId="77777777" w:rsidR="00B04828" w:rsidRDefault="00B04828"/>
    <w:sdt>
      <w:sdtPr>
        <w:rPr>
          <w:rFonts w:ascii="Calibri" w:eastAsia="Calibri" w:hAnsi="Calibri" w:cs="Times New Roman"/>
          <w:b w:val="0"/>
          <w:bCs w:val="0"/>
          <w:i w:val="0"/>
          <w:iCs w:val="0"/>
          <w:sz w:val="22"/>
          <w:szCs w:val="22"/>
          <w:lang w:val="es-ES" w:bidi="ar-SA"/>
        </w:rPr>
        <w:id w:val="636839162"/>
        <w:docPartObj>
          <w:docPartGallery w:val="Table of Contents"/>
          <w:docPartUnique/>
        </w:docPartObj>
      </w:sdtPr>
      <w:sdtEndPr/>
      <w:sdtContent>
        <w:p w14:paraId="07440A77" w14:textId="5CCA77A0" w:rsidR="00B77BF4" w:rsidRPr="0089413E" w:rsidRDefault="00B77BF4" w:rsidP="004C0F2B">
          <w:pPr>
            <w:pStyle w:val="TtuloTDC"/>
            <w:tabs>
              <w:tab w:val="center" w:pos="4465"/>
            </w:tabs>
            <w:rPr>
              <w:lang w:val="es-CR"/>
            </w:rPr>
          </w:pPr>
          <w:r>
            <w:rPr>
              <w:lang w:val="es-ES"/>
            </w:rPr>
            <w:t>Tabla de contenido</w:t>
          </w:r>
          <w:r w:rsidR="004C0F2B">
            <w:rPr>
              <w:lang w:val="es-ES"/>
            </w:rPr>
            <w:tab/>
          </w:r>
        </w:p>
        <w:p w14:paraId="0521D54A" w14:textId="14D13A8F" w:rsidR="007F4708" w:rsidRDefault="0020039E">
          <w:pPr>
            <w:pStyle w:val="TDC2"/>
            <w:tabs>
              <w:tab w:val="left" w:pos="660"/>
              <w:tab w:val="right" w:leader="dot" w:pos="8921"/>
            </w:tabs>
            <w:rPr>
              <w:rFonts w:eastAsiaTheme="minorEastAsia" w:cstheme="minorBidi"/>
              <w:b w:val="0"/>
              <w:bCs w:val="0"/>
              <w:noProof/>
              <w:lang w:val="es-US" w:eastAsia="es-US"/>
            </w:rPr>
          </w:pPr>
          <w:r>
            <w:rPr>
              <w:i/>
              <w:iCs/>
              <w:sz w:val="24"/>
              <w:szCs w:val="24"/>
            </w:rPr>
            <w:fldChar w:fldCharType="begin"/>
          </w:r>
          <w:r w:rsidR="00B77BF4">
            <w:instrText xml:space="preserve"> TOC \o "1-3" \h \z \u </w:instrText>
          </w:r>
          <w:r>
            <w:rPr>
              <w:i/>
              <w:iCs/>
              <w:sz w:val="24"/>
              <w:szCs w:val="24"/>
            </w:rPr>
            <w:fldChar w:fldCharType="separate"/>
          </w:r>
          <w:hyperlink w:anchor="_Toc109980591" w:history="1">
            <w:r w:rsidR="007F4708" w:rsidRPr="004A524B">
              <w:rPr>
                <w:rStyle w:val="Hipervnculo"/>
                <w:rFonts w:ascii="Arial" w:hAnsi="Arial" w:cs="Arial"/>
                <w:noProof/>
              </w:rPr>
              <w:t>1.</w:t>
            </w:r>
            <w:r w:rsidR="007F4708">
              <w:rPr>
                <w:rFonts w:eastAsiaTheme="minorEastAsia" w:cstheme="minorBidi"/>
                <w:b w:val="0"/>
                <w:bCs w:val="0"/>
                <w:noProof/>
                <w:lang w:val="es-US" w:eastAsia="es-US"/>
              </w:rPr>
              <w:tab/>
            </w:r>
            <w:r w:rsidR="007F4708" w:rsidRPr="004A524B">
              <w:rPr>
                <w:rStyle w:val="Hipervnculo"/>
                <w:rFonts w:ascii="Arial" w:hAnsi="Arial" w:cs="Arial"/>
                <w:noProof/>
              </w:rPr>
              <w:t>MARCO GENERAL</w:t>
            </w:r>
            <w:r w:rsidR="007F4708">
              <w:rPr>
                <w:noProof/>
                <w:webHidden/>
              </w:rPr>
              <w:tab/>
            </w:r>
            <w:r w:rsidR="007F4708">
              <w:rPr>
                <w:noProof/>
                <w:webHidden/>
              </w:rPr>
              <w:fldChar w:fldCharType="begin"/>
            </w:r>
            <w:r w:rsidR="007F4708">
              <w:rPr>
                <w:noProof/>
                <w:webHidden/>
              </w:rPr>
              <w:instrText xml:space="preserve"> PAGEREF _Toc109980591 \h </w:instrText>
            </w:r>
            <w:r w:rsidR="007F4708">
              <w:rPr>
                <w:noProof/>
                <w:webHidden/>
              </w:rPr>
            </w:r>
            <w:r w:rsidR="007F4708">
              <w:rPr>
                <w:noProof/>
                <w:webHidden/>
              </w:rPr>
              <w:fldChar w:fldCharType="separate"/>
            </w:r>
            <w:r w:rsidR="00A5757C">
              <w:rPr>
                <w:noProof/>
                <w:webHidden/>
              </w:rPr>
              <w:t>4</w:t>
            </w:r>
            <w:r w:rsidR="007F4708">
              <w:rPr>
                <w:noProof/>
                <w:webHidden/>
              </w:rPr>
              <w:fldChar w:fldCharType="end"/>
            </w:r>
          </w:hyperlink>
        </w:p>
        <w:p w14:paraId="7E00316D" w14:textId="67668A8F" w:rsidR="007F4708" w:rsidRDefault="00F72A25">
          <w:pPr>
            <w:pStyle w:val="TDC2"/>
            <w:tabs>
              <w:tab w:val="left" w:pos="880"/>
              <w:tab w:val="right" w:leader="dot" w:pos="8921"/>
            </w:tabs>
            <w:rPr>
              <w:rFonts w:eastAsiaTheme="minorEastAsia" w:cstheme="minorBidi"/>
              <w:b w:val="0"/>
              <w:bCs w:val="0"/>
              <w:noProof/>
              <w:lang w:val="es-US" w:eastAsia="es-US"/>
            </w:rPr>
          </w:pPr>
          <w:hyperlink w:anchor="_Toc109980592" w:history="1">
            <w:r w:rsidR="007F4708" w:rsidRPr="004A524B">
              <w:rPr>
                <w:rStyle w:val="Hipervnculo"/>
                <w:rFonts w:ascii="Arial" w:hAnsi="Arial" w:cs="Arial"/>
                <w:noProof/>
              </w:rPr>
              <w:t>1.1.</w:t>
            </w:r>
            <w:r w:rsidR="007F4708">
              <w:rPr>
                <w:rFonts w:eastAsiaTheme="minorEastAsia" w:cstheme="minorBidi"/>
                <w:b w:val="0"/>
                <w:bCs w:val="0"/>
                <w:noProof/>
                <w:lang w:val="es-US" w:eastAsia="es-US"/>
              </w:rPr>
              <w:tab/>
            </w:r>
            <w:r w:rsidR="007F4708" w:rsidRPr="004A524B">
              <w:rPr>
                <w:rStyle w:val="Hipervnculo"/>
                <w:rFonts w:ascii="Arial" w:hAnsi="Arial" w:cs="Arial"/>
                <w:noProof/>
              </w:rPr>
              <w:t>Marco Jurídico del Fideicomiso 544 FONAFIFO / BNCR</w:t>
            </w:r>
            <w:r w:rsidR="007F4708">
              <w:rPr>
                <w:noProof/>
                <w:webHidden/>
              </w:rPr>
              <w:tab/>
            </w:r>
            <w:r w:rsidR="007F4708">
              <w:rPr>
                <w:noProof/>
                <w:webHidden/>
              </w:rPr>
              <w:fldChar w:fldCharType="begin"/>
            </w:r>
            <w:r w:rsidR="007F4708">
              <w:rPr>
                <w:noProof/>
                <w:webHidden/>
              </w:rPr>
              <w:instrText xml:space="preserve"> PAGEREF _Toc109980592 \h </w:instrText>
            </w:r>
            <w:r w:rsidR="007F4708">
              <w:rPr>
                <w:noProof/>
                <w:webHidden/>
              </w:rPr>
            </w:r>
            <w:r w:rsidR="007F4708">
              <w:rPr>
                <w:noProof/>
                <w:webHidden/>
              </w:rPr>
              <w:fldChar w:fldCharType="separate"/>
            </w:r>
            <w:r w:rsidR="00A5757C">
              <w:rPr>
                <w:noProof/>
                <w:webHidden/>
              </w:rPr>
              <w:t>4</w:t>
            </w:r>
            <w:r w:rsidR="007F4708">
              <w:rPr>
                <w:noProof/>
                <w:webHidden/>
              </w:rPr>
              <w:fldChar w:fldCharType="end"/>
            </w:r>
          </w:hyperlink>
        </w:p>
        <w:p w14:paraId="68750F9E" w14:textId="6836A8EA" w:rsidR="007F4708" w:rsidRDefault="00F72A25">
          <w:pPr>
            <w:pStyle w:val="TDC2"/>
            <w:tabs>
              <w:tab w:val="right" w:leader="dot" w:pos="8921"/>
            </w:tabs>
            <w:rPr>
              <w:rFonts w:eastAsiaTheme="minorEastAsia" w:cstheme="minorBidi"/>
              <w:b w:val="0"/>
              <w:bCs w:val="0"/>
              <w:noProof/>
              <w:lang w:val="es-US" w:eastAsia="es-US"/>
            </w:rPr>
          </w:pPr>
          <w:hyperlink w:anchor="_Toc109980593" w:history="1">
            <w:r w:rsidR="007F4708" w:rsidRPr="004A524B">
              <w:rPr>
                <w:rStyle w:val="Hipervnculo"/>
                <w:rFonts w:ascii="Arial" w:hAnsi="Arial" w:cs="Arial"/>
                <w:noProof/>
              </w:rPr>
              <w:t>1.2 Finalidades del fideicomiso 544 Fonafifo / BNCR</w:t>
            </w:r>
            <w:r w:rsidR="007F4708">
              <w:rPr>
                <w:noProof/>
                <w:webHidden/>
              </w:rPr>
              <w:tab/>
            </w:r>
            <w:r w:rsidR="007F4708">
              <w:rPr>
                <w:noProof/>
                <w:webHidden/>
              </w:rPr>
              <w:fldChar w:fldCharType="begin"/>
            </w:r>
            <w:r w:rsidR="007F4708">
              <w:rPr>
                <w:noProof/>
                <w:webHidden/>
              </w:rPr>
              <w:instrText xml:space="preserve"> PAGEREF _Toc109980593 \h </w:instrText>
            </w:r>
            <w:r w:rsidR="007F4708">
              <w:rPr>
                <w:noProof/>
                <w:webHidden/>
              </w:rPr>
            </w:r>
            <w:r w:rsidR="007F4708">
              <w:rPr>
                <w:noProof/>
                <w:webHidden/>
              </w:rPr>
              <w:fldChar w:fldCharType="separate"/>
            </w:r>
            <w:r w:rsidR="00A5757C">
              <w:rPr>
                <w:noProof/>
                <w:webHidden/>
              </w:rPr>
              <w:t>4</w:t>
            </w:r>
            <w:r w:rsidR="007F4708">
              <w:rPr>
                <w:noProof/>
                <w:webHidden/>
              </w:rPr>
              <w:fldChar w:fldCharType="end"/>
            </w:r>
          </w:hyperlink>
        </w:p>
        <w:p w14:paraId="6DE50553" w14:textId="1DC77A8F" w:rsidR="007F4708" w:rsidRDefault="00F72A25">
          <w:pPr>
            <w:pStyle w:val="TDC2"/>
            <w:tabs>
              <w:tab w:val="left" w:pos="880"/>
              <w:tab w:val="right" w:leader="dot" w:pos="8921"/>
            </w:tabs>
            <w:rPr>
              <w:rFonts w:eastAsiaTheme="minorEastAsia" w:cstheme="minorBidi"/>
              <w:b w:val="0"/>
              <w:bCs w:val="0"/>
              <w:noProof/>
              <w:lang w:val="es-US" w:eastAsia="es-US"/>
            </w:rPr>
          </w:pPr>
          <w:hyperlink w:anchor="_Toc109980594" w:history="1">
            <w:r w:rsidR="007F4708" w:rsidRPr="004A524B">
              <w:rPr>
                <w:rStyle w:val="Hipervnculo"/>
                <w:rFonts w:ascii="Arial" w:hAnsi="Arial" w:cs="Arial"/>
                <w:noProof/>
              </w:rPr>
              <w:t>1.4</w:t>
            </w:r>
            <w:r w:rsidR="007F4708">
              <w:rPr>
                <w:rFonts w:eastAsiaTheme="minorEastAsia" w:cstheme="minorBidi"/>
                <w:b w:val="0"/>
                <w:bCs w:val="0"/>
                <w:noProof/>
                <w:lang w:val="es-US" w:eastAsia="es-US"/>
              </w:rPr>
              <w:tab/>
            </w:r>
            <w:r w:rsidR="007F4708" w:rsidRPr="004A524B">
              <w:rPr>
                <w:rStyle w:val="Hipervnculo"/>
                <w:rFonts w:ascii="Arial" w:hAnsi="Arial" w:cs="Arial"/>
                <w:noProof/>
              </w:rPr>
              <w:t>Visión del Fideicomiso 544 Fonafifo/BNCR</w:t>
            </w:r>
            <w:r w:rsidR="007F4708">
              <w:rPr>
                <w:noProof/>
                <w:webHidden/>
              </w:rPr>
              <w:tab/>
            </w:r>
            <w:r w:rsidR="007F4708">
              <w:rPr>
                <w:noProof/>
                <w:webHidden/>
              </w:rPr>
              <w:fldChar w:fldCharType="begin"/>
            </w:r>
            <w:r w:rsidR="007F4708">
              <w:rPr>
                <w:noProof/>
                <w:webHidden/>
              </w:rPr>
              <w:instrText xml:space="preserve"> PAGEREF _Toc109980594 \h </w:instrText>
            </w:r>
            <w:r w:rsidR="007F4708">
              <w:rPr>
                <w:noProof/>
                <w:webHidden/>
              </w:rPr>
            </w:r>
            <w:r w:rsidR="007F4708">
              <w:rPr>
                <w:noProof/>
                <w:webHidden/>
              </w:rPr>
              <w:fldChar w:fldCharType="separate"/>
            </w:r>
            <w:r w:rsidR="00A5757C">
              <w:rPr>
                <w:noProof/>
                <w:webHidden/>
              </w:rPr>
              <w:t>5</w:t>
            </w:r>
            <w:r w:rsidR="007F4708">
              <w:rPr>
                <w:noProof/>
                <w:webHidden/>
              </w:rPr>
              <w:fldChar w:fldCharType="end"/>
            </w:r>
          </w:hyperlink>
        </w:p>
        <w:p w14:paraId="060A34B2" w14:textId="345EEB2B" w:rsidR="007F4708" w:rsidRDefault="00F72A25">
          <w:pPr>
            <w:pStyle w:val="TDC2"/>
            <w:tabs>
              <w:tab w:val="left" w:pos="880"/>
              <w:tab w:val="right" w:leader="dot" w:pos="8921"/>
            </w:tabs>
            <w:rPr>
              <w:rFonts w:eastAsiaTheme="minorEastAsia" w:cstheme="minorBidi"/>
              <w:b w:val="0"/>
              <w:bCs w:val="0"/>
              <w:noProof/>
              <w:lang w:val="es-US" w:eastAsia="es-US"/>
            </w:rPr>
          </w:pPr>
          <w:hyperlink w:anchor="_Toc109980595" w:history="1">
            <w:r w:rsidR="007F4708" w:rsidRPr="004A524B">
              <w:rPr>
                <w:rStyle w:val="Hipervnculo"/>
                <w:rFonts w:ascii="Arial" w:hAnsi="Arial" w:cs="Arial"/>
                <w:noProof/>
              </w:rPr>
              <w:t>1.5</w:t>
            </w:r>
            <w:r w:rsidR="007F4708">
              <w:rPr>
                <w:rFonts w:eastAsiaTheme="minorEastAsia" w:cstheme="minorBidi"/>
                <w:b w:val="0"/>
                <w:bCs w:val="0"/>
                <w:noProof/>
                <w:lang w:val="es-US" w:eastAsia="es-US"/>
              </w:rPr>
              <w:tab/>
            </w:r>
            <w:r w:rsidR="007F4708" w:rsidRPr="004A524B">
              <w:rPr>
                <w:rStyle w:val="Hipervnculo"/>
                <w:rFonts w:ascii="Arial" w:hAnsi="Arial" w:cs="Arial"/>
                <w:noProof/>
              </w:rPr>
              <w:t>Objetivo General del Fideicomiso 544</w:t>
            </w:r>
            <w:r w:rsidR="007F4708">
              <w:rPr>
                <w:noProof/>
                <w:webHidden/>
              </w:rPr>
              <w:tab/>
            </w:r>
            <w:r w:rsidR="007F4708">
              <w:rPr>
                <w:noProof/>
                <w:webHidden/>
              </w:rPr>
              <w:fldChar w:fldCharType="begin"/>
            </w:r>
            <w:r w:rsidR="007F4708">
              <w:rPr>
                <w:noProof/>
                <w:webHidden/>
              </w:rPr>
              <w:instrText xml:space="preserve"> PAGEREF _Toc109980595 \h </w:instrText>
            </w:r>
            <w:r w:rsidR="007F4708">
              <w:rPr>
                <w:noProof/>
                <w:webHidden/>
              </w:rPr>
            </w:r>
            <w:r w:rsidR="007F4708">
              <w:rPr>
                <w:noProof/>
                <w:webHidden/>
              </w:rPr>
              <w:fldChar w:fldCharType="separate"/>
            </w:r>
            <w:r w:rsidR="00A5757C">
              <w:rPr>
                <w:noProof/>
                <w:webHidden/>
              </w:rPr>
              <w:t>5</w:t>
            </w:r>
            <w:r w:rsidR="007F4708">
              <w:rPr>
                <w:noProof/>
                <w:webHidden/>
              </w:rPr>
              <w:fldChar w:fldCharType="end"/>
            </w:r>
          </w:hyperlink>
        </w:p>
        <w:p w14:paraId="509447BC" w14:textId="51E42998" w:rsidR="007F4708" w:rsidRDefault="00F72A25">
          <w:pPr>
            <w:pStyle w:val="TDC2"/>
            <w:tabs>
              <w:tab w:val="right" w:leader="dot" w:pos="8921"/>
            </w:tabs>
            <w:rPr>
              <w:rFonts w:eastAsiaTheme="minorEastAsia" w:cstheme="minorBidi"/>
              <w:b w:val="0"/>
              <w:bCs w:val="0"/>
              <w:noProof/>
              <w:lang w:val="es-US" w:eastAsia="es-US"/>
            </w:rPr>
          </w:pPr>
          <w:hyperlink w:anchor="_Toc109980596" w:history="1">
            <w:r w:rsidR="007F4708" w:rsidRPr="004A524B">
              <w:rPr>
                <w:rStyle w:val="Hipervnculo"/>
                <w:rFonts w:ascii="Arial" w:hAnsi="Arial" w:cs="Arial"/>
                <w:noProof/>
              </w:rPr>
              <w:t>1.6 Objetivos Específicos:</w:t>
            </w:r>
            <w:r w:rsidR="007F4708">
              <w:rPr>
                <w:noProof/>
                <w:webHidden/>
              </w:rPr>
              <w:tab/>
            </w:r>
            <w:r w:rsidR="007F4708">
              <w:rPr>
                <w:noProof/>
                <w:webHidden/>
              </w:rPr>
              <w:fldChar w:fldCharType="begin"/>
            </w:r>
            <w:r w:rsidR="007F4708">
              <w:rPr>
                <w:noProof/>
                <w:webHidden/>
              </w:rPr>
              <w:instrText xml:space="preserve"> PAGEREF _Toc109980596 \h </w:instrText>
            </w:r>
            <w:r w:rsidR="007F4708">
              <w:rPr>
                <w:noProof/>
                <w:webHidden/>
              </w:rPr>
            </w:r>
            <w:r w:rsidR="007F4708">
              <w:rPr>
                <w:noProof/>
                <w:webHidden/>
              </w:rPr>
              <w:fldChar w:fldCharType="separate"/>
            </w:r>
            <w:r w:rsidR="00A5757C">
              <w:rPr>
                <w:noProof/>
                <w:webHidden/>
              </w:rPr>
              <w:t>5</w:t>
            </w:r>
            <w:r w:rsidR="007F4708">
              <w:rPr>
                <w:noProof/>
                <w:webHidden/>
              </w:rPr>
              <w:fldChar w:fldCharType="end"/>
            </w:r>
          </w:hyperlink>
        </w:p>
        <w:p w14:paraId="6390E48A" w14:textId="18C822AC" w:rsidR="007F4708" w:rsidRDefault="00F72A25">
          <w:pPr>
            <w:pStyle w:val="TDC1"/>
            <w:tabs>
              <w:tab w:val="left" w:pos="440"/>
              <w:tab w:val="right" w:leader="dot" w:pos="8921"/>
            </w:tabs>
            <w:rPr>
              <w:rFonts w:eastAsiaTheme="minorEastAsia" w:cstheme="minorBidi"/>
              <w:b w:val="0"/>
              <w:bCs w:val="0"/>
              <w:i w:val="0"/>
              <w:iCs w:val="0"/>
              <w:noProof/>
              <w:sz w:val="22"/>
              <w:szCs w:val="22"/>
              <w:lang w:val="es-US" w:eastAsia="es-US"/>
            </w:rPr>
          </w:pPr>
          <w:hyperlink w:anchor="_Toc109980597" w:history="1">
            <w:r w:rsidR="007F4708" w:rsidRPr="004A524B">
              <w:rPr>
                <w:rStyle w:val="Hipervnculo"/>
                <w:rFonts w:ascii="Arial" w:hAnsi="Arial" w:cs="Arial"/>
                <w:noProof/>
                <w:lang w:bidi="en-US"/>
              </w:rPr>
              <w:t>2</w:t>
            </w:r>
            <w:r w:rsidR="007F4708">
              <w:rPr>
                <w:rFonts w:eastAsiaTheme="minorEastAsia" w:cstheme="minorBidi"/>
                <w:b w:val="0"/>
                <w:bCs w:val="0"/>
                <w:i w:val="0"/>
                <w:iCs w:val="0"/>
                <w:noProof/>
                <w:sz w:val="22"/>
                <w:szCs w:val="22"/>
                <w:lang w:val="es-US" w:eastAsia="es-US"/>
              </w:rPr>
              <w:tab/>
            </w:r>
            <w:r w:rsidR="007F4708" w:rsidRPr="004A524B">
              <w:rPr>
                <w:rStyle w:val="Hipervnculo"/>
                <w:rFonts w:ascii="Arial" w:hAnsi="Arial" w:cs="Arial"/>
                <w:noProof/>
                <w:lang w:bidi="en-US"/>
              </w:rPr>
              <w:t>EJECUCION FISICA</w:t>
            </w:r>
            <w:r w:rsidR="007F4708">
              <w:rPr>
                <w:noProof/>
                <w:webHidden/>
              </w:rPr>
              <w:tab/>
            </w:r>
            <w:r w:rsidR="007F4708">
              <w:rPr>
                <w:noProof/>
                <w:webHidden/>
              </w:rPr>
              <w:fldChar w:fldCharType="begin"/>
            </w:r>
            <w:r w:rsidR="007F4708">
              <w:rPr>
                <w:noProof/>
                <w:webHidden/>
              </w:rPr>
              <w:instrText xml:space="preserve"> PAGEREF _Toc109980597 \h </w:instrText>
            </w:r>
            <w:r w:rsidR="007F4708">
              <w:rPr>
                <w:noProof/>
                <w:webHidden/>
              </w:rPr>
            </w:r>
            <w:r w:rsidR="007F4708">
              <w:rPr>
                <w:noProof/>
                <w:webHidden/>
              </w:rPr>
              <w:fldChar w:fldCharType="separate"/>
            </w:r>
            <w:r w:rsidR="00A5757C">
              <w:rPr>
                <w:noProof/>
                <w:webHidden/>
              </w:rPr>
              <w:t>6</w:t>
            </w:r>
            <w:r w:rsidR="007F4708">
              <w:rPr>
                <w:noProof/>
                <w:webHidden/>
              </w:rPr>
              <w:fldChar w:fldCharType="end"/>
            </w:r>
          </w:hyperlink>
        </w:p>
        <w:p w14:paraId="489C7BE4" w14:textId="44697E80" w:rsidR="007F4708" w:rsidRDefault="00F72A25">
          <w:pPr>
            <w:pStyle w:val="TDC1"/>
            <w:tabs>
              <w:tab w:val="left" w:pos="440"/>
              <w:tab w:val="right" w:leader="dot" w:pos="8921"/>
            </w:tabs>
            <w:rPr>
              <w:rFonts w:eastAsiaTheme="minorEastAsia" w:cstheme="minorBidi"/>
              <w:b w:val="0"/>
              <w:bCs w:val="0"/>
              <w:i w:val="0"/>
              <w:iCs w:val="0"/>
              <w:noProof/>
              <w:sz w:val="22"/>
              <w:szCs w:val="22"/>
              <w:lang w:val="es-US" w:eastAsia="es-US"/>
            </w:rPr>
          </w:pPr>
          <w:hyperlink w:anchor="_Toc109980598" w:history="1">
            <w:r w:rsidR="007F4708" w:rsidRPr="004A524B">
              <w:rPr>
                <w:rStyle w:val="Hipervnculo"/>
                <w:rFonts w:ascii="Arial" w:hAnsi="Arial" w:cs="Arial"/>
                <w:noProof/>
              </w:rPr>
              <w:t>a)</w:t>
            </w:r>
            <w:r w:rsidR="007F4708">
              <w:rPr>
                <w:rFonts w:eastAsiaTheme="minorEastAsia" w:cstheme="minorBidi"/>
                <w:b w:val="0"/>
                <w:bCs w:val="0"/>
                <w:i w:val="0"/>
                <w:iCs w:val="0"/>
                <w:noProof/>
                <w:sz w:val="22"/>
                <w:szCs w:val="22"/>
                <w:lang w:val="es-US" w:eastAsia="es-US"/>
              </w:rPr>
              <w:tab/>
            </w:r>
            <w:r w:rsidR="007F4708" w:rsidRPr="004A524B">
              <w:rPr>
                <w:rStyle w:val="Hipervnculo"/>
                <w:rFonts w:ascii="Arial" w:hAnsi="Arial" w:cs="Arial"/>
                <w:noProof/>
              </w:rPr>
              <w:t>Resultados de la Ejecución Presupuestaria</w:t>
            </w:r>
            <w:r w:rsidR="007F4708">
              <w:rPr>
                <w:noProof/>
                <w:webHidden/>
              </w:rPr>
              <w:tab/>
            </w:r>
            <w:r w:rsidR="007F4708">
              <w:rPr>
                <w:noProof/>
                <w:webHidden/>
              </w:rPr>
              <w:fldChar w:fldCharType="begin"/>
            </w:r>
            <w:r w:rsidR="007F4708">
              <w:rPr>
                <w:noProof/>
                <w:webHidden/>
              </w:rPr>
              <w:instrText xml:space="preserve"> PAGEREF _Toc109980598 \h </w:instrText>
            </w:r>
            <w:r w:rsidR="007F4708">
              <w:rPr>
                <w:noProof/>
                <w:webHidden/>
              </w:rPr>
            </w:r>
            <w:r w:rsidR="007F4708">
              <w:rPr>
                <w:noProof/>
                <w:webHidden/>
              </w:rPr>
              <w:fldChar w:fldCharType="separate"/>
            </w:r>
            <w:r w:rsidR="00A5757C">
              <w:rPr>
                <w:noProof/>
                <w:webHidden/>
              </w:rPr>
              <w:t>7</w:t>
            </w:r>
            <w:r w:rsidR="007F4708">
              <w:rPr>
                <w:noProof/>
                <w:webHidden/>
              </w:rPr>
              <w:fldChar w:fldCharType="end"/>
            </w:r>
          </w:hyperlink>
        </w:p>
        <w:p w14:paraId="3649BA09" w14:textId="544A944F" w:rsidR="007F4708" w:rsidRDefault="00F72A25">
          <w:pPr>
            <w:pStyle w:val="TDC3"/>
            <w:tabs>
              <w:tab w:val="right" w:leader="dot" w:pos="8921"/>
            </w:tabs>
            <w:rPr>
              <w:rFonts w:eastAsiaTheme="minorEastAsia" w:cstheme="minorBidi"/>
              <w:noProof/>
              <w:sz w:val="22"/>
              <w:szCs w:val="22"/>
              <w:lang w:val="es-US" w:eastAsia="es-US"/>
            </w:rPr>
          </w:pPr>
          <w:hyperlink w:anchor="_Toc109980599" w:history="1">
            <w:r w:rsidR="007F4708" w:rsidRPr="004A524B">
              <w:rPr>
                <w:rStyle w:val="Hipervnculo"/>
                <w:rFonts w:ascii="Arial" w:hAnsi="Arial" w:cs="Arial"/>
                <w:noProof/>
              </w:rPr>
              <w:t>3.  Ejecución Financiera</w:t>
            </w:r>
            <w:r w:rsidR="007F4708">
              <w:rPr>
                <w:noProof/>
                <w:webHidden/>
              </w:rPr>
              <w:tab/>
            </w:r>
            <w:r w:rsidR="007F4708">
              <w:rPr>
                <w:noProof/>
                <w:webHidden/>
              </w:rPr>
              <w:fldChar w:fldCharType="begin"/>
            </w:r>
            <w:r w:rsidR="007F4708">
              <w:rPr>
                <w:noProof/>
                <w:webHidden/>
              </w:rPr>
              <w:instrText xml:space="preserve"> PAGEREF _Toc109980599 \h </w:instrText>
            </w:r>
            <w:r w:rsidR="007F4708">
              <w:rPr>
                <w:noProof/>
                <w:webHidden/>
              </w:rPr>
            </w:r>
            <w:r w:rsidR="007F4708">
              <w:rPr>
                <w:noProof/>
                <w:webHidden/>
              </w:rPr>
              <w:fldChar w:fldCharType="separate"/>
            </w:r>
            <w:r w:rsidR="00A5757C">
              <w:rPr>
                <w:noProof/>
                <w:webHidden/>
              </w:rPr>
              <w:t>7</w:t>
            </w:r>
            <w:r w:rsidR="007F4708">
              <w:rPr>
                <w:noProof/>
                <w:webHidden/>
              </w:rPr>
              <w:fldChar w:fldCharType="end"/>
            </w:r>
          </w:hyperlink>
        </w:p>
        <w:p w14:paraId="4572CDCD" w14:textId="469E68B8" w:rsidR="007F4708" w:rsidRDefault="00F72A25">
          <w:pPr>
            <w:pStyle w:val="TDC3"/>
            <w:tabs>
              <w:tab w:val="right" w:leader="dot" w:pos="8921"/>
            </w:tabs>
            <w:rPr>
              <w:rFonts w:eastAsiaTheme="minorEastAsia" w:cstheme="minorBidi"/>
              <w:noProof/>
              <w:sz w:val="22"/>
              <w:szCs w:val="22"/>
              <w:lang w:val="es-US" w:eastAsia="es-US"/>
            </w:rPr>
          </w:pPr>
          <w:hyperlink w:anchor="_Toc109980600" w:history="1">
            <w:r w:rsidR="007F4708" w:rsidRPr="004A524B">
              <w:rPr>
                <w:rStyle w:val="Hipervnculo"/>
                <w:rFonts w:ascii="Arial" w:hAnsi="Arial" w:cs="Arial"/>
                <w:noProof/>
              </w:rPr>
              <w:t>3.1 Ejecución del Presupuesto de Ingresos</w:t>
            </w:r>
            <w:r w:rsidR="007F4708">
              <w:rPr>
                <w:noProof/>
                <w:webHidden/>
              </w:rPr>
              <w:tab/>
            </w:r>
            <w:r w:rsidR="007F4708">
              <w:rPr>
                <w:noProof/>
                <w:webHidden/>
              </w:rPr>
              <w:fldChar w:fldCharType="begin"/>
            </w:r>
            <w:r w:rsidR="007F4708">
              <w:rPr>
                <w:noProof/>
                <w:webHidden/>
              </w:rPr>
              <w:instrText xml:space="preserve"> PAGEREF _Toc109980600 \h </w:instrText>
            </w:r>
            <w:r w:rsidR="007F4708">
              <w:rPr>
                <w:noProof/>
                <w:webHidden/>
              </w:rPr>
            </w:r>
            <w:r w:rsidR="007F4708">
              <w:rPr>
                <w:noProof/>
                <w:webHidden/>
              </w:rPr>
              <w:fldChar w:fldCharType="separate"/>
            </w:r>
            <w:r w:rsidR="00A5757C">
              <w:rPr>
                <w:noProof/>
                <w:webHidden/>
              </w:rPr>
              <w:t>7</w:t>
            </w:r>
            <w:r w:rsidR="007F4708">
              <w:rPr>
                <w:noProof/>
                <w:webHidden/>
              </w:rPr>
              <w:fldChar w:fldCharType="end"/>
            </w:r>
          </w:hyperlink>
        </w:p>
        <w:p w14:paraId="604E05D7" w14:textId="766D6A96" w:rsidR="007F4708" w:rsidRDefault="00F72A25">
          <w:pPr>
            <w:pStyle w:val="TDC3"/>
            <w:tabs>
              <w:tab w:val="right" w:leader="dot" w:pos="8921"/>
            </w:tabs>
            <w:rPr>
              <w:rFonts w:eastAsiaTheme="minorEastAsia" w:cstheme="minorBidi"/>
              <w:noProof/>
              <w:sz w:val="22"/>
              <w:szCs w:val="22"/>
              <w:lang w:val="es-US" w:eastAsia="es-US"/>
            </w:rPr>
          </w:pPr>
          <w:hyperlink w:anchor="_Toc109980601" w:history="1">
            <w:r w:rsidR="007F4708" w:rsidRPr="004A524B">
              <w:rPr>
                <w:rStyle w:val="Hipervnculo"/>
                <w:rFonts w:ascii="Arial" w:hAnsi="Arial" w:cs="Arial"/>
                <w:noProof/>
              </w:rPr>
              <w:t>3.2 Ejecución del Presupuesto de Egresos</w:t>
            </w:r>
            <w:r w:rsidR="007F4708">
              <w:rPr>
                <w:noProof/>
                <w:webHidden/>
              </w:rPr>
              <w:tab/>
            </w:r>
            <w:r w:rsidR="007F4708">
              <w:rPr>
                <w:noProof/>
                <w:webHidden/>
              </w:rPr>
              <w:fldChar w:fldCharType="begin"/>
            </w:r>
            <w:r w:rsidR="007F4708">
              <w:rPr>
                <w:noProof/>
                <w:webHidden/>
              </w:rPr>
              <w:instrText xml:space="preserve"> PAGEREF _Toc109980601 \h </w:instrText>
            </w:r>
            <w:r w:rsidR="007F4708">
              <w:rPr>
                <w:noProof/>
                <w:webHidden/>
              </w:rPr>
            </w:r>
            <w:r w:rsidR="007F4708">
              <w:rPr>
                <w:noProof/>
                <w:webHidden/>
              </w:rPr>
              <w:fldChar w:fldCharType="separate"/>
            </w:r>
            <w:r w:rsidR="00A5757C">
              <w:rPr>
                <w:noProof/>
                <w:webHidden/>
              </w:rPr>
              <w:t>8</w:t>
            </w:r>
            <w:r w:rsidR="007F4708">
              <w:rPr>
                <w:noProof/>
                <w:webHidden/>
              </w:rPr>
              <w:fldChar w:fldCharType="end"/>
            </w:r>
          </w:hyperlink>
        </w:p>
        <w:p w14:paraId="2C42F72D" w14:textId="15034265" w:rsidR="007F4708" w:rsidRDefault="00F72A25">
          <w:pPr>
            <w:pStyle w:val="TDC1"/>
            <w:tabs>
              <w:tab w:val="right" w:leader="dot" w:pos="8921"/>
            </w:tabs>
            <w:rPr>
              <w:rFonts w:eastAsiaTheme="minorEastAsia" w:cstheme="minorBidi"/>
              <w:b w:val="0"/>
              <w:bCs w:val="0"/>
              <w:i w:val="0"/>
              <w:iCs w:val="0"/>
              <w:noProof/>
              <w:sz w:val="22"/>
              <w:szCs w:val="22"/>
              <w:lang w:val="es-US" w:eastAsia="es-US"/>
            </w:rPr>
          </w:pPr>
          <w:hyperlink w:anchor="_Toc109980602" w:history="1">
            <w:r w:rsidR="007F4708" w:rsidRPr="004A524B">
              <w:rPr>
                <w:rStyle w:val="Hipervnculo"/>
                <w:rFonts w:ascii="Arial" w:hAnsi="Arial" w:cs="Arial"/>
                <w:noProof/>
                <w:lang w:bidi="en-US"/>
              </w:rPr>
              <w:t>b) Información Complementaria</w:t>
            </w:r>
            <w:r w:rsidR="007F4708">
              <w:rPr>
                <w:noProof/>
                <w:webHidden/>
              </w:rPr>
              <w:tab/>
            </w:r>
            <w:r w:rsidR="007F4708">
              <w:rPr>
                <w:noProof/>
                <w:webHidden/>
              </w:rPr>
              <w:fldChar w:fldCharType="begin"/>
            </w:r>
            <w:r w:rsidR="007F4708">
              <w:rPr>
                <w:noProof/>
                <w:webHidden/>
              </w:rPr>
              <w:instrText xml:space="preserve"> PAGEREF _Toc109980602 \h </w:instrText>
            </w:r>
            <w:r w:rsidR="007F4708">
              <w:rPr>
                <w:noProof/>
                <w:webHidden/>
              </w:rPr>
            </w:r>
            <w:r w:rsidR="007F4708">
              <w:rPr>
                <w:noProof/>
                <w:webHidden/>
              </w:rPr>
              <w:fldChar w:fldCharType="separate"/>
            </w:r>
            <w:r w:rsidR="00A5757C">
              <w:rPr>
                <w:noProof/>
                <w:webHidden/>
              </w:rPr>
              <w:t>8</w:t>
            </w:r>
            <w:r w:rsidR="007F4708">
              <w:rPr>
                <w:noProof/>
                <w:webHidden/>
              </w:rPr>
              <w:fldChar w:fldCharType="end"/>
            </w:r>
          </w:hyperlink>
        </w:p>
        <w:p w14:paraId="20114CAC" w14:textId="3E2B118A" w:rsidR="007F4708" w:rsidRDefault="00F72A25">
          <w:pPr>
            <w:pStyle w:val="TDC2"/>
            <w:tabs>
              <w:tab w:val="right" w:leader="dot" w:pos="8921"/>
            </w:tabs>
            <w:rPr>
              <w:rFonts w:eastAsiaTheme="minorEastAsia" w:cstheme="minorBidi"/>
              <w:b w:val="0"/>
              <w:bCs w:val="0"/>
              <w:noProof/>
              <w:lang w:val="es-US" w:eastAsia="es-US"/>
            </w:rPr>
          </w:pPr>
          <w:hyperlink w:anchor="_Toc109980603" w:history="1">
            <w:r w:rsidR="007F4708" w:rsidRPr="004A524B">
              <w:rPr>
                <w:rStyle w:val="Hipervnculo"/>
                <w:rFonts w:ascii="Arial" w:hAnsi="Arial" w:cs="Arial"/>
                <w:noProof/>
              </w:rPr>
              <w:t>4. COMENTARIOS DE INGRESOS</w:t>
            </w:r>
            <w:r w:rsidR="007F4708">
              <w:rPr>
                <w:noProof/>
                <w:webHidden/>
              </w:rPr>
              <w:tab/>
            </w:r>
            <w:r w:rsidR="007F4708">
              <w:rPr>
                <w:noProof/>
                <w:webHidden/>
              </w:rPr>
              <w:fldChar w:fldCharType="begin"/>
            </w:r>
            <w:r w:rsidR="007F4708">
              <w:rPr>
                <w:noProof/>
                <w:webHidden/>
              </w:rPr>
              <w:instrText xml:space="preserve"> PAGEREF _Toc109980603 \h </w:instrText>
            </w:r>
            <w:r w:rsidR="007F4708">
              <w:rPr>
                <w:noProof/>
                <w:webHidden/>
              </w:rPr>
            </w:r>
            <w:r w:rsidR="007F4708">
              <w:rPr>
                <w:noProof/>
                <w:webHidden/>
              </w:rPr>
              <w:fldChar w:fldCharType="separate"/>
            </w:r>
            <w:r w:rsidR="00A5757C">
              <w:rPr>
                <w:noProof/>
                <w:webHidden/>
              </w:rPr>
              <w:t>8</w:t>
            </w:r>
            <w:r w:rsidR="007F4708">
              <w:rPr>
                <w:noProof/>
                <w:webHidden/>
              </w:rPr>
              <w:fldChar w:fldCharType="end"/>
            </w:r>
          </w:hyperlink>
        </w:p>
        <w:p w14:paraId="52B7155C" w14:textId="3A7FA95D" w:rsidR="007F4708" w:rsidRDefault="00F72A25">
          <w:pPr>
            <w:pStyle w:val="TDC2"/>
            <w:tabs>
              <w:tab w:val="right" w:leader="dot" w:pos="8921"/>
            </w:tabs>
            <w:rPr>
              <w:rFonts w:eastAsiaTheme="minorEastAsia" w:cstheme="minorBidi"/>
              <w:b w:val="0"/>
              <w:bCs w:val="0"/>
              <w:noProof/>
              <w:lang w:val="es-US" w:eastAsia="es-US"/>
            </w:rPr>
          </w:pPr>
          <w:hyperlink w:anchor="_Toc109980604" w:history="1">
            <w:r w:rsidR="007F4708" w:rsidRPr="004A524B">
              <w:rPr>
                <w:rStyle w:val="Hipervnculo"/>
                <w:rFonts w:ascii="Arial" w:hAnsi="Arial" w:cs="Arial"/>
                <w:noProof/>
              </w:rPr>
              <w:t>5. COMENTARIOS DE EGRESOS</w:t>
            </w:r>
            <w:r w:rsidR="007F4708">
              <w:rPr>
                <w:noProof/>
                <w:webHidden/>
              </w:rPr>
              <w:tab/>
            </w:r>
            <w:r w:rsidR="007F4708">
              <w:rPr>
                <w:noProof/>
                <w:webHidden/>
              </w:rPr>
              <w:fldChar w:fldCharType="begin"/>
            </w:r>
            <w:r w:rsidR="007F4708">
              <w:rPr>
                <w:noProof/>
                <w:webHidden/>
              </w:rPr>
              <w:instrText xml:space="preserve"> PAGEREF _Toc109980604 \h </w:instrText>
            </w:r>
            <w:r w:rsidR="007F4708">
              <w:rPr>
                <w:noProof/>
                <w:webHidden/>
              </w:rPr>
            </w:r>
            <w:r w:rsidR="007F4708">
              <w:rPr>
                <w:noProof/>
                <w:webHidden/>
              </w:rPr>
              <w:fldChar w:fldCharType="separate"/>
            </w:r>
            <w:r w:rsidR="00A5757C">
              <w:rPr>
                <w:noProof/>
                <w:webHidden/>
              </w:rPr>
              <w:t>11</w:t>
            </w:r>
            <w:r w:rsidR="007F4708">
              <w:rPr>
                <w:noProof/>
                <w:webHidden/>
              </w:rPr>
              <w:fldChar w:fldCharType="end"/>
            </w:r>
          </w:hyperlink>
        </w:p>
        <w:p w14:paraId="54BB5113" w14:textId="30D67765" w:rsidR="007F4708" w:rsidRDefault="00F72A25">
          <w:pPr>
            <w:pStyle w:val="TDC2"/>
            <w:tabs>
              <w:tab w:val="right" w:leader="dot" w:pos="8921"/>
            </w:tabs>
            <w:rPr>
              <w:rFonts w:eastAsiaTheme="minorEastAsia" w:cstheme="minorBidi"/>
              <w:b w:val="0"/>
              <w:bCs w:val="0"/>
              <w:noProof/>
              <w:lang w:val="es-US" w:eastAsia="es-US"/>
            </w:rPr>
          </w:pPr>
          <w:hyperlink w:anchor="_Toc109980605" w:history="1">
            <w:r w:rsidR="007F4708" w:rsidRPr="004A524B">
              <w:rPr>
                <w:rStyle w:val="Hipervnculo"/>
                <w:rFonts w:ascii="Arial" w:hAnsi="Arial" w:cs="Arial"/>
                <w:noProof/>
              </w:rPr>
              <w:t>7. EJECUCION DEL PRESUPUESTO DE EGRESOS POR PROGRAMA</w:t>
            </w:r>
            <w:r w:rsidR="007F4708">
              <w:rPr>
                <w:noProof/>
                <w:webHidden/>
              </w:rPr>
              <w:tab/>
            </w:r>
            <w:r w:rsidR="007F4708">
              <w:rPr>
                <w:noProof/>
                <w:webHidden/>
              </w:rPr>
              <w:fldChar w:fldCharType="begin"/>
            </w:r>
            <w:r w:rsidR="007F4708">
              <w:rPr>
                <w:noProof/>
                <w:webHidden/>
              </w:rPr>
              <w:instrText xml:space="preserve"> PAGEREF _Toc109980605 \h </w:instrText>
            </w:r>
            <w:r w:rsidR="007F4708">
              <w:rPr>
                <w:noProof/>
                <w:webHidden/>
              </w:rPr>
            </w:r>
            <w:r w:rsidR="007F4708">
              <w:rPr>
                <w:noProof/>
                <w:webHidden/>
              </w:rPr>
              <w:fldChar w:fldCharType="separate"/>
            </w:r>
            <w:r w:rsidR="00A5757C">
              <w:rPr>
                <w:noProof/>
                <w:webHidden/>
              </w:rPr>
              <w:t>17</w:t>
            </w:r>
            <w:r w:rsidR="007F4708">
              <w:rPr>
                <w:noProof/>
                <w:webHidden/>
              </w:rPr>
              <w:fldChar w:fldCharType="end"/>
            </w:r>
          </w:hyperlink>
        </w:p>
        <w:p w14:paraId="312219E6" w14:textId="1287D2DE" w:rsidR="007F4708" w:rsidRDefault="00F72A25">
          <w:pPr>
            <w:pStyle w:val="TDC2"/>
            <w:tabs>
              <w:tab w:val="left" w:pos="660"/>
              <w:tab w:val="right" w:leader="dot" w:pos="8921"/>
            </w:tabs>
            <w:rPr>
              <w:rFonts w:eastAsiaTheme="minorEastAsia" w:cstheme="minorBidi"/>
              <w:b w:val="0"/>
              <w:bCs w:val="0"/>
              <w:noProof/>
              <w:lang w:val="es-US" w:eastAsia="es-US"/>
            </w:rPr>
          </w:pPr>
          <w:hyperlink w:anchor="_Toc109980606" w:history="1">
            <w:r w:rsidR="007F4708" w:rsidRPr="004A524B">
              <w:rPr>
                <w:rStyle w:val="Hipervnculo"/>
                <w:rFonts w:ascii="Arial" w:hAnsi="Arial" w:cs="Arial"/>
                <w:noProof/>
              </w:rPr>
              <w:t>8.</w:t>
            </w:r>
            <w:r w:rsidR="007F4708">
              <w:rPr>
                <w:rFonts w:eastAsiaTheme="minorEastAsia" w:cstheme="minorBidi"/>
                <w:b w:val="0"/>
                <w:bCs w:val="0"/>
                <w:noProof/>
                <w:lang w:val="es-US" w:eastAsia="es-US"/>
              </w:rPr>
              <w:tab/>
            </w:r>
            <w:r w:rsidR="007F4708" w:rsidRPr="004A524B">
              <w:rPr>
                <w:rStyle w:val="Hipervnculo"/>
                <w:rFonts w:ascii="Arial" w:hAnsi="Arial" w:cs="Arial"/>
                <w:noProof/>
              </w:rPr>
              <w:t>LIQUIDACION PRESUPUESTARIA</w:t>
            </w:r>
            <w:r w:rsidR="007F4708">
              <w:rPr>
                <w:noProof/>
                <w:webHidden/>
              </w:rPr>
              <w:tab/>
            </w:r>
            <w:r w:rsidR="007F4708">
              <w:rPr>
                <w:noProof/>
                <w:webHidden/>
              </w:rPr>
              <w:fldChar w:fldCharType="begin"/>
            </w:r>
            <w:r w:rsidR="007F4708">
              <w:rPr>
                <w:noProof/>
                <w:webHidden/>
              </w:rPr>
              <w:instrText xml:space="preserve"> PAGEREF _Toc109980606 \h </w:instrText>
            </w:r>
            <w:r w:rsidR="007F4708">
              <w:rPr>
                <w:noProof/>
                <w:webHidden/>
              </w:rPr>
            </w:r>
            <w:r w:rsidR="007F4708">
              <w:rPr>
                <w:noProof/>
                <w:webHidden/>
              </w:rPr>
              <w:fldChar w:fldCharType="separate"/>
            </w:r>
            <w:r w:rsidR="00A5757C">
              <w:rPr>
                <w:noProof/>
                <w:webHidden/>
              </w:rPr>
              <w:t>17</w:t>
            </w:r>
            <w:r w:rsidR="007F4708">
              <w:rPr>
                <w:noProof/>
                <w:webHidden/>
              </w:rPr>
              <w:fldChar w:fldCharType="end"/>
            </w:r>
          </w:hyperlink>
        </w:p>
        <w:p w14:paraId="044857C9" w14:textId="4E0BF9C1" w:rsidR="007F4708" w:rsidRDefault="00F72A25">
          <w:pPr>
            <w:pStyle w:val="TDC2"/>
            <w:tabs>
              <w:tab w:val="right" w:leader="dot" w:pos="8921"/>
            </w:tabs>
            <w:rPr>
              <w:rFonts w:eastAsiaTheme="minorEastAsia" w:cstheme="minorBidi"/>
              <w:b w:val="0"/>
              <w:bCs w:val="0"/>
              <w:noProof/>
              <w:lang w:val="es-US" w:eastAsia="es-US"/>
            </w:rPr>
          </w:pPr>
          <w:hyperlink w:anchor="_Toc109980607" w:history="1">
            <w:r w:rsidR="007F4708" w:rsidRPr="004A524B">
              <w:rPr>
                <w:rStyle w:val="Hipervnculo"/>
                <w:rFonts w:ascii="Arial" w:hAnsi="Arial" w:cs="Arial"/>
                <w:noProof/>
              </w:rPr>
              <w:t>9. Evaluación</w:t>
            </w:r>
            <w:r w:rsidR="007F4708" w:rsidRPr="004A524B">
              <w:rPr>
                <w:rStyle w:val="Hipervnculo"/>
                <w:rFonts w:ascii="Arial" w:eastAsia="Times New Roman" w:hAnsi="Arial" w:cs="Arial"/>
                <w:noProof/>
                <w:lang w:eastAsia="es-CR"/>
              </w:rPr>
              <w:t xml:space="preserve"> de los resultados</w:t>
            </w:r>
            <w:r w:rsidR="007F4708">
              <w:rPr>
                <w:noProof/>
                <w:webHidden/>
              </w:rPr>
              <w:tab/>
            </w:r>
            <w:r w:rsidR="007F4708">
              <w:rPr>
                <w:noProof/>
                <w:webHidden/>
              </w:rPr>
              <w:fldChar w:fldCharType="begin"/>
            </w:r>
            <w:r w:rsidR="007F4708">
              <w:rPr>
                <w:noProof/>
                <w:webHidden/>
              </w:rPr>
              <w:instrText xml:space="preserve"> PAGEREF _Toc109980607 \h </w:instrText>
            </w:r>
            <w:r w:rsidR="007F4708">
              <w:rPr>
                <w:noProof/>
                <w:webHidden/>
              </w:rPr>
            </w:r>
            <w:r w:rsidR="007F4708">
              <w:rPr>
                <w:noProof/>
                <w:webHidden/>
              </w:rPr>
              <w:fldChar w:fldCharType="separate"/>
            </w:r>
            <w:r w:rsidR="00A5757C">
              <w:rPr>
                <w:noProof/>
                <w:webHidden/>
              </w:rPr>
              <w:t>18</w:t>
            </w:r>
            <w:r w:rsidR="007F4708">
              <w:rPr>
                <w:noProof/>
                <w:webHidden/>
              </w:rPr>
              <w:fldChar w:fldCharType="end"/>
            </w:r>
          </w:hyperlink>
        </w:p>
        <w:p w14:paraId="665C7B94" w14:textId="1205723F" w:rsidR="007F4708" w:rsidRDefault="00F72A25">
          <w:pPr>
            <w:pStyle w:val="TDC2"/>
            <w:tabs>
              <w:tab w:val="right" w:leader="dot" w:pos="8921"/>
            </w:tabs>
            <w:rPr>
              <w:rFonts w:eastAsiaTheme="minorEastAsia" w:cstheme="minorBidi"/>
              <w:b w:val="0"/>
              <w:bCs w:val="0"/>
              <w:noProof/>
              <w:lang w:val="es-US" w:eastAsia="es-US"/>
            </w:rPr>
          </w:pPr>
          <w:hyperlink w:anchor="_Toc109980608" w:history="1">
            <w:r w:rsidR="007F4708" w:rsidRPr="004A524B">
              <w:rPr>
                <w:rStyle w:val="Hipervnculo"/>
                <w:rFonts w:ascii="Arial" w:hAnsi="Arial" w:cs="Arial"/>
                <w:noProof/>
              </w:rPr>
              <w:t>9.1 Avance en el cumplimiento de objetivos y metas</w:t>
            </w:r>
            <w:r w:rsidR="007F4708">
              <w:rPr>
                <w:noProof/>
                <w:webHidden/>
              </w:rPr>
              <w:tab/>
            </w:r>
            <w:r w:rsidR="007F4708">
              <w:rPr>
                <w:noProof/>
                <w:webHidden/>
              </w:rPr>
              <w:fldChar w:fldCharType="begin"/>
            </w:r>
            <w:r w:rsidR="007F4708">
              <w:rPr>
                <w:noProof/>
                <w:webHidden/>
              </w:rPr>
              <w:instrText xml:space="preserve"> PAGEREF _Toc109980608 \h </w:instrText>
            </w:r>
            <w:r w:rsidR="007F4708">
              <w:rPr>
                <w:noProof/>
                <w:webHidden/>
              </w:rPr>
            </w:r>
            <w:r w:rsidR="007F4708">
              <w:rPr>
                <w:noProof/>
                <w:webHidden/>
              </w:rPr>
              <w:fldChar w:fldCharType="separate"/>
            </w:r>
            <w:r w:rsidR="00A5757C">
              <w:rPr>
                <w:noProof/>
                <w:webHidden/>
              </w:rPr>
              <w:t>18</w:t>
            </w:r>
            <w:r w:rsidR="007F4708">
              <w:rPr>
                <w:noProof/>
                <w:webHidden/>
              </w:rPr>
              <w:fldChar w:fldCharType="end"/>
            </w:r>
          </w:hyperlink>
        </w:p>
        <w:p w14:paraId="04FDDA80" w14:textId="767B059B" w:rsidR="007F4708" w:rsidRDefault="00F72A25">
          <w:pPr>
            <w:pStyle w:val="TDC2"/>
            <w:tabs>
              <w:tab w:val="right" w:leader="dot" w:pos="8921"/>
            </w:tabs>
            <w:rPr>
              <w:rFonts w:eastAsiaTheme="minorEastAsia" w:cstheme="minorBidi"/>
              <w:b w:val="0"/>
              <w:bCs w:val="0"/>
              <w:noProof/>
              <w:lang w:val="es-US" w:eastAsia="es-US"/>
            </w:rPr>
          </w:pPr>
          <w:hyperlink w:anchor="_Toc109980609" w:history="1">
            <w:r w:rsidR="007F4708" w:rsidRPr="004A524B">
              <w:rPr>
                <w:rStyle w:val="Hipervnculo"/>
                <w:rFonts w:ascii="Arial" w:hAnsi="Arial" w:cs="Arial"/>
                <w:noProof/>
              </w:rPr>
              <w:t>9.2 Desviaciones de mayor relevancia</w:t>
            </w:r>
            <w:r w:rsidR="007F4708">
              <w:rPr>
                <w:noProof/>
                <w:webHidden/>
              </w:rPr>
              <w:tab/>
            </w:r>
            <w:r w:rsidR="007F4708">
              <w:rPr>
                <w:noProof/>
                <w:webHidden/>
              </w:rPr>
              <w:fldChar w:fldCharType="begin"/>
            </w:r>
            <w:r w:rsidR="007F4708">
              <w:rPr>
                <w:noProof/>
                <w:webHidden/>
              </w:rPr>
              <w:instrText xml:space="preserve"> PAGEREF _Toc109980609 \h </w:instrText>
            </w:r>
            <w:r w:rsidR="007F4708">
              <w:rPr>
                <w:noProof/>
                <w:webHidden/>
              </w:rPr>
            </w:r>
            <w:r w:rsidR="007F4708">
              <w:rPr>
                <w:noProof/>
                <w:webHidden/>
              </w:rPr>
              <w:fldChar w:fldCharType="separate"/>
            </w:r>
            <w:r w:rsidR="00A5757C">
              <w:rPr>
                <w:noProof/>
                <w:webHidden/>
              </w:rPr>
              <w:t>21</w:t>
            </w:r>
            <w:r w:rsidR="007F4708">
              <w:rPr>
                <w:noProof/>
                <w:webHidden/>
              </w:rPr>
              <w:fldChar w:fldCharType="end"/>
            </w:r>
          </w:hyperlink>
        </w:p>
        <w:p w14:paraId="19B40C09" w14:textId="6D1EE779" w:rsidR="007F4708" w:rsidRDefault="00F72A25">
          <w:pPr>
            <w:pStyle w:val="TDC2"/>
            <w:tabs>
              <w:tab w:val="right" w:leader="dot" w:pos="8921"/>
            </w:tabs>
            <w:rPr>
              <w:rFonts w:eastAsiaTheme="minorEastAsia" w:cstheme="minorBidi"/>
              <w:b w:val="0"/>
              <w:bCs w:val="0"/>
              <w:noProof/>
              <w:lang w:val="es-US" w:eastAsia="es-US"/>
            </w:rPr>
          </w:pPr>
          <w:hyperlink w:anchor="_Toc109980610" w:history="1">
            <w:r w:rsidR="007F4708" w:rsidRPr="004A524B">
              <w:rPr>
                <w:rStyle w:val="Hipervnculo"/>
                <w:rFonts w:ascii="Arial" w:hAnsi="Arial" w:cs="Arial"/>
                <w:noProof/>
              </w:rPr>
              <w:t>9.3 Análisis del desempeño institucional</w:t>
            </w:r>
            <w:r w:rsidR="007F4708">
              <w:rPr>
                <w:noProof/>
                <w:webHidden/>
              </w:rPr>
              <w:tab/>
            </w:r>
            <w:r w:rsidR="007F4708">
              <w:rPr>
                <w:noProof/>
                <w:webHidden/>
              </w:rPr>
              <w:fldChar w:fldCharType="begin"/>
            </w:r>
            <w:r w:rsidR="007F4708">
              <w:rPr>
                <w:noProof/>
                <w:webHidden/>
              </w:rPr>
              <w:instrText xml:space="preserve"> PAGEREF _Toc109980610 \h </w:instrText>
            </w:r>
            <w:r w:rsidR="007F4708">
              <w:rPr>
                <w:noProof/>
                <w:webHidden/>
              </w:rPr>
            </w:r>
            <w:r w:rsidR="007F4708">
              <w:rPr>
                <w:noProof/>
                <w:webHidden/>
              </w:rPr>
              <w:fldChar w:fldCharType="separate"/>
            </w:r>
            <w:r w:rsidR="00A5757C">
              <w:rPr>
                <w:noProof/>
                <w:webHidden/>
              </w:rPr>
              <w:t>22</w:t>
            </w:r>
            <w:r w:rsidR="007F4708">
              <w:rPr>
                <w:noProof/>
                <w:webHidden/>
              </w:rPr>
              <w:fldChar w:fldCharType="end"/>
            </w:r>
          </w:hyperlink>
        </w:p>
        <w:p w14:paraId="2B3E7D34" w14:textId="6654883B" w:rsidR="007F4708" w:rsidRDefault="00F72A25">
          <w:pPr>
            <w:pStyle w:val="TDC2"/>
            <w:tabs>
              <w:tab w:val="right" w:leader="dot" w:pos="8921"/>
            </w:tabs>
            <w:rPr>
              <w:rFonts w:eastAsiaTheme="minorEastAsia" w:cstheme="minorBidi"/>
              <w:b w:val="0"/>
              <w:bCs w:val="0"/>
              <w:noProof/>
              <w:lang w:val="es-US" w:eastAsia="es-US"/>
            </w:rPr>
          </w:pPr>
          <w:hyperlink w:anchor="_Toc109980611" w:history="1">
            <w:r w:rsidR="007F4708" w:rsidRPr="004A524B">
              <w:rPr>
                <w:rStyle w:val="Hipervnculo"/>
                <w:rFonts w:ascii="Arial" w:hAnsi="Arial" w:cs="Arial"/>
                <w:noProof/>
              </w:rPr>
              <w:t>9.4 Medidas correctivas</w:t>
            </w:r>
            <w:r w:rsidR="007F4708">
              <w:rPr>
                <w:noProof/>
                <w:webHidden/>
              </w:rPr>
              <w:tab/>
            </w:r>
            <w:r w:rsidR="007F4708">
              <w:rPr>
                <w:noProof/>
                <w:webHidden/>
              </w:rPr>
              <w:fldChar w:fldCharType="begin"/>
            </w:r>
            <w:r w:rsidR="007F4708">
              <w:rPr>
                <w:noProof/>
                <w:webHidden/>
              </w:rPr>
              <w:instrText xml:space="preserve"> PAGEREF _Toc109980611 \h </w:instrText>
            </w:r>
            <w:r w:rsidR="007F4708">
              <w:rPr>
                <w:noProof/>
                <w:webHidden/>
              </w:rPr>
            </w:r>
            <w:r w:rsidR="007F4708">
              <w:rPr>
                <w:noProof/>
                <w:webHidden/>
              </w:rPr>
              <w:fldChar w:fldCharType="separate"/>
            </w:r>
            <w:r w:rsidR="00A5757C">
              <w:rPr>
                <w:noProof/>
                <w:webHidden/>
              </w:rPr>
              <w:t>22</w:t>
            </w:r>
            <w:r w:rsidR="007F4708">
              <w:rPr>
                <w:noProof/>
                <w:webHidden/>
              </w:rPr>
              <w:fldChar w:fldCharType="end"/>
            </w:r>
          </w:hyperlink>
        </w:p>
        <w:p w14:paraId="1D59D66B" w14:textId="1755F5C1" w:rsidR="00B77BF4" w:rsidRDefault="0020039E">
          <w:r>
            <w:rPr>
              <w:b/>
              <w:bCs/>
              <w:lang w:val="es-ES"/>
            </w:rPr>
            <w:fldChar w:fldCharType="end"/>
          </w:r>
        </w:p>
      </w:sdtContent>
    </w:sdt>
    <w:p w14:paraId="1A838BA8" w14:textId="77777777" w:rsidR="0064010E" w:rsidRDefault="0064010E" w:rsidP="0064010E">
      <w:pPr>
        <w:spacing w:line="240" w:lineRule="auto"/>
        <w:jc w:val="both"/>
        <w:rPr>
          <w:rFonts w:ascii="Arial" w:hAnsi="Arial" w:cs="Arial"/>
          <w:b/>
          <w:noProof/>
          <w:lang w:eastAsia="es-CR"/>
        </w:rPr>
      </w:pPr>
    </w:p>
    <w:p w14:paraId="43917C21" w14:textId="77777777" w:rsidR="001B61A5" w:rsidRDefault="001B61A5" w:rsidP="0064010E">
      <w:pPr>
        <w:spacing w:line="240" w:lineRule="auto"/>
        <w:jc w:val="both"/>
        <w:rPr>
          <w:rFonts w:ascii="Arial" w:hAnsi="Arial" w:cs="Arial"/>
          <w:b/>
          <w:noProof/>
          <w:lang w:eastAsia="es-CR"/>
        </w:rPr>
      </w:pPr>
    </w:p>
    <w:p w14:paraId="3F53DE7F" w14:textId="77777777" w:rsidR="001B61A5" w:rsidRDefault="001B61A5" w:rsidP="0064010E">
      <w:pPr>
        <w:spacing w:line="240" w:lineRule="auto"/>
        <w:jc w:val="both"/>
        <w:rPr>
          <w:rFonts w:ascii="Arial" w:hAnsi="Arial" w:cs="Arial"/>
          <w:b/>
          <w:noProof/>
          <w:lang w:eastAsia="es-CR"/>
        </w:rPr>
      </w:pPr>
    </w:p>
    <w:p w14:paraId="0F8B862E" w14:textId="77777777" w:rsidR="004D6CB4" w:rsidRDefault="004D6CB4" w:rsidP="00CA7ADD">
      <w:pPr>
        <w:spacing w:line="240" w:lineRule="auto"/>
        <w:rPr>
          <w:rFonts w:ascii="Arial" w:hAnsi="Arial" w:cs="Arial"/>
          <w:b/>
          <w:noProof/>
          <w:highlight w:val="yellow"/>
          <w:lang w:eastAsia="es-CR"/>
        </w:rPr>
      </w:pPr>
    </w:p>
    <w:p w14:paraId="76A75698" w14:textId="77777777" w:rsidR="004D6CB4" w:rsidRDefault="004D6CB4">
      <w:pPr>
        <w:rPr>
          <w:rFonts w:ascii="Arial" w:hAnsi="Arial" w:cs="Arial"/>
          <w:b/>
          <w:noProof/>
          <w:highlight w:val="yellow"/>
          <w:lang w:eastAsia="es-CR"/>
        </w:rPr>
      </w:pPr>
      <w:r>
        <w:rPr>
          <w:rFonts w:ascii="Arial" w:hAnsi="Arial" w:cs="Arial"/>
          <w:b/>
          <w:noProof/>
          <w:highlight w:val="yellow"/>
          <w:lang w:eastAsia="es-CR"/>
        </w:rPr>
        <w:br w:type="page"/>
      </w:r>
    </w:p>
    <w:p w14:paraId="0485D9A5" w14:textId="2872A2CB" w:rsidR="004C0F2B" w:rsidRDefault="004E59E5" w:rsidP="00846C93">
      <w:pPr>
        <w:spacing w:line="240" w:lineRule="auto"/>
        <w:jc w:val="center"/>
        <w:rPr>
          <w:noProof/>
          <w:lang w:val="es-MX" w:eastAsia="es-MX"/>
        </w:rPr>
      </w:pPr>
      <w:r>
        <w:rPr>
          <w:noProof/>
          <w:lang w:val="es-MX" w:eastAsia="es-MX"/>
        </w:rPr>
        <w:lastRenderedPageBreak/>
        <w:drawing>
          <wp:anchor distT="0" distB="0" distL="114300" distR="114300" simplePos="0" relativeHeight="251665408" behindDoc="1" locked="0" layoutInCell="1" allowOverlap="1" wp14:anchorId="4916644D" wp14:editId="68536FF7">
            <wp:simplePos x="0" y="0"/>
            <wp:positionH relativeFrom="column">
              <wp:posOffset>-289560</wp:posOffset>
            </wp:positionH>
            <wp:positionV relativeFrom="paragraph">
              <wp:posOffset>11430</wp:posOffset>
            </wp:positionV>
            <wp:extent cx="6271260" cy="811591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F-DFC-OF-295-2022_page-0001.jpg"/>
                    <pic:cNvPicPr/>
                  </pic:nvPicPr>
                  <pic:blipFill>
                    <a:blip r:embed="rId13">
                      <a:extLst>
                        <a:ext uri="{28A0092B-C50C-407E-A947-70E740481C1C}">
                          <a14:useLocalDpi xmlns:a14="http://schemas.microsoft.com/office/drawing/2010/main" val="0"/>
                        </a:ext>
                      </a:extLst>
                    </a:blip>
                    <a:stretch>
                      <a:fillRect/>
                    </a:stretch>
                  </pic:blipFill>
                  <pic:spPr>
                    <a:xfrm>
                      <a:off x="0" y="0"/>
                      <a:ext cx="6271260" cy="8115913"/>
                    </a:xfrm>
                    <a:prstGeom prst="rect">
                      <a:avLst/>
                    </a:prstGeom>
                  </pic:spPr>
                </pic:pic>
              </a:graphicData>
            </a:graphic>
          </wp:anchor>
        </w:drawing>
      </w:r>
    </w:p>
    <w:p w14:paraId="4770FCD5" w14:textId="1701504F" w:rsidR="0071138D" w:rsidRDefault="0071138D" w:rsidP="004E59E5">
      <w:pPr>
        <w:jc w:val="center"/>
        <w:rPr>
          <w:noProof/>
          <w:lang w:eastAsia="es-CR"/>
        </w:rPr>
      </w:pPr>
      <w:r>
        <w:rPr>
          <w:noProof/>
          <w:lang w:eastAsia="es-CR"/>
        </w:rPr>
        <w:br w:type="page"/>
      </w:r>
    </w:p>
    <w:p w14:paraId="4A880A43" w14:textId="44087EBE" w:rsidR="00ED5DED" w:rsidRDefault="00ED5DED" w:rsidP="00ED5DED">
      <w:pPr>
        <w:pStyle w:val="Ttulo2"/>
        <w:spacing w:before="0" w:line="360" w:lineRule="auto"/>
        <w:ind w:left="720"/>
        <w:jc w:val="both"/>
        <w:rPr>
          <w:rFonts w:ascii="Arial" w:hAnsi="Arial" w:cs="Arial"/>
          <w:color w:val="auto"/>
          <w:sz w:val="24"/>
          <w:szCs w:val="24"/>
        </w:rPr>
      </w:pPr>
    </w:p>
    <w:p w14:paraId="14F32A66" w14:textId="77777777" w:rsidR="00824019" w:rsidRPr="00824019" w:rsidRDefault="00824019" w:rsidP="00824019"/>
    <w:p w14:paraId="422296D0" w14:textId="29FF846D" w:rsidR="00F908BE" w:rsidRPr="0071138D" w:rsidRDefault="00F908BE" w:rsidP="0071138D">
      <w:pPr>
        <w:pStyle w:val="Ttulo2"/>
        <w:numPr>
          <w:ilvl w:val="0"/>
          <w:numId w:val="5"/>
        </w:numPr>
        <w:spacing w:before="0" w:line="360" w:lineRule="auto"/>
        <w:jc w:val="both"/>
        <w:rPr>
          <w:rFonts w:ascii="Arial" w:hAnsi="Arial" w:cs="Arial"/>
          <w:color w:val="auto"/>
          <w:sz w:val="24"/>
          <w:szCs w:val="24"/>
        </w:rPr>
      </w:pPr>
      <w:bookmarkStart w:id="1" w:name="_Toc109980591"/>
      <w:r w:rsidRPr="0071138D">
        <w:rPr>
          <w:rFonts w:ascii="Arial" w:hAnsi="Arial" w:cs="Arial"/>
          <w:color w:val="auto"/>
          <w:sz w:val="24"/>
          <w:szCs w:val="24"/>
        </w:rPr>
        <w:t>MARCO GENERAL</w:t>
      </w:r>
      <w:bookmarkEnd w:id="1"/>
      <w:r w:rsidRPr="0071138D">
        <w:rPr>
          <w:rFonts w:ascii="Arial" w:hAnsi="Arial" w:cs="Arial"/>
          <w:color w:val="auto"/>
          <w:sz w:val="24"/>
          <w:szCs w:val="24"/>
        </w:rPr>
        <w:t xml:space="preserve"> </w:t>
      </w:r>
    </w:p>
    <w:p w14:paraId="33811C21" w14:textId="7CC5A3C8" w:rsidR="00F908BE" w:rsidRDefault="00F908BE" w:rsidP="0071138D">
      <w:pPr>
        <w:pStyle w:val="Ttulo2"/>
        <w:numPr>
          <w:ilvl w:val="1"/>
          <w:numId w:val="21"/>
        </w:numPr>
        <w:spacing w:before="0" w:line="360" w:lineRule="auto"/>
        <w:jc w:val="both"/>
        <w:rPr>
          <w:rFonts w:ascii="Arial" w:hAnsi="Arial" w:cs="Arial"/>
          <w:color w:val="auto"/>
          <w:sz w:val="24"/>
          <w:szCs w:val="24"/>
        </w:rPr>
      </w:pPr>
      <w:bookmarkStart w:id="2" w:name="_Toc109980592"/>
      <w:r w:rsidRPr="0071138D">
        <w:rPr>
          <w:rFonts w:ascii="Arial" w:hAnsi="Arial" w:cs="Arial"/>
          <w:color w:val="auto"/>
          <w:sz w:val="24"/>
          <w:szCs w:val="24"/>
        </w:rPr>
        <w:t>Marco Jurídico del Fideicomiso 544 FONAFIFO / BNCR</w:t>
      </w:r>
      <w:bookmarkEnd w:id="2"/>
    </w:p>
    <w:p w14:paraId="45292059" w14:textId="77777777" w:rsidR="0071138D" w:rsidRPr="0071138D" w:rsidRDefault="0071138D" w:rsidP="0071138D">
      <w:pPr>
        <w:spacing w:after="0" w:line="360" w:lineRule="auto"/>
      </w:pPr>
    </w:p>
    <w:p w14:paraId="02909D6C" w14:textId="00F3F9A7" w:rsidR="00A82E7E" w:rsidRDefault="00F908BE" w:rsidP="00452713">
      <w:pPr>
        <w:pStyle w:val="NormalWeb"/>
        <w:spacing w:before="0" w:beforeAutospacing="0" w:line="276" w:lineRule="auto"/>
        <w:jc w:val="both"/>
        <w:rPr>
          <w:rFonts w:ascii="Arial" w:hAnsi="Arial" w:cs="Arial"/>
        </w:rPr>
      </w:pPr>
      <w:r w:rsidRPr="0071138D">
        <w:rPr>
          <w:rFonts w:ascii="Arial" w:hAnsi="Arial" w:cs="Arial"/>
        </w:rPr>
        <w:t>Este fideicomiso está amparado en la actual Ley Forestal N° 7575, en su artículo 49</w:t>
      </w:r>
      <w:r w:rsidR="00A82E7E">
        <w:rPr>
          <w:rFonts w:ascii="Arial" w:hAnsi="Arial" w:cs="Arial"/>
        </w:rPr>
        <w:t>, el cual indica:</w:t>
      </w:r>
    </w:p>
    <w:p w14:paraId="52BA93AB" w14:textId="77777777" w:rsidR="00A82E7E" w:rsidRPr="003A0494" w:rsidRDefault="00A82E7E" w:rsidP="00A82E7E">
      <w:pPr>
        <w:pStyle w:val="Prrafodelista"/>
        <w:autoSpaceDE w:val="0"/>
        <w:autoSpaceDN w:val="0"/>
        <w:adjustRightInd w:val="0"/>
        <w:jc w:val="both"/>
        <w:rPr>
          <w:rFonts w:ascii="Arial" w:eastAsiaTheme="minorHAnsi" w:hAnsi="Arial" w:cs="Arial"/>
          <w:color w:val="000000"/>
          <w:sz w:val="23"/>
          <w:szCs w:val="23"/>
        </w:rPr>
      </w:pPr>
      <w:r w:rsidRPr="003A0494">
        <w:rPr>
          <w:rFonts w:ascii="Arial" w:eastAsiaTheme="minorHAnsi" w:hAnsi="Arial" w:cs="Arial"/>
          <w:color w:val="000000"/>
          <w:sz w:val="23"/>
          <w:szCs w:val="23"/>
        </w:rPr>
        <w:t>“</w:t>
      </w:r>
      <w:r w:rsidRPr="003A0494">
        <w:rPr>
          <w:rFonts w:ascii="Arial" w:eastAsiaTheme="minorHAnsi" w:hAnsi="Arial" w:cs="Arial"/>
          <w:i/>
          <w:color w:val="000000"/>
          <w:sz w:val="23"/>
          <w:szCs w:val="23"/>
        </w:rPr>
        <w:t>El Fondo Nacional de Financiamiento Forestal queda autorizado para realizar cualquier negocio jurídico no especulativo, requerido para la debida administración de los recursos de su patrimonio, incluyendo la constitución de fideicomisos. La administración financiera y contable del Fondo podrá ser contratada a uno o varios de los bancos estatales del Sistema Bancario Nacional y con bancos cooperativos…”</w:t>
      </w:r>
      <w:r w:rsidRPr="003A0494">
        <w:rPr>
          <w:rFonts w:ascii="Arial" w:eastAsiaTheme="minorHAnsi" w:hAnsi="Arial" w:cs="Arial"/>
          <w:color w:val="000000"/>
          <w:sz w:val="23"/>
          <w:szCs w:val="23"/>
        </w:rPr>
        <w:t xml:space="preserve"> </w:t>
      </w:r>
    </w:p>
    <w:p w14:paraId="1D54CA4E" w14:textId="77777777" w:rsidR="001361B0" w:rsidRPr="008010AE" w:rsidRDefault="001361B0" w:rsidP="00452713">
      <w:pPr>
        <w:pStyle w:val="NormalWeb"/>
        <w:spacing w:before="0" w:beforeAutospacing="0" w:line="276" w:lineRule="auto"/>
        <w:jc w:val="both"/>
        <w:rPr>
          <w:rFonts w:ascii="Arial" w:hAnsi="Arial" w:cs="Arial"/>
        </w:rPr>
      </w:pPr>
      <w:r w:rsidRPr="001361B0">
        <w:rPr>
          <w:rFonts w:ascii="Arial" w:hAnsi="Arial" w:cs="Arial"/>
        </w:rPr>
        <w:t xml:space="preserve">Así como el capítulo doceavo del Código de Comercio (artículo 633 y siguientes). </w:t>
      </w:r>
      <w:r>
        <w:rPr>
          <w:rFonts w:ascii="Arial" w:hAnsi="Arial" w:cs="Arial"/>
        </w:rPr>
        <w:t xml:space="preserve">A este fideicomiso </w:t>
      </w:r>
      <w:r w:rsidRPr="008010AE">
        <w:rPr>
          <w:rFonts w:ascii="Arial" w:hAnsi="Arial" w:cs="Arial"/>
        </w:rPr>
        <w:t>se destinan los recursos proveniente</w:t>
      </w:r>
      <w:r>
        <w:rPr>
          <w:rFonts w:ascii="Arial" w:hAnsi="Arial" w:cs="Arial"/>
        </w:rPr>
        <w:t>s al 40% del impuesto forestal,</w:t>
      </w:r>
      <w:r w:rsidRPr="008010AE">
        <w:rPr>
          <w:rFonts w:ascii="Arial" w:hAnsi="Arial" w:cs="Arial"/>
        </w:rPr>
        <w:t xml:space="preserve"> los recursos para el Pago de Servicios Ambientales, así como otros recursos que pueda captar Fonafifo, todo ello </w:t>
      </w:r>
      <w:r>
        <w:rPr>
          <w:rFonts w:ascii="Arial" w:hAnsi="Arial" w:cs="Arial"/>
        </w:rPr>
        <w:t xml:space="preserve">según la facultad establecida en el </w:t>
      </w:r>
      <w:r w:rsidRPr="008010AE">
        <w:rPr>
          <w:rFonts w:ascii="Arial" w:hAnsi="Arial" w:cs="Arial"/>
        </w:rPr>
        <w:t>artículo 47 de la Ley</w:t>
      </w:r>
      <w:r>
        <w:rPr>
          <w:rFonts w:ascii="Arial" w:hAnsi="Arial" w:cs="Arial"/>
        </w:rPr>
        <w:t xml:space="preserve"> 7575</w:t>
      </w:r>
      <w:r w:rsidRPr="008010AE">
        <w:rPr>
          <w:rFonts w:ascii="Arial" w:hAnsi="Arial" w:cs="Arial"/>
        </w:rPr>
        <w:t>.</w:t>
      </w:r>
    </w:p>
    <w:p w14:paraId="3F9FB33A" w14:textId="77777777" w:rsidR="00F908BE" w:rsidRPr="0071138D" w:rsidRDefault="00F908BE" w:rsidP="0071138D">
      <w:pPr>
        <w:pStyle w:val="Ttulo2"/>
        <w:spacing w:line="360" w:lineRule="auto"/>
        <w:jc w:val="both"/>
        <w:rPr>
          <w:rFonts w:ascii="Arial" w:hAnsi="Arial" w:cs="Arial"/>
          <w:color w:val="auto"/>
          <w:sz w:val="24"/>
          <w:szCs w:val="24"/>
        </w:rPr>
      </w:pPr>
      <w:bookmarkStart w:id="3" w:name="_Toc109980593"/>
      <w:r w:rsidRPr="0071138D">
        <w:rPr>
          <w:rFonts w:ascii="Arial" w:hAnsi="Arial" w:cs="Arial"/>
          <w:color w:val="auto"/>
          <w:sz w:val="24"/>
          <w:szCs w:val="24"/>
        </w:rPr>
        <w:t>1.2 Finalidades del fideicomiso 544 Fonafifo / BNCR</w:t>
      </w:r>
      <w:bookmarkEnd w:id="3"/>
    </w:p>
    <w:p w14:paraId="0C880F24" w14:textId="77777777" w:rsidR="00F908BE" w:rsidRPr="0071138D" w:rsidRDefault="00F908BE" w:rsidP="00452713">
      <w:pPr>
        <w:pStyle w:val="NormalWeb"/>
        <w:spacing w:line="276" w:lineRule="auto"/>
        <w:jc w:val="both"/>
        <w:rPr>
          <w:rFonts w:ascii="Arial" w:hAnsi="Arial" w:cs="Arial"/>
        </w:rPr>
      </w:pPr>
      <w:r w:rsidRPr="0071138D">
        <w:rPr>
          <w:rFonts w:ascii="Arial" w:hAnsi="Arial" w:cs="Arial"/>
        </w:rPr>
        <w:t>El propósito del presente fideicomiso es administrar recursos del FONAFIFO con el fin de:</w:t>
      </w:r>
    </w:p>
    <w:p w14:paraId="7B73ACFE" w14:textId="370B6010" w:rsidR="009E3471" w:rsidRPr="009E3471" w:rsidRDefault="004C0F2B" w:rsidP="00452713">
      <w:pPr>
        <w:pStyle w:val="NormalWeb"/>
        <w:numPr>
          <w:ilvl w:val="0"/>
          <w:numId w:val="13"/>
        </w:numPr>
        <w:spacing w:line="276" w:lineRule="auto"/>
        <w:jc w:val="both"/>
        <w:rPr>
          <w:rFonts w:ascii="Arial" w:hAnsi="Arial" w:cs="Arial"/>
        </w:rPr>
      </w:pPr>
      <w:r w:rsidRPr="0071138D">
        <w:rPr>
          <w:rFonts w:ascii="Arial" w:hAnsi="Arial" w:cs="Arial"/>
        </w:rPr>
        <w:t>Invertir para beneficio de los productores, mediante créditos u otros mecanismos de fomento al manejo del bosque, intervenido o no, los procesos de forestación, reforestación, sistemas agroforestales, recuperación de áreas denudadas y los cambios tecnológicos en aprovechamiento e industrialización de los recursos forestales.</w:t>
      </w:r>
    </w:p>
    <w:p w14:paraId="5F6F65C0" w14:textId="77777777" w:rsidR="004C0F2B" w:rsidRPr="0071138D" w:rsidRDefault="004C0F2B" w:rsidP="00452713">
      <w:pPr>
        <w:pStyle w:val="NormalWeb"/>
        <w:numPr>
          <w:ilvl w:val="0"/>
          <w:numId w:val="13"/>
        </w:numPr>
        <w:spacing w:line="276" w:lineRule="auto"/>
        <w:jc w:val="both"/>
        <w:rPr>
          <w:rFonts w:ascii="Arial" w:hAnsi="Arial" w:cs="Arial"/>
        </w:rPr>
      </w:pPr>
      <w:r w:rsidRPr="0071138D">
        <w:rPr>
          <w:rFonts w:ascii="Arial" w:hAnsi="Arial" w:cs="Arial"/>
        </w:rPr>
        <w:t xml:space="preserve">Captar financiamiento para el Pago de Servicios Ambientales, que brindan los bosques, las plantaciones forestales y otras actividades necesarias para fortalecer el desarrollo del sector de recursos naturales.  </w:t>
      </w:r>
    </w:p>
    <w:p w14:paraId="763B4B50" w14:textId="77777777" w:rsidR="001361B0" w:rsidRDefault="004C0F2B" w:rsidP="00452713">
      <w:pPr>
        <w:pStyle w:val="NormalWeb"/>
        <w:numPr>
          <w:ilvl w:val="0"/>
          <w:numId w:val="13"/>
        </w:numPr>
        <w:spacing w:line="276" w:lineRule="auto"/>
        <w:ind w:left="1068"/>
        <w:jc w:val="both"/>
        <w:rPr>
          <w:rFonts w:ascii="Arial" w:hAnsi="Arial" w:cs="Arial"/>
        </w:rPr>
      </w:pPr>
      <w:r w:rsidRPr="001361B0">
        <w:rPr>
          <w:rFonts w:ascii="Arial" w:hAnsi="Arial" w:cs="Arial"/>
        </w:rPr>
        <w:t>Otorgar avales para transacciones financieras, que complementen los recursos necesarios para ejecutar los programas del Fondo Nacional de Financiamiento Forestal que ejecute.</w:t>
      </w:r>
    </w:p>
    <w:p w14:paraId="3A8E46DD" w14:textId="6C809381" w:rsidR="001361B0" w:rsidRPr="001361B0" w:rsidRDefault="004C0F2B" w:rsidP="00452713">
      <w:pPr>
        <w:pStyle w:val="NormalWeb"/>
        <w:numPr>
          <w:ilvl w:val="0"/>
          <w:numId w:val="13"/>
        </w:numPr>
        <w:spacing w:line="276" w:lineRule="auto"/>
        <w:ind w:left="1068"/>
        <w:jc w:val="both"/>
        <w:rPr>
          <w:rFonts w:ascii="Arial" w:hAnsi="Arial" w:cs="Arial"/>
        </w:rPr>
      </w:pPr>
      <w:r w:rsidRPr="001361B0">
        <w:rPr>
          <w:rFonts w:ascii="Arial" w:hAnsi="Arial" w:cs="Arial"/>
        </w:rPr>
        <w:lastRenderedPageBreak/>
        <w:t xml:space="preserve">Otros que se lleguen a convenir entre la Fiduciaria y el Fideicomitente. </w:t>
      </w:r>
      <w:bookmarkStart w:id="4" w:name="_Toc83355707"/>
    </w:p>
    <w:p w14:paraId="58569577" w14:textId="5949B896" w:rsidR="0071138D" w:rsidRPr="0071138D" w:rsidRDefault="001361B0" w:rsidP="00452713">
      <w:pPr>
        <w:pStyle w:val="NormalWeb"/>
        <w:spacing w:line="276" w:lineRule="auto"/>
        <w:jc w:val="both"/>
      </w:pPr>
      <w:r w:rsidRPr="001361B0">
        <w:rPr>
          <w:rFonts w:ascii="Arial" w:eastAsiaTheme="majorEastAsia" w:hAnsi="Arial" w:cs="Arial"/>
          <w:b/>
          <w:bCs/>
          <w:lang w:eastAsia="en-US"/>
        </w:rPr>
        <w:t>1.3</w:t>
      </w:r>
      <w:r w:rsidR="007F4708">
        <w:rPr>
          <w:rFonts w:ascii="Arial" w:eastAsiaTheme="majorEastAsia" w:hAnsi="Arial" w:cs="Arial"/>
          <w:b/>
          <w:bCs/>
          <w:lang w:eastAsia="en-US"/>
        </w:rPr>
        <w:t xml:space="preserve"> </w:t>
      </w:r>
      <w:r w:rsidR="00C277EF" w:rsidRPr="001361B0">
        <w:rPr>
          <w:rFonts w:ascii="Arial" w:eastAsiaTheme="majorEastAsia" w:hAnsi="Arial" w:cs="Arial"/>
          <w:b/>
          <w:bCs/>
          <w:lang w:eastAsia="en-US"/>
        </w:rPr>
        <w:t>Misión del fideicomiso 544 Fonafifo / BNCR</w:t>
      </w:r>
      <w:bookmarkEnd w:id="4"/>
    </w:p>
    <w:p w14:paraId="4929397F" w14:textId="4958F6B5" w:rsidR="00C277EF" w:rsidRPr="0071138D" w:rsidRDefault="00C277EF" w:rsidP="00452713">
      <w:pPr>
        <w:tabs>
          <w:tab w:val="left" w:pos="8789"/>
        </w:tabs>
        <w:ind w:right="-93"/>
        <w:jc w:val="both"/>
        <w:rPr>
          <w:rFonts w:ascii="Arial" w:hAnsi="Arial" w:cs="Arial"/>
          <w:sz w:val="24"/>
          <w:szCs w:val="24"/>
        </w:rPr>
      </w:pPr>
      <w:r w:rsidRPr="0071138D">
        <w:rPr>
          <w:rFonts w:ascii="Arial" w:hAnsi="Arial" w:cs="Arial"/>
          <w:sz w:val="24"/>
          <w:szCs w:val="24"/>
        </w:rPr>
        <w:t>Captar y movilizar recursos financieros mediante la promoción de programas y mecanismos de fomento para orientarlos, según las prioridades y directrices del Fonafifo, en apoyo al desarrollo del sector forestal ambiental.</w:t>
      </w:r>
    </w:p>
    <w:p w14:paraId="0F8A73E6" w14:textId="686FD32D" w:rsidR="0071138D" w:rsidRDefault="007F4708" w:rsidP="00452713">
      <w:pPr>
        <w:pStyle w:val="Ttulo2"/>
        <w:numPr>
          <w:ilvl w:val="1"/>
          <w:numId w:val="22"/>
        </w:numPr>
        <w:jc w:val="both"/>
        <w:rPr>
          <w:rFonts w:ascii="Arial" w:hAnsi="Arial" w:cs="Arial"/>
          <w:color w:val="auto"/>
          <w:sz w:val="24"/>
          <w:szCs w:val="24"/>
        </w:rPr>
      </w:pPr>
      <w:r>
        <w:rPr>
          <w:rFonts w:ascii="Arial" w:hAnsi="Arial" w:cs="Arial"/>
          <w:color w:val="auto"/>
          <w:sz w:val="24"/>
          <w:szCs w:val="24"/>
        </w:rPr>
        <w:t xml:space="preserve"> </w:t>
      </w:r>
      <w:bookmarkStart w:id="5" w:name="_Toc109980594"/>
      <w:r w:rsidR="00C277EF" w:rsidRPr="0071138D">
        <w:rPr>
          <w:rFonts w:ascii="Arial" w:hAnsi="Arial" w:cs="Arial"/>
          <w:color w:val="auto"/>
          <w:sz w:val="24"/>
          <w:szCs w:val="24"/>
        </w:rPr>
        <w:t>Visión del Fideicomiso 544 Fonafifo/BNCR</w:t>
      </w:r>
      <w:bookmarkEnd w:id="5"/>
    </w:p>
    <w:p w14:paraId="034072CD" w14:textId="5713C488" w:rsidR="00C277EF" w:rsidRDefault="00C277EF" w:rsidP="00452713">
      <w:pPr>
        <w:jc w:val="both"/>
        <w:rPr>
          <w:rFonts w:ascii="Arial" w:hAnsi="Arial" w:cs="Arial"/>
          <w:sz w:val="24"/>
          <w:szCs w:val="24"/>
        </w:rPr>
      </w:pPr>
      <w:r w:rsidRPr="0071138D">
        <w:rPr>
          <w:rFonts w:ascii="Arial" w:hAnsi="Arial" w:cs="Arial"/>
          <w:sz w:val="24"/>
          <w:szCs w:val="24"/>
        </w:rPr>
        <w:t>Ser un instrumento financiero de soporte ágil y oportuno para el Fonafifo, que facilite la adecuada operativización de sus programas y estrategias de financiamiento de servicios ambientales provistos por los bosques y otros ecosistemas.</w:t>
      </w:r>
    </w:p>
    <w:p w14:paraId="43C96D84" w14:textId="2C3B5C70" w:rsidR="00C277EF" w:rsidRPr="0071138D" w:rsidRDefault="00C277EF" w:rsidP="00452713">
      <w:pPr>
        <w:pStyle w:val="Ttulo2"/>
        <w:numPr>
          <w:ilvl w:val="1"/>
          <w:numId w:val="15"/>
        </w:numPr>
        <w:ind w:left="284"/>
        <w:jc w:val="both"/>
        <w:rPr>
          <w:rFonts w:ascii="Arial" w:hAnsi="Arial" w:cs="Arial"/>
          <w:color w:val="auto"/>
          <w:sz w:val="24"/>
          <w:szCs w:val="24"/>
        </w:rPr>
      </w:pPr>
      <w:bookmarkStart w:id="6" w:name="_Toc462825202"/>
      <w:bookmarkStart w:id="7" w:name="_Toc83355709"/>
      <w:r w:rsidRPr="0071138D">
        <w:rPr>
          <w:rFonts w:ascii="Arial" w:hAnsi="Arial" w:cs="Arial"/>
          <w:color w:val="auto"/>
          <w:sz w:val="24"/>
          <w:szCs w:val="24"/>
        </w:rPr>
        <w:t xml:space="preserve"> </w:t>
      </w:r>
      <w:bookmarkStart w:id="8" w:name="_Toc109980595"/>
      <w:r w:rsidRPr="0071138D">
        <w:rPr>
          <w:rFonts w:ascii="Arial" w:hAnsi="Arial" w:cs="Arial"/>
          <w:color w:val="auto"/>
          <w:sz w:val="24"/>
          <w:szCs w:val="24"/>
        </w:rPr>
        <w:t>Objetivo General del Fideicomiso 544</w:t>
      </w:r>
      <w:bookmarkEnd w:id="6"/>
      <w:bookmarkEnd w:id="7"/>
      <w:bookmarkEnd w:id="8"/>
    </w:p>
    <w:p w14:paraId="0944E794" w14:textId="42ADDD2C" w:rsidR="00C277EF" w:rsidRDefault="00C277EF" w:rsidP="00452713">
      <w:pPr>
        <w:jc w:val="both"/>
        <w:rPr>
          <w:rFonts w:ascii="Arial" w:hAnsi="Arial" w:cs="Arial"/>
          <w:sz w:val="24"/>
          <w:szCs w:val="24"/>
        </w:rPr>
      </w:pPr>
      <w:r w:rsidRPr="0071138D">
        <w:rPr>
          <w:rFonts w:ascii="Arial" w:hAnsi="Arial" w:cs="Arial"/>
          <w:sz w:val="24"/>
          <w:szCs w:val="24"/>
        </w:rPr>
        <w:t>Administrar los recursos financieros del fideicomiso, mediante la implementación de los programas institucionales de fomento forestal, en beneficio de los proveedores de servicios ambientales.</w:t>
      </w:r>
    </w:p>
    <w:p w14:paraId="51E7E639" w14:textId="28ABF605" w:rsidR="00F908BE" w:rsidRPr="0071138D" w:rsidRDefault="00F908BE" w:rsidP="00452713">
      <w:pPr>
        <w:pStyle w:val="Ttulo2"/>
        <w:jc w:val="both"/>
        <w:rPr>
          <w:rFonts w:ascii="Arial" w:hAnsi="Arial" w:cs="Arial"/>
          <w:color w:val="auto"/>
          <w:sz w:val="24"/>
          <w:szCs w:val="24"/>
        </w:rPr>
      </w:pPr>
      <w:bookmarkStart w:id="9" w:name="_Toc109980596"/>
      <w:r w:rsidRPr="0071138D">
        <w:rPr>
          <w:rFonts w:ascii="Arial" w:hAnsi="Arial" w:cs="Arial"/>
          <w:color w:val="auto"/>
          <w:sz w:val="24"/>
          <w:szCs w:val="24"/>
        </w:rPr>
        <w:t>1.</w:t>
      </w:r>
      <w:r w:rsidR="00D525EA" w:rsidRPr="0071138D">
        <w:rPr>
          <w:rFonts w:ascii="Arial" w:hAnsi="Arial" w:cs="Arial"/>
          <w:color w:val="auto"/>
          <w:sz w:val="24"/>
          <w:szCs w:val="24"/>
        </w:rPr>
        <w:t>6</w:t>
      </w:r>
      <w:r w:rsidRPr="0071138D">
        <w:rPr>
          <w:rFonts w:ascii="Arial" w:hAnsi="Arial" w:cs="Arial"/>
          <w:color w:val="auto"/>
          <w:sz w:val="24"/>
          <w:szCs w:val="24"/>
        </w:rPr>
        <w:t xml:space="preserve"> Objetivos Específicos:</w:t>
      </w:r>
      <w:bookmarkEnd w:id="9"/>
    </w:p>
    <w:p w14:paraId="46CCC786" w14:textId="77777777" w:rsidR="00D525EA" w:rsidRPr="0071138D" w:rsidRDefault="00D525EA" w:rsidP="00452713">
      <w:pPr>
        <w:pStyle w:val="Prrafodelista"/>
        <w:numPr>
          <w:ilvl w:val="0"/>
          <w:numId w:val="16"/>
        </w:numPr>
        <w:tabs>
          <w:tab w:val="left" w:pos="1080"/>
          <w:tab w:val="left" w:pos="1429"/>
        </w:tabs>
        <w:spacing w:after="0"/>
        <w:contextualSpacing w:val="0"/>
        <w:jc w:val="both"/>
        <w:rPr>
          <w:rFonts w:ascii="Arial" w:hAnsi="Arial" w:cs="Arial"/>
          <w:sz w:val="24"/>
          <w:szCs w:val="24"/>
        </w:rPr>
      </w:pPr>
      <w:r w:rsidRPr="0071138D">
        <w:rPr>
          <w:rFonts w:ascii="Arial" w:hAnsi="Arial" w:cs="Arial"/>
          <w:sz w:val="24"/>
          <w:szCs w:val="24"/>
        </w:rPr>
        <w:t>Incorporar al programa de PSA contratos nuevos, que corresponden a las modalidades de protección de bosque, reforestación y sistemas agroforestales, mediante convenios suscritos.</w:t>
      </w:r>
    </w:p>
    <w:p w14:paraId="390F3A6B" w14:textId="77777777" w:rsidR="00D525EA" w:rsidRPr="0071138D" w:rsidRDefault="00D525EA" w:rsidP="00452713">
      <w:pPr>
        <w:pStyle w:val="Prrafodelista"/>
        <w:numPr>
          <w:ilvl w:val="0"/>
          <w:numId w:val="16"/>
        </w:numPr>
        <w:tabs>
          <w:tab w:val="left" w:pos="1080"/>
          <w:tab w:val="left" w:pos="1429"/>
        </w:tabs>
        <w:spacing w:after="0"/>
        <w:contextualSpacing w:val="0"/>
        <w:jc w:val="both"/>
        <w:rPr>
          <w:rFonts w:ascii="Arial" w:hAnsi="Arial" w:cs="Arial"/>
          <w:sz w:val="24"/>
          <w:szCs w:val="24"/>
        </w:rPr>
      </w:pPr>
      <w:r w:rsidRPr="0071138D">
        <w:rPr>
          <w:rFonts w:ascii="Arial" w:hAnsi="Arial" w:cs="Arial"/>
          <w:sz w:val="24"/>
          <w:szCs w:val="24"/>
        </w:rPr>
        <w:t>Fomentar la cultura crediticia, creando y dando a conocer los mecanismos necesarios para el desarrollo y fortalecimiento del sector productivo forestal.</w:t>
      </w:r>
    </w:p>
    <w:p w14:paraId="1840F370" w14:textId="7C3B3312" w:rsidR="00D525EA" w:rsidRDefault="00D525EA" w:rsidP="00452713">
      <w:pPr>
        <w:pStyle w:val="Prrafodelista"/>
        <w:numPr>
          <w:ilvl w:val="0"/>
          <w:numId w:val="16"/>
        </w:numPr>
        <w:tabs>
          <w:tab w:val="left" w:pos="1080"/>
          <w:tab w:val="left" w:pos="1429"/>
        </w:tabs>
        <w:spacing w:after="0"/>
        <w:contextualSpacing w:val="0"/>
        <w:jc w:val="both"/>
        <w:rPr>
          <w:rFonts w:ascii="Arial" w:hAnsi="Arial" w:cs="Arial"/>
          <w:sz w:val="24"/>
          <w:szCs w:val="24"/>
        </w:rPr>
      </w:pPr>
      <w:r w:rsidRPr="0071138D">
        <w:rPr>
          <w:rFonts w:ascii="Arial" w:hAnsi="Arial" w:cs="Arial"/>
          <w:sz w:val="24"/>
          <w:szCs w:val="24"/>
        </w:rPr>
        <w:t>Propiciar esquemas de financiamiento que permitan atraer recursos para orientarlos al desarrollo del sector productivo forestal.</w:t>
      </w:r>
    </w:p>
    <w:p w14:paraId="06233EEA" w14:textId="77777777" w:rsidR="007F4708" w:rsidRPr="0071138D" w:rsidRDefault="007F4708" w:rsidP="00452713">
      <w:pPr>
        <w:pStyle w:val="Prrafodelista"/>
        <w:tabs>
          <w:tab w:val="left" w:pos="1080"/>
          <w:tab w:val="left" w:pos="1429"/>
        </w:tabs>
        <w:spacing w:after="0"/>
        <w:contextualSpacing w:val="0"/>
        <w:jc w:val="both"/>
        <w:rPr>
          <w:rFonts w:ascii="Arial" w:hAnsi="Arial" w:cs="Arial"/>
          <w:sz w:val="24"/>
          <w:szCs w:val="24"/>
        </w:rPr>
      </w:pPr>
    </w:p>
    <w:p w14:paraId="0EC7DDFE" w14:textId="77777777" w:rsidR="00D525EA" w:rsidRPr="0071138D" w:rsidRDefault="00D525EA" w:rsidP="00452713">
      <w:pPr>
        <w:pStyle w:val="Prrafodelista"/>
        <w:numPr>
          <w:ilvl w:val="0"/>
          <w:numId w:val="16"/>
        </w:numPr>
        <w:tabs>
          <w:tab w:val="left" w:pos="1080"/>
          <w:tab w:val="left" w:pos="1429"/>
        </w:tabs>
        <w:spacing w:after="0"/>
        <w:contextualSpacing w:val="0"/>
        <w:jc w:val="both"/>
        <w:rPr>
          <w:rFonts w:ascii="Arial" w:hAnsi="Arial" w:cs="Arial"/>
          <w:sz w:val="24"/>
          <w:szCs w:val="24"/>
        </w:rPr>
      </w:pPr>
      <w:r w:rsidRPr="0071138D">
        <w:rPr>
          <w:rFonts w:ascii="Arial" w:hAnsi="Arial" w:cs="Arial"/>
          <w:sz w:val="24"/>
          <w:szCs w:val="24"/>
        </w:rPr>
        <w:t>Fortalecer el desarrollo de mecanismos de financiamiento para la reforestación, la pequeña y mediana industria forestal y mercadeo de productos provenientes de plantaciones forestales.</w:t>
      </w:r>
    </w:p>
    <w:p w14:paraId="249C05A2" w14:textId="77777777" w:rsidR="00D525EA" w:rsidRPr="0071138D" w:rsidRDefault="00D525EA" w:rsidP="00452713">
      <w:pPr>
        <w:pStyle w:val="Prrafodelista"/>
        <w:numPr>
          <w:ilvl w:val="0"/>
          <w:numId w:val="16"/>
        </w:numPr>
        <w:tabs>
          <w:tab w:val="left" w:pos="1080"/>
          <w:tab w:val="left" w:pos="1429"/>
        </w:tabs>
        <w:spacing w:after="0"/>
        <w:contextualSpacing w:val="0"/>
        <w:jc w:val="both"/>
        <w:rPr>
          <w:rFonts w:ascii="Arial" w:hAnsi="Arial" w:cs="Arial"/>
          <w:sz w:val="24"/>
          <w:szCs w:val="24"/>
        </w:rPr>
      </w:pPr>
      <w:r w:rsidRPr="0071138D">
        <w:rPr>
          <w:rFonts w:ascii="Arial" w:hAnsi="Arial" w:cs="Arial"/>
          <w:sz w:val="24"/>
          <w:szCs w:val="24"/>
        </w:rPr>
        <w:t>Coadyuvar al Fonafifo en el desarrollo y actualización tecnológica de sus áreas según corresponda.</w:t>
      </w:r>
    </w:p>
    <w:p w14:paraId="1090DFB6" w14:textId="113156C6" w:rsidR="00D525EA" w:rsidRDefault="00D525EA" w:rsidP="00452713">
      <w:pPr>
        <w:pStyle w:val="Prrafodelista"/>
        <w:numPr>
          <w:ilvl w:val="0"/>
          <w:numId w:val="16"/>
        </w:numPr>
        <w:tabs>
          <w:tab w:val="left" w:pos="1080"/>
          <w:tab w:val="left" w:pos="1429"/>
        </w:tabs>
        <w:spacing w:after="0"/>
        <w:contextualSpacing w:val="0"/>
        <w:jc w:val="both"/>
        <w:rPr>
          <w:rFonts w:ascii="Arial" w:hAnsi="Arial" w:cs="Arial"/>
          <w:sz w:val="24"/>
          <w:szCs w:val="24"/>
        </w:rPr>
      </w:pPr>
      <w:r w:rsidRPr="0071138D">
        <w:rPr>
          <w:rFonts w:ascii="Arial" w:hAnsi="Arial" w:cs="Arial"/>
          <w:sz w:val="24"/>
          <w:szCs w:val="24"/>
        </w:rPr>
        <w:t>Apoyar al Fonafifo en la dotación del recurso humano necesario ejecutar labores no sustantivas relativas a sus programas de financiamiento.</w:t>
      </w:r>
    </w:p>
    <w:p w14:paraId="2CDAB383" w14:textId="174B9ECE" w:rsidR="007F4708" w:rsidRDefault="007F4708" w:rsidP="007F4708">
      <w:pPr>
        <w:tabs>
          <w:tab w:val="left" w:pos="1080"/>
          <w:tab w:val="left" w:pos="1429"/>
        </w:tabs>
        <w:spacing w:after="0" w:line="360" w:lineRule="auto"/>
        <w:jc w:val="both"/>
        <w:rPr>
          <w:rFonts w:ascii="Arial" w:hAnsi="Arial" w:cs="Arial"/>
          <w:sz w:val="24"/>
          <w:szCs w:val="24"/>
        </w:rPr>
      </w:pPr>
    </w:p>
    <w:p w14:paraId="4B180D37" w14:textId="09BEFDBD" w:rsidR="007F4708" w:rsidRDefault="007F4708" w:rsidP="007F4708">
      <w:pPr>
        <w:tabs>
          <w:tab w:val="left" w:pos="1080"/>
          <w:tab w:val="left" w:pos="1429"/>
        </w:tabs>
        <w:spacing w:after="0" w:line="360" w:lineRule="auto"/>
        <w:jc w:val="both"/>
        <w:rPr>
          <w:rFonts w:ascii="Arial" w:hAnsi="Arial" w:cs="Arial"/>
          <w:sz w:val="24"/>
          <w:szCs w:val="24"/>
        </w:rPr>
      </w:pPr>
    </w:p>
    <w:p w14:paraId="7F18EFF5" w14:textId="55A61B47" w:rsidR="007F4708" w:rsidRDefault="007F4708" w:rsidP="007F4708">
      <w:pPr>
        <w:tabs>
          <w:tab w:val="left" w:pos="1080"/>
          <w:tab w:val="left" w:pos="1429"/>
        </w:tabs>
        <w:spacing w:after="0" w:line="360" w:lineRule="auto"/>
        <w:jc w:val="both"/>
        <w:rPr>
          <w:rFonts w:ascii="Arial" w:hAnsi="Arial" w:cs="Arial"/>
          <w:sz w:val="24"/>
          <w:szCs w:val="24"/>
        </w:rPr>
      </w:pPr>
    </w:p>
    <w:p w14:paraId="60715F4A" w14:textId="33024D67" w:rsidR="007F4708" w:rsidRDefault="007F4708" w:rsidP="007F4708">
      <w:pPr>
        <w:tabs>
          <w:tab w:val="left" w:pos="1080"/>
          <w:tab w:val="left" w:pos="1429"/>
        </w:tabs>
        <w:spacing w:after="0" w:line="360" w:lineRule="auto"/>
        <w:jc w:val="both"/>
        <w:rPr>
          <w:rFonts w:ascii="Arial" w:hAnsi="Arial" w:cs="Arial"/>
          <w:sz w:val="24"/>
          <w:szCs w:val="24"/>
        </w:rPr>
      </w:pPr>
    </w:p>
    <w:p w14:paraId="05B5AA54" w14:textId="77777777" w:rsidR="00025DED" w:rsidRDefault="00025DED" w:rsidP="00C277EF">
      <w:pPr>
        <w:pStyle w:val="Ttulo1"/>
        <w:numPr>
          <w:ilvl w:val="0"/>
          <w:numId w:val="15"/>
        </w:numPr>
        <w:rPr>
          <w:rFonts w:ascii="Arial" w:hAnsi="Arial" w:cs="Arial"/>
          <w:i w:val="0"/>
          <w:sz w:val="24"/>
          <w:szCs w:val="24"/>
          <w:lang w:val="es-CR"/>
        </w:rPr>
      </w:pPr>
      <w:bookmarkStart w:id="10" w:name="_Toc109980597"/>
      <w:r w:rsidRPr="0089413E">
        <w:rPr>
          <w:rFonts w:ascii="Arial" w:hAnsi="Arial" w:cs="Arial"/>
          <w:i w:val="0"/>
          <w:sz w:val="24"/>
          <w:szCs w:val="24"/>
          <w:lang w:val="es-CR"/>
        </w:rPr>
        <w:lastRenderedPageBreak/>
        <w:t>EJECUCION FISICA</w:t>
      </w:r>
      <w:bookmarkEnd w:id="10"/>
    </w:p>
    <w:p w14:paraId="5EF108AB" w14:textId="6B588776" w:rsidR="009A516F" w:rsidRPr="009A516F" w:rsidRDefault="009A516F" w:rsidP="009A516F">
      <w:pPr>
        <w:spacing w:after="0"/>
        <w:jc w:val="both"/>
        <w:rPr>
          <w:rFonts w:ascii="Arial" w:hAnsi="Arial" w:cs="Arial"/>
          <w:sz w:val="24"/>
          <w:szCs w:val="24"/>
        </w:rPr>
      </w:pPr>
      <w:r w:rsidRPr="009A516F">
        <w:rPr>
          <w:rFonts w:ascii="Arial" w:hAnsi="Arial" w:cs="Arial"/>
          <w:sz w:val="24"/>
          <w:szCs w:val="24"/>
        </w:rPr>
        <w:t>En el siguiente cuadro se detallan los logros más significativos alcanzado durante el primer semestre del periodo 2022:</w:t>
      </w:r>
    </w:p>
    <w:p w14:paraId="0E9309E3" w14:textId="77777777" w:rsidR="009A516F" w:rsidRPr="001A4892" w:rsidRDefault="009A516F" w:rsidP="001A4892">
      <w:pPr>
        <w:spacing w:after="0"/>
        <w:jc w:val="both"/>
        <w:rPr>
          <w:rFonts w:ascii="Arial" w:hAnsi="Arial" w:cs="Arial"/>
          <w:b/>
          <w:color w:val="FF0000"/>
          <w:sz w:val="24"/>
          <w:lang w:val="es-US"/>
        </w:rPr>
      </w:pPr>
    </w:p>
    <w:tbl>
      <w:tblPr>
        <w:tblW w:w="10632" w:type="dxa"/>
        <w:jc w:val="center"/>
        <w:tblCellMar>
          <w:left w:w="70" w:type="dxa"/>
          <w:right w:w="70" w:type="dxa"/>
        </w:tblCellMar>
        <w:tblLook w:val="04A0" w:firstRow="1" w:lastRow="0" w:firstColumn="1" w:lastColumn="0" w:noHBand="0" w:noVBand="1"/>
      </w:tblPr>
      <w:tblGrid>
        <w:gridCol w:w="1696"/>
        <w:gridCol w:w="1528"/>
        <w:gridCol w:w="1364"/>
        <w:gridCol w:w="1366"/>
        <w:gridCol w:w="1023"/>
        <w:gridCol w:w="3655"/>
      </w:tblGrid>
      <w:tr w:rsidR="00344818" w:rsidRPr="00151EAE" w14:paraId="1B2548BA" w14:textId="77777777" w:rsidTr="007F4708">
        <w:trPr>
          <w:trHeight w:val="111"/>
          <w:jc w:val="center"/>
        </w:trPr>
        <w:tc>
          <w:tcPr>
            <w:tcW w:w="169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62C36E9" w14:textId="77777777" w:rsidR="009A516F" w:rsidRPr="00151EAE" w:rsidRDefault="009A516F" w:rsidP="009A516F">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 xml:space="preserve">Plan </w:t>
            </w:r>
          </w:p>
        </w:tc>
        <w:tc>
          <w:tcPr>
            <w:tcW w:w="1528" w:type="dxa"/>
            <w:tcBorders>
              <w:top w:val="single" w:sz="4" w:space="0" w:color="auto"/>
              <w:left w:val="nil"/>
              <w:bottom w:val="single" w:sz="4" w:space="0" w:color="auto"/>
              <w:right w:val="single" w:sz="4" w:space="0" w:color="auto"/>
            </w:tcBorders>
            <w:shd w:val="clear" w:color="auto" w:fill="00B050"/>
            <w:vAlign w:val="center"/>
            <w:hideMark/>
          </w:tcPr>
          <w:p w14:paraId="09435BF8" w14:textId="77777777" w:rsidR="009A516F" w:rsidRPr="00151EAE" w:rsidRDefault="009A516F" w:rsidP="009A516F">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Indicador</w:t>
            </w:r>
          </w:p>
        </w:tc>
        <w:tc>
          <w:tcPr>
            <w:tcW w:w="1364" w:type="dxa"/>
            <w:tcBorders>
              <w:top w:val="single" w:sz="4" w:space="0" w:color="auto"/>
              <w:left w:val="nil"/>
              <w:bottom w:val="single" w:sz="4" w:space="0" w:color="auto"/>
              <w:right w:val="single" w:sz="4" w:space="0" w:color="auto"/>
            </w:tcBorders>
            <w:shd w:val="clear" w:color="auto" w:fill="00B050"/>
            <w:vAlign w:val="center"/>
            <w:hideMark/>
          </w:tcPr>
          <w:p w14:paraId="782BEBF8" w14:textId="77777777" w:rsidR="009A516F" w:rsidRPr="00151EAE" w:rsidRDefault="009A516F" w:rsidP="009A516F">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Meta</w:t>
            </w:r>
          </w:p>
        </w:tc>
        <w:tc>
          <w:tcPr>
            <w:tcW w:w="1366" w:type="dxa"/>
            <w:tcBorders>
              <w:top w:val="single" w:sz="4" w:space="0" w:color="auto"/>
              <w:left w:val="nil"/>
              <w:bottom w:val="single" w:sz="4" w:space="0" w:color="auto"/>
              <w:right w:val="single" w:sz="4" w:space="0" w:color="auto"/>
            </w:tcBorders>
            <w:shd w:val="clear" w:color="auto" w:fill="00B050"/>
            <w:vAlign w:val="center"/>
            <w:hideMark/>
          </w:tcPr>
          <w:p w14:paraId="48086FBF" w14:textId="77777777" w:rsidR="009A516F" w:rsidRPr="00151EAE" w:rsidRDefault="009A516F" w:rsidP="009A516F">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Responsable</w:t>
            </w:r>
          </w:p>
        </w:tc>
        <w:tc>
          <w:tcPr>
            <w:tcW w:w="1023" w:type="dxa"/>
            <w:tcBorders>
              <w:top w:val="single" w:sz="4" w:space="0" w:color="auto"/>
              <w:left w:val="nil"/>
              <w:bottom w:val="single" w:sz="4" w:space="0" w:color="auto"/>
              <w:right w:val="single" w:sz="4" w:space="0" w:color="auto"/>
            </w:tcBorders>
            <w:shd w:val="clear" w:color="auto" w:fill="00B050"/>
            <w:vAlign w:val="center"/>
            <w:hideMark/>
          </w:tcPr>
          <w:p w14:paraId="06B3C689" w14:textId="77777777" w:rsidR="009A516F" w:rsidRPr="00151EAE" w:rsidRDefault="009A516F" w:rsidP="009A516F">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Avance I semestre</w:t>
            </w:r>
          </w:p>
        </w:tc>
        <w:tc>
          <w:tcPr>
            <w:tcW w:w="3655" w:type="dxa"/>
            <w:tcBorders>
              <w:top w:val="single" w:sz="4" w:space="0" w:color="auto"/>
              <w:left w:val="nil"/>
              <w:bottom w:val="single" w:sz="4" w:space="0" w:color="auto"/>
              <w:right w:val="single" w:sz="4" w:space="0" w:color="auto"/>
            </w:tcBorders>
            <w:shd w:val="clear" w:color="auto" w:fill="00B050"/>
            <w:vAlign w:val="center"/>
            <w:hideMark/>
          </w:tcPr>
          <w:p w14:paraId="39D42892" w14:textId="77777777" w:rsidR="009A516F" w:rsidRPr="00151EAE" w:rsidRDefault="009A516F" w:rsidP="009A516F">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 xml:space="preserve">Descripción de avance </w:t>
            </w:r>
          </w:p>
        </w:tc>
      </w:tr>
      <w:tr w:rsidR="00344818" w:rsidRPr="00151EAE" w14:paraId="223AC168" w14:textId="77777777" w:rsidTr="007F4708">
        <w:trPr>
          <w:trHeight w:val="955"/>
          <w:jc w:val="center"/>
        </w:trPr>
        <w:tc>
          <w:tcPr>
            <w:tcW w:w="1696" w:type="dxa"/>
            <w:tcBorders>
              <w:top w:val="nil"/>
              <w:left w:val="single" w:sz="4" w:space="0" w:color="auto"/>
              <w:bottom w:val="single" w:sz="4" w:space="0" w:color="auto"/>
              <w:right w:val="single" w:sz="4" w:space="0" w:color="auto"/>
            </w:tcBorders>
            <w:shd w:val="clear" w:color="auto" w:fill="auto"/>
            <w:hideMark/>
          </w:tcPr>
          <w:p w14:paraId="4D6C3D48"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25FEBF1C"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0063B954" w14:textId="4AA1386E" w:rsidR="009A516F" w:rsidRPr="00151EAE" w:rsidRDefault="009A516F" w:rsidP="0082175A">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Coadyuvar al Fonafifo en la gestión del financiamiento a proveedores de servicios ambientales.</w:t>
            </w:r>
          </w:p>
        </w:tc>
        <w:tc>
          <w:tcPr>
            <w:tcW w:w="1528" w:type="dxa"/>
            <w:tcBorders>
              <w:top w:val="nil"/>
              <w:left w:val="nil"/>
              <w:bottom w:val="single" w:sz="4" w:space="0" w:color="auto"/>
              <w:right w:val="single" w:sz="4" w:space="0" w:color="auto"/>
            </w:tcBorders>
            <w:shd w:val="clear" w:color="auto" w:fill="auto"/>
            <w:hideMark/>
          </w:tcPr>
          <w:p w14:paraId="66DF1472"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204BA780"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0CC97002" w14:textId="6DCB0354" w:rsidR="009A516F" w:rsidRPr="00151EAE" w:rsidRDefault="009A516F" w:rsidP="0082175A">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Cantidad de hectáreas sometidas al Pago por Servicios Ambientales por modalidad.</w:t>
            </w:r>
          </w:p>
          <w:p w14:paraId="26DAC1D0" w14:textId="77777777" w:rsidR="009A516F" w:rsidRPr="00151EAE" w:rsidRDefault="009A516F" w:rsidP="0082175A">
            <w:pPr>
              <w:spacing w:after="0" w:line="240" w:lineRule="auto"/>
              <w:jc w:val="both"/>
              <w:rPr>
                <w:rFonts w:ascii="Arial" w:eastAsia="Times New Roman" w:hAnsi="Arial" w:cs="Arial"/>
                <w:sz w:val="18"/>
                <w:szCs w:val="18"/>
                <w:lang w:val="es-MX" w:eastAsia="es-MX"/>
              </w:rPr>
            </w:pPr>
          </w:p>
        </w:tc>
        <w:tc>
          <w:tcPr>
            <w:tcW w:w="1364" w:type="dxa"/>
            <w:tcBorders>
              <w:top w:val="nil"/>
              <w:left w:val="nil"/>
              <w:bottom w:val="single" w:sz="4" w:space="0" w:color="auto"/>
              <w:right w:val="nil"/>
            </w:tcBorders>
            <w:shd w:val="clear" w:color="auto" w:fill="auto"/>
            <w:noWrap/>
            <w:hideMark/>
          </w:tcPr>
          <w:p w14:paraId="78E20589"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210EBB7C"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599A8827"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67753257"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7D695917"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314A1C8D" w14:textId="7DD55D4D" w:rsidR="009A516F" w:rsidRPr="00151EAE" w:rsidRDefault="009A516F" w:rsidP="0082175A">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250.000,00</w:t>
            </w:r>
          </w:p>
        </w:tc>
        <w:tc>
          <w:tcPr>
            <w:tcW w:w="1366" w:type="dxa"/>
            <w:tcBorders>
              <w:top w:val="nil"/>
              <w:left w:val="single" w:sz="4" w:space="0" w:color="auto"/>
              <w:bottom w:val="single" w:sz="4" w:space="0" w:color="auto"/>
              <w:right w:val="single" w:sz="4" w:space="0" w:color="auto"/>
            </w:tcBorders>
            <w:shd w:val="clear" w:color="auto" w:fill="auto"/>
            <w:hideMark/>
          </w:tcPr>
          <w:p w14:paraId="1F0E34BB"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1AD28344"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145CBDDF"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03360935" w14:textId="25B46393" w:rsidR="009A516F" w:rsidRPr="00151EAE" w:rsidRDefault="009A516F" w:rsidP="00D9350E">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Dirección de Servicios Ambientales, Fonafifo.</w:t>
            </w:r>
          </w:p>
          <w:p w14:paraId="4B0BE605" w14:textId="77777777" w:rsidR="009A516F" w:rsidRPr="00151EAE" w:rsidRDefault="009A516F" w:rsidP="00D9350E">
            <w:pPr>
              <w:spacing w:after="0" w:line="240" w:lineRule="auto"/>
              <w:jc w:val="both"/>
              <w:rPr>
                <w:rFonts w:ascii="Arial" w:eastAsia="Times New Roman" w:hAnsi="Arial" w:cs="Arial"/>
                <w:sz w:val="18"/>
                <w:szCs w:val="18"/>
                <w:lang w:val="es-MX" w:eastAsia="es-MX"/>
              </w:rPr>
            </w:pPr>
          </w:p>
        </w:tc>
        <w:tc>
          <w:tcPr>
            <w:tcW w:w="1023" w:type="dxa"/>
            <w:tcBorders>
              <w:top w:val="nil"/>
              <w:left w:val="nil"/>
              <w:bottom w:val="single" w:sz="4" w:space="0" w:color="auto"/>
              <w:right w:val="single" w:sz="4" w:space="0" w:color="auto"/>
            </w:tcBorders>
            <w:shd w:val="clear" w:color="auto" w:fill="auto"/>
          </w:tcPr>
          <w:p w14:paraId="285BB9B6"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4C0EB0B1"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0A7289D0"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68A2B9B7"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51601FB0"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22843303" w14:textId="0210963C" w:rsidR="009A516F" w:rsidRPr="00151EAE" w:rsidRDefault="009A516F" w:rsidP="0082175A">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75.945,47</w:t>
            </w:r>
          </w:p>
        </w:tc>
        <w:tc>
          <w:tcPr>
            <w:tcW w:w="3655" w:type="dxa"/>
            <w:tcBorders>
              <w:top w:val="nil"/>
              <w:left w:val="nil"/>
              <w:bottom w:val="single" w:sz="4" w:space="0" w:color="auto"/>
              <w:right w:val="single" w:sz="4" w:space="0" w:color="auto"/>
            </w:tcBorders>
            <w:shd w:val="clear" w:color="auto" w:fill="auto"/>
            <w:hideMark/>
          </w:tcPr>
          <w:p w14:paraId="44A5BD13" w14:textId="0546F280" w:rsidR="009A516F" w:rsidRPr="00151EAE" w:rsidRDefault="009A516F" w:rsidP="00383D0D">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La meta del período 202</w:t>
            </w:r>
            <w:r w:rsidR="005741AA" w:rsidRPr="00151EAE">
              <w:rPr>
                <w:rFonts w:ascii="Arial" w:eastAsia="Times New Roman" w:hAnsi="Arial" w:cs="Arial"/>
                <w:sz w:val="18"/>
                <w:szCs w:val="18"/>
                <w:lang w:val="es-MX" w:eastAsia="es-MX"/>
              </w:rPr>
              <w:t>2</w:t>
            </w:r>
            <w:r w:rsidRPr="00151EAE">
              <w:rPr>
                <w:rFonts w:ascii="Arial" w:eastAsia="Times New Roman" w:hAnsi="Arial" w:cs="Arial"/>
                <w:sz w:val="18"/>
                <w:szCs w:val="18"/>
                <w:lang w:val="es-MX" w:eastAsia="es-MX"/>
              </w:rPr>
              <w:t xml:space="preserve"> es alcanzar el 100% de la colocación de hectáreas bajo PPSA. A la fecha de corte del primer semestre se ha logrado un avance correspondiente al 30,38% que equivale un total de 75.945,47 has que se distribuyen de la siguiente forma:</w:t>
            </w:r>
          </w:p>
          <w:p w14:paraId="25536A94" w14:textId="77777777" w:rsidR="009A516F" w:rsidRPr="00151EAE" w:rsidRDefault="009A516F" w:rsidP="00383D0D">
            <w:pPr>
              <w:numPr>
                <w:ilvl w:val="0"/>
                <w:numId w:val="18"/>
              </w:numPr>
              <w:spacing w:after="0" w:line="240" w:lineRule="auto"/>
              <w:ind w:left="194" w:hanging="142"/>
              <w:contextualSpacing/>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71.261,26 has en actividades de mantenimiento de cobertura.</w:t>
            </w:r>
          </w:p>
          <w:p w14:paraId="0C2C8018" w14:textId="77777777" w:rsidR="009A516F" w:rsidRPr="00151EAE" w:rsidRDefault="009A516F" w:rsidP="00383D0D">
            <w:pPr>
              <w:numPr>
                <w:ilvl w:val="0"/>
                <w:numId w:val="18"/>
              </w:numPr>
              <w:spacing w:after="0" w:line="240" w:lineRule="auto"/>
              <w:ind w:left="194" w:hanging="142"/>
              <w:contextualSpacing/>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4.684,21 has en actividades de recuperación de cobertura.</w:t>
            </w:r>
          </w:p>
        </w:tc>
      </w:tr>
      <w:tr w:rsidR="00344818" w:rsidRPr="00151EAE" w14:paraId="7BA5875E" w14:textId="77777777" w:rsidTr="007F4708">
        <w:trPr>
          <w:trHeight w:val="1461"/>
          <w:jc w:val="cent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097D59B7"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1FAE2953"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431A7E75" w14:textId="4F703BAD" w:rsidR="009A516F" w:rsidRPr="00151EAE" w:rsidRDefault="009A516F" w:rsidP="0082175A">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Coadyuvar al Fonafifo en el desarrollo de la estrategia REDD+ para acceder a recursos financieros por medio de proyectos de pago por resultados en reducción de emisiones.</w:t>
            </w:r>
          </w:p>
        </w:tc>
        <w:tc>
          <w:tcPr>
            <w:tcW w:w="1528" w:type="dxa"/>
            <w:tcBorders>
              <w:top w:val="single" w:sz="4" w:space="0" w:color="auto"/>
              <w:left w:val="nil"/>
              <w:bottom w:val="single" w:sz="4" w:space="0" w:color="auto"/>
              <w:right w:val="single" w:sz="4" w:space="0" w:color="auto"/>
            </w:tcBorders>
            <w:shd w:val="clear" w:color="auto" w:fill="auto"/>
            <w:hideMark/>
          </w:tcPr>
          <w:p w14:paraId="1E8D3F8B"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7D896970"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33F60CD8"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08E29CB3"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7CB2E4C1"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6A7239E0" w14:textId="55B0DA48" w:rsidR="009A516F" w:rsidRPr="00151EAE" w:rsidRDefault="009A516F" w:rsidP="0082175A">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Cantidad de hectáreas pagadas en contratos de reducción de emisiones.</w:t>
            </w:r>
          </w:p>
          <w:p w14:paraId="3B232B61" w14:textId="77777777" w:rsidR="009A516F" w:rsidRPr="00151EAE" w:rsidRDefault="009A516F" w:rsidP="0082175A">
            <w:pPr>
              <w:spacing w:after="0" w:line="240" w:lineRule="auto"/>
              <w:jc w:val="both"/>
              <w:rPr>
                <w:rFonts w:ascii="Arial" w:eastAsia="Times New Roman" w:hAnsi="Arial" w:cs="Arial"/>
                <w:sz w:val="18"/>
                <w:szCs w:val="18"/>
                <w:lang w:val="es-MX" w:eastAsia="es-MX"/>
              </w:rPr>
            </w:pPr>
          </w:p>
        </w:tc>
        <w:tc>
          <w:tcPr>
            <w:tcW w:w="1364" w:type="dxa"/>
            <w:tcBorders>
              <w:top w:val="single" w:sz="4" w:space="0" w:color="auto"/>
              <w:left w:val="nil"/>
              <w:bottom w:val="single" w:sz="4" w:space="0" w:color="auto"/>
              <w:right w:val="single" w:sz="4" w:space="0" w:color="auto"/>
            </w:tcBorders>
            <w:shd w:val="clear" w:color="auto" w:fill="auto"/>
            <w:hideMark/>
          </w:tcPr>
          <w:p w14:paraId="487C3D36"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05000B24"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4734B4E8"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5AE8D19D"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5BCDF004"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2D1149AB"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1691814C"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4F43FC62" w14:textId="1C52263C" w:rsidR="009A516F" w:rsidRPr="00151EAE" w:rsidRDefault="009A516F" w:rsidP="0082175A">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450.000,00</w:t>
            </w:r>
          </w:p>
        </w:tc>
        <w:tc>
          <w:tcPr>
            <w:tcW w:w="1366" w:type="dxa"/>
            <w:tcBorders>
              <w:top w:val="single" w:sz="4" w:space="0" w:color="auto"/>
              <w:left w:val="nil"/>
              <w:bottom w:val="single" w:sz="4" w:space="0" w:color="auto"/>
              <w:right w:val="single" w:sz="4" w:space="0" w:color="auto"/>
            </w:tcBorders>
            <w:shd w:val="clear" w:color="auto" w:fill="auto"/>
            <w:hideMark/>
          </w:tcPr>
          <w:p w14:paraId="55F0525C"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32D57972"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78BF61C7"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5080936E"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445D6742"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7E3614C3" w14:textId="73BD6876" w:rsidR="009A516F" w:rsidRPr="00151EAE" w:rsidRDefault="009A516F" w:rsidP="00D9350E">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Secretaría ejecutiva de REDD+, Fonafifo.</w:t>
            </w:r>
          </w:p>
        </w:tc>
        <w:tc>
          <w:tcPr>
            <w:tcW w:w="1023" w:type="dxa"/>
            <w:tcBorders>
              <w:top w:val="single" w:sz="4" w:space="0" w:color="auto"/>
              <w:left w:val="nil"/>
              <w:bottom w:val="single" w:sz="4" w:space="0" w:color="auto"/>
              <w:right w:val="single" w:sz="4" w:space="0" w:color="auto"/>
            </w:tcBorders>
            <w:shd w:val="clear" w:color="auto" w:fill="auto"/>
          </w:tcPr>
          <w:p w14:paraId="00FC7A48"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5E8C2C8B"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0D053319"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66BA914C"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6046842F"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10C79931"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0252F92E"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4943324E"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7BC782E2" w14:textId="34892473" w:rsidR="009A516F" w:rsidRPr="00151EAE" w:rsidRDefault="009A516F" w:rsidP="0082175A">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0,00</w:t>
            </w:r>
          </w:p>
        </w:tc>
        <w:tc>
          <w:tcPr>
            <w:tcW w:w="3655" w:type="dxa"/>
            <w:tcBorders>
              <w:top w:val="single" w:sz="4" w:space="0" w:color="auto"/>
              <w:left w:val="nil"/>
              <w:bottom w:val="single" w:sz="4" w:space="0" w:color="auto"/>
              <w:right w:val="single" w:sz="4" w:space="0" w:color="auto"/>
            </w:tcBorders>
            <w:shd w:val="clear" w:color="auto" w:fill="auto"/>
            <w:hideMark/>
          </w:tcPr>
          <w:p w14:paraId="2FF516A8" w14:textId="77777777" w:rsidR="009A516F" w:rsidRPr="00151EAE" w:rsidRDefault="009A516F" w:rsidP="00383D0D">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Este año se ha iniciado con el financiamiento de los proyectos del Programa de Reducción de Emisiones Forestales (PREF).</w:t>
            </w:r>
          </w:p>
          <w:p w14:paraId="6872FCED" w14:textId="54C82BFC" w:rsidR="009A516F" w:rsidRPr="00151EAE" w:rsidRDefault="009A516F" w:rsidP="00383D0D">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El resultado al corte del periodo es considerablemente inferior al programado por diversos motivos:</w:t>
            </w:r>
          </w:p>
          <w:p w14:paraId="1E5DFE65" w14:textId="6EF14AE0" w:rsidR="009A516F" w:rsidRPr="00151EAE" w:rsidRDefault="009A516F" w:rsidP="00383D0D">
            <w:pPr>
              <w:numPr>
                <w:ilvl w:val="0"/>
                <w:numId w:val="18"/>
              </w:numPr>
              <w:spacing w:after="0" w:line="240" w:lineRule="auto"/>
              <w:ind w:left="194" w:hanging="142"/>
              <w:contextualSpacing/>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Se encuentra a la espera de la modificación del Reglamento a la Ley Forestal para implementar programa.</w:t>
            </w:r>
          </w:p>
          <w:p w14:paraId="16F52A8E" w14:textId="77777777" w:rsidR="009A516F" w:rsidRPr="00151EAE" w:rsidRDefault="009A516F" w:rsidP="00383D0D">
            <w:pPr>
              <w:numPr>
                <w:ilvl w:val="0"/>
                <w:numId w:val="18"/>
              </w:numPr>
              <w:spacing w:after="0" w:line="240" w:lineRule="auto"/>
              <w:ind w:left="194" w:hanging="142"/>
              <w:contextualSpacing/>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Se está ajustando el manual de procedimientos.</w:t>
            </w:r>
          </w:p>
          <w:p w14:paraId="566E5676" w14:textId="77777777" w:rsidR="009A516F" w:rsidRPr="00151EAE" w:rsidRDefault="009A516F" w:rsidP="00383D0D">
            <w:pPr>
              <w:numPr>
                <w:ilvl w:val="0"/>
                <w:numId w:val="18"/>
              </w:numPr>
              <w:spacing w:after="0" w:line="240" w:lineRule="auto"/>
              <w:ind w:left="194" w:hanging="142"/>
              <w:contextualSpacing/>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Se está preparando un mecanismo que permita la participación de poseedores de fincas.</w:t>
            </w:r>
          </w:p>
          <w:p w14:paraId="61F7D4A4" w14:textId="448235E5" w:rsidR="00344818" w:rsidRPr="00151EAE" w:rsidRDefault="009A516F" w:rsidP="00383D0D">
            <w:pPr>
              <w:numPr>
                <w:ilvl w:val="0"/>
                <w:numId w:val="18"/>
              </w:numPr>
              <w:spacing w:after="0" w:line="240" w:lineRule="auto"/>
              <w:ind w:left="194" w:hanging="142"/>
              <w:contextualSpacing/>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Al ser un esquema con menos requisitos, es importante una revisión exhausta de los documentos probatorios legales como técnicos para su implementación.</w:t>
            </w:r>
          </w:p>
        </w:tc>
      </w:tr>
      <w:tr w:rsidR="00344818" w:rsidRPr="00151EAE" w14:paraId="16A8B23F" w14:textId="77777777" w:rsidTr="007F4708">
        <w:trPr>
          <w:trHeight w:val="51"/>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84721A7" w14:textId="7E2626B2" w:rsidR="009A516F" w:rsidRPr="00151EAE" w:rsidRDefault="009A516F" w:rsidP="0082175A">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 xml:space="preserve">Coadyuvar al </w:t>
            </w:r>
            <w:r w:rsidR="00720614" w:rsidRPr="00151EAE">
              <w:rPr>
                <w:rFonts w:ascii="Arial" w:eastAsia="Times New Roman" w:hAnsi="Arial" w:cs="Arial"/>
                <w:sz w:val="18"/>
                <w:szCs w:val="18"/>
                <w:lang w:val="es-MX" w:eastAsia="es-MX"/>
              </w:rPr>
              <w:t>SINAC</w:t>
            </w:r>
            <w:r w:rsidRPr="00151EAE">
              <w:rPr>
                <w:rFonts w:ascii="Arial" w:eastAsia="Times New Roman" w:hAnsi="Arial" w:cs="Arial"/>
                <w:sz w:val="18"/>
                <w:szCs w:val="18"/>
                <w:lang w:val="es-MX" w:eastAsia="es-MX"/>
              </w:rPr>
              <w:t xml:space="preserve"> en el fortalecimiento del Programa de Manejo del Fuego.</w:t>
            </w:r>
          </w:p>
        </w:tc>
        <w:tc>
          <w:tcPr>
            <w:tcW w:w="1528" w:type="dxa"/>
            <w:tcBorders>
              <w:top w:val="single" w:sz="4" w:space="0" w:color="auto"/>
              <w:left w:val="nil"/>
              <w:bottom w:val="single" w:sz="4" w:space="0" w:color="auto"/>
              <w:right w:val="single" w:sz="4" w:space="0" w:color="auto"/>
            </w:tcBorders>
            <w:shd w:val="clear" w:color="auto" w:fill="auto"/>
          </w:tcPr>
          <w:p w14:paraId="7BE2CAEC" w14:textId="77777777" w:rsidR="009A516F" w:rsidRPr="00151EAE" w:rsidRDefault="009A516F" w:rsidP="0082175A">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Porcentaje de ejecución presupuestaria del Programa de Manejo del Fuego.</w:t>
            </w:r>
          </w:p>
        </w:tc>
        <w:tc>
          <w:tcPr>
            <w:tcW w:w="1364" w:type="dxa"/>
            <w:tcBorders>
              <w:top w:val="single" w:sz="4" w:space="0" w:color="auto"/>
              <w:left w:val="nil"/>
              <w:bottom w:val="single" w:sz="4" w:space="0" w:color="auto"/>
              <w:right w:val="single" w:sz="4" w:space="0" w:color="auto"/>
            </w:tcBorders>
            <w:shd w:val="clear" w:color="auto" w:fill="auto"/>
          </w:tcPr>
          <w:p w14:paraId="0FE06FD7"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0C9D7440"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468FB5F9" w14:textId="10A45D56" w:rsidR="009A516F" w:rsidRPr="00151EAE" w:rsidRDefault="009A516F" w:rsidP="0082175A">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100,00%</w:t>
            </w:r>
          </w:p>
        </w:tc>
        <w:tc>
          <w:tcPr>
            <w:tcW w:w="1366" w:type="dxa"/>
            <w:tcBorders>
              <w:top w:val="single" w:sz="4" w:space="0" w:color="auto"/>
              <w:left w:val="nil"/>
              <w:bottom w:val="single" w:sz="4" w:space="0" w:color="auto"/>
              <w:right w:val="single" w:sz="4" w:space="0" w:color="auto"/>
            </w:tcBorders>
            <w:shd w:val="clear" w:color="auto" w:fill="auto"/>
          </w:tcPr>
          <w:p w14:paraId="1244DD36" w14:textId="6D1E5D03" w:rsidR="009A516F" w:rsidRPr="00151EAE" w:rsidRDefault="009A516F" w:rsidP="00D9350E">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 xml:space="preserve">Secretaría ejecutiva de REDD+, Fonafifo, </w:t>
            </w:r>
            <w:r w:rsidR="00720614" w:rsidRPr="00151EAE">
              <w:rPr>
                <w:rFonts w:ascii="Arial" w:eastAsia="Times New Roman" w:hAnsi="Arial" w:cs="Arial"/>
                <w:sz w:val="18"/>
                <w:szCs w:val="18"/>
                <w:lang w:val="es-MX" w:eastAsia="es-MX"/>
              </w:rPr>
              <w:t>SINAC</w:t>
            </w:r>
            <w:r w:rsidRPr="00151EAE">
              <w:rPr>
                <w:rFonts w:ascii="Arial" w:eastAsia="Times New Roman" w:hAnsi="Arial" w:cs="Arial"/>
                <w:sz w:val="18"/>
                <w:szCs w:val="18"/>
                <w:lang w:val="es-MX" w:eastAsia="es-MX"/>
              </w:rPr>
              <w:t>.</w:t>
            </w:r>
          </w:p>
        </w:tc>
        <w:tc>
          <w:tcPr>
            <w:tcW w:w="1023" w:type="dxa"/>
            <w:tcBorders>
              <w:top w:val="single" w:sz="4" w:space="0" w:color="auto"/>
              <w:left w:val="nil"/>
              <w:bottom w:val="single" w:sz="4" w:space="0" w:color="auto"/>
              <w:right w:val="single" w:sz="4" w:space="0" w:color="auto"/>
            </w:tcBorders>
            <w:shd w:val="clear" w:color="auto" w:fill="auto"/>
          </w:tcPr>
          <w:p w14:paraId="42BA8D02"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1F2EEAB0"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76E72C97" w14:textId="4512216A" w:rsidR="009A516F" w:rsidRPr="00151EAE" w:rsidRDefault="009A516F" w:rsidP="0082175A">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0,0</w:t>
            </w:r>
            <w:r w:rsidR="00151EAE" w:rsidRPr="00151EAE">
              <w:rPr>
                <w:rFonts w:ascii="Arial" w:eastAsia="Times New Roman" w:hAnsi="Arial" w:cs="Arial"/>
                <w:sz w:val="18"/>
                <w:szCs w:val="18"/>
                <w:lang w:val="es-MX" w:eastAsia="es-MX"/>
              </w:rPr>
              <w:t>0</w:t>
            </w:r>
            <w:r w:rsidRPr="00151EAE">
              <w:rPr>
                <w:rFonts w:ascii="Arial" w:eastAsia="Times New Roman" w:hAnsi="Arial" w:cs="Arial"/>
                <w:sz w:val="18"/>
                <w:szCs w:val="18"/>
                <w:lang w:val="es-MX" w:eastAsia="es-MX"/>
              </w:rPr>
              <w:t>%</w:t>
            </w:r>
          </w:p>
        </w:tc>
        <w:tc>
          <w:tcPr>
            <w:tcW w:w="3655" w:type="dxa"/>
            <w:tcBorders>
              <w:top w:val="single" w:sz="4" w:space="0" w:color="auto"/>
              <w:left w:val="nil"/>
              <w:bottom w:val="single" w:sz="4" w:space="0" w:color="auto"/>
              <w:right w:val="single" w:sz="4" w:space="0" w:color="auto"/>
            </w:tcBorders>
            <w:shd w:val="clear" w:color="auto" w:fill="auto"/>
          </w:tcPr>
          <w:p w14:paraId="18B789C9" w14:textId="77777777" w:rsidR="0082175A" w:rsidRPr="00151EAE" w:rsidRDefault="0082175A" w:rsidP="00383D0D">
            <w:pPr>
              <w:spacing w:after="0" w:line="240" w:lineRule="auto"/>
              <w:jc w:val="both"/>
              <w:rPr>
                <w:rFonts w:ascii="Arial" w:eastAsia="Times New Roman" w:hAnsi="Arial" w:cs="Arial"/>
                <w:sz w:val="18"/>
                <w:szCs w:val="18"/>
                <w:lang w:val="es-MX" w:eastAsia="es-MX"/>
              </w:rPr>
            </w:pPr>
          </w:p>
          <w:p w14:paraId="1CF24E0B" w14:textId="1D6D0650" w:rsidR="009A516F" w:rsidRPr="00151EAE" w:rsidRDefault="009A516F" w:rsidP="00383D0D">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El presupuesto total es de ₡1.880.347.115,00</w:t>
            </w:r>
            <w:r w:rsidR="00151EAE" w:rsidRPr="00151EAE">
              <w:rPr>
                <w:rFonts w:ascii="Arial" w:eastAsia="Times New Roman" w:hAnsi="Arial" w:cs="Arial"/>
                <w:sz w:val="18"/>
                <w:szCs w:val="18"/>
                <w:lang w:val="es-MX" w:eastAsia="es-MX"/>
              </w:rPr>
              <w:t>, destinados al fortalecimiento del Programa de Manejo de Fuego, sin embargo, muchos de los bienes y servicios se encuentran en proceso de contratación.</w:t>
            </w:r>
          </w:p>
        </w:tc>
      </w:tr>
      <w:tr w:rsidR="00344818" w:rsidRPr="00151EAE" w14:paraId="2C78DE7C" w14:textId="77777777" w:rsidTr="007F4708">
        <w:trPr>
          <w:trHeight w:val="2050"/>
          <w:jc w:val="center"/>
        </w:trPr>
        <w:tc>
          <w:tcPr>
            <w:tcW w:w="1696" w:type="dxa"/>
            <w:tcBorders>
              <w:top w:val="nil"/>
              <w:left w:val="single" w:sz="4" w:space="0" w:color="auto"/>
              <w:bottom w:val="single" w:sz="4" w:space="0" w:color="auto"/>
              <w:right w:val="single" w:sz="4" w:space="0" w:color="auto"/>
            </w:tcBorders>
            <w:shd w:val="clear" w:color="auto" w:fill="auto"/>
            <w:hideMark/>
          </w:tcPr>
          <w:p w14:paraId="2B822553"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17130B29"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60CAE1D8" w14:textId="2B347902" w:rsidR="009A516F" w:rsidRPr="00151EAE" w:rsidRDefault="009A516F" w:rsidP="0082175A">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Coadyuvar al Fonafifo en la ejecución eficiente de los recursos destinados a mecanismos de financiamiento dirigidos al sector forestal.</w:t>
            </w:r>
          </w:p>
          <w:p w14:paraId="6246F5D5" w14:textId="77777777" w:rsidR="009A516F" w:rsidRPr="00151EAE" w:rsidRDefault="009A516F" w:rsidP="0082175A">
            <w:pPr>
              <w:spacing w:after="0" w:line="240" w:lineRule="auto"/>
              <w:jc w:val="both"/>
              <w:rPr>
                <w:rFonts w:ascii="Arial" w:eastAsia="Times New Roman" w:hAnsi="Arial" w:cs="Arial"/>
                <w:sz w:val="18"/>
                <w:szCs w:val="18"/>
                <w:lang w:val="es-MX" w:eastAsia="es-MX"/>
              </w:rPr>
            </w:pPr>
          </w:p>
        </w:tc>
        <w:tc>
          <w:tcPr>
            <w:tcW w:w="1528" w:type="dxa"/>
            <w:tcBorders>
              <w:top w:val="nil"/>
              <w:left w:val="nil"/>
              <w:bottom w:val="single" w:sz="4" w:space="0" w:color="auto"/>
              <w:right w:val="single" w:sz="4" w:space="0" w:color="auto"/>
            </w:tcBorders>
            <w:shd w:val="clear" w:color="auto" w:fill="auto"/>
            <w:hideMark/>
          </w:tcPr>
          <w:p w14:paraId="399B06EB"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40FE2336"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120CD905" w14:textId="77777777" w:rsidR="0082175A" w:rsidRPr="00151EAE" w:rsidRDefault="0082175A" w:rsidP="0082175A">
            <w:pPr>
              <w:spacing w:after="0" w:line="240" w:lineRule="auto"/>
              <w:jc w:val="both"/>
              <w:rPr>
                <w:rFonts w:ascii="Arial" w:eastAsia="Times New Roman" w:hAnsi="Arial" w:cs="Arial"/>
                <w:sz w:val="18"/>
                <w:szCs w:val="18"/>
                <w:lang w:val="es-MX" w:eastAsia="es-MX"/>
              </w:rPr>
            </w:pPr>
          </w:p>
          <w:p w14:paraId="5751C877" w14:textId="50777694" w:rsidR="009A516F" w:rsidRPr="00151EAE" w:rsidRDefault="009A516F" w:rsidP="0082175A">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 xml:space="preserve">Porcentaje de ejecución presupuestaria del programa de crédito. </w:t>
            </w:r>
          </w:p>
          <w:p w14:paraId="77846022" w14:textId="77777777" w:rsidR="009A516F" w:rsidRPr="00151EAE" w:rsidRDefault="009A516F" w:rsidP="0082175A">
            <w:pPr>
              <w:spacing w:after="0" w:line="240" w:lineRule="auto"/>
              <w:jc w:val="both"/>
              <w:rPr>
                <w:rFonts w:ascii="Arial" w:eastAsia="Times New Roman" w:hAnsi="Arial" w:cs="Arial"/>
                <w:sz w:val="18"/>
                <w:szCs w:val="18"/>
                <w:lang w:val="es-MX" w:eastAsia="es-MX"/>
              </w:rPr>
            </w:pPr>
          </w:p>
        </w:tc>
        <w:tc>
          <w:tcPr>
            <w:tcW w:w="1364" w:type="dxa"/>
            <w:tcBorders>
              <w:top w:val="nil"/>
              <w:left w:val="nil"/>
              <w:bottom w:val="single" w:sz="4" w:space="0" w:color="auto"/>
              <w:right w:val="single" w:sz="4" w:space="0" w:color="auto"/>
            </w:tcBorders>
            <w:shd w:val="clear" w:color="auto" w:fill="auto"/>
            <w:hideMark/>
          </w:tcPr>
          <w:p w14:paraId="6D34D2CD"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2C68EF90" w14:textId="66A54429" w:rsidR="009A516F" w:rsidRPr="00151EAE" w:rsidRDefault="009A516F" w:rsidP="0082175A">
            <w:pPr>
              <w:spacing w:after="0" w:line="240" w:lineRule="auto"/>
              <w:jc w:val="center"/>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90,00%</w:t>
            </w:r>
          </w:p>
          <w:p w14:paraId="50BB40DA" w14:textId="77777777" w:rsidR="009A516F" w:rsidRPr="00151EAE" w:rsidRDefault="009A516F" w:rsidP="0082175A">
            <w:pPr>
              <w:spacing w:after="0" w:line="240" w:lineRule="auto"/>
              <w:jc w:val="center"/>
              <w:rPr>
                <w:rFonts w:ascii="Arial" w:eastAsia="Times New Roman" w:hAnsi="Arial" w:cs="Arial"/>
                <w:sz w:val="18"/>
                <w:szCs w:val="18"/>
                <w:lang w:val="es-MX" w:eastAsia="es-MX"/>
              </w:rPr>
            </w:pPr>
          </w:p>
          <w:p w14:paraId="3AB3C75C" w14:textId="30F9A82E" w:rsidR="009A516F" w:rsidRPr="00151EAE" w:rsidRDefault="009A516F" w:rsidP="00151EAE">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La estimación total de recursos para el año 2022 es de ₡776,5 millones.</w:t>
            </w:r>
          </w:p>
        </w:tc>
        <w:tc>
          <w:tcPr>
            <w:tcW w:w="1366" w:type="dxa"/>
            <w:tcBorders>
              <w:top w:val="nil"/>
              <w:left w:val="nil"/>
              <w:bottom w:val="single" w:sz="4" w:space="0" w:color="auto"/>
              <w:right w:val="single" w:sz="4" w:space="0" w:color="auto"/>
            </w:tcBorders>
            <w:shd w:val="clear" w:color="auto" w:fill="auto"/>
            <w:hideMark/>
          </w:tcPr>
          <w:p w14:paraId="30F0741C"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298C37C7"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05F6AD00"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225400CE" w14:textId="77777777" w:rsidR="0082175A" w:rsidRPr="00151EAE" w:rsidRDefault="0082175A" w:rsidP="00D9350E">
            <w:pPr>
              <w:spacing w:after="0" w:line="240" w:lineRule="auto"/>
              <w:jc w:val="both"/>
              <w:rPr>
                <w:rFonts w:ascii="Arial" w:eastAsia="Times New Roman" w:hAnsi="Arial" w:cs="Arial"/>
                <w:sz w:val="18"/>
                <w:szCs w:val="18"/>
                <w:lang w:val="es-MX" w:eastAsia="es-MX"/>
              </w:rPr>
            </w:pPr>
          </w:p>
          <w:p w14:paraId="1DF3D7EF" w14:textId="0DF8F176" w:rsidR="009A516F" w:rsidRPr="00151EAE" w:rsidRDefault="009A516F" w:rsidP="00D9350E">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Dirección de Fomento Forestal, Fonafifo.</w:t>
            </w:r>
          </w:p>
        </w:tc>
        <w:tc>
          <w:tcPr>
            <w:tcW w:w="1023" w:type="dxa"/>
            <w:tcBorders>
              <w:top w:val="nil"/>
              <w:left w:val="nil"/>
              <w:bottom w:val="single" w:sz="4" w:space="0" w:color="auto"/>
              <w:right w:val="single" w:sz="4" w:space="0" w:color="auto"/>
            </w:tcBorders>
            <w:shd w:val="clear" w:color="auto" w:fill="auto"/>
          </w:tcPr>
          <w:p w14:paraId="510FB15B"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747AAAF7"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4FC39502"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2ADB334F"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1D10211C"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0A414AED" w14:textId="77777777" w:rsidR="0082175A" w:rsidRPr="00151EAE" w:rsidRDefault="0082175A" w:rsidP="0082175A">
            <w:pPr>
              <w:spacing w:after="0" w:line="240" w:lineRule="auto"/>
              <w:jc w:val="center"/>
              <w:rPr>
                <w:rFonts w:ascii="Arial" w:eastAsia="Times New Roman" w:hAnsi="Arial" w:cs="Arial"/>
                <w:sz w:val="18"/>
                <w:szCs w:val="18"/>
                <w:lang w:val="es-MX" w:eastAsia="es-MX"/>
              </w:rPr>
            </w:pPr>
          </w:p>
          <w:p w14:paraId="2EAFB88D" w14:textId="1A53571A" w:rsidR="009A516F" w:rsidRPr="00151EAE" w:rsidRDefault="009A516F" w:rsidP="0082175A">
            <w:pPr>
              <w:spacing w:after="0" w:line="240" w:lineRule="auto"/>
              <w:jc w:val="center"/>
              <w:rPr>
                <w:rFonts w:ascii="Arial" w:eastAsia="Times New Roman" w:hAnsi="Arial" w:cs="Arial"/>
                <w:color w:val="FF0000"/>
                <w:sz w:val="18"/>
                <w:szCs w:val="18"/>
                <w:lang w:val="es-MX" w:eastAsia="es-MX"/>
              </w:rPr>
            </w:pPr>
            <w:r w:rsidRPr="00151EAE">
              <w:rPr>
                <w:rFonts w:ascii="Arial" w:eastAsia="Times New Roman" w:hAnsi="Arial" w:cs="Arial"/>
                <w:sz w:val="18"/>
                <w:szCs w:val="18"/>
                <w:lang w:val="es-MX" w:eastAsia="es-MX"/>
              </w:rPr>
              <w:t>43,69%</w:t>
            </w:r>
          </w:p>
        </w:tc>
        <w:tc>
          <w:tcPr>
            <w:tcW w:w="3655" w:type="dxa"/>
            <w:tcBorders>
              <w:top w:val="nil"/>
              <w:left w:val="nil"/>
              <w:bottom w:val="single" w:sz="4" w:space="0" w:color="auto"/>
              <w:right w:val="single" w:sz="4" w:space="0" w:color="auto"/>
            </w:tcBorders>
            <w:shd w:val="clear" w:color="auto" w:fill="auto"/>
            <w:hideMark/>
          </w:tcPr>
          <w:p w14:paraId="57970F9D" w14:textId="77777777" w:rsidR="0082175A" w:rsidRPr="00151EAE" w:rsidRDefault="0082175A" w:rsidP="00383D0D">
            <w:pPr>
              <w:spacing w:after="0" w:line="240" w:lineRule="auto"/>
              <w:jc w:val="both"/>
              <w:rPr>
                <w:rFonts w:ascii="Arial" w:eastAsia="Times New Roman" w:hAnsi="Arial" w:cs="Arial"/>
                <w:sz w:val="18"/>
                <w:szCs w:val="18"/>
                <w:lang w:val="es-MX" w:eastAsia="es-MX"/>
              </w:rPr>
            </w:pPr>
          </w:p>
          <w:p w14:paraId="572BE191" w14:textId="77777777" w:rsidR="0082175A" w:rsidRPr="00151EAE" w:rsidRDefault="0082175A" w:rsidP="00383D0D">
            <w:pPr>
              <w:spacing w:after="0" w:line="240" w:lineRule="auto"/>
              <w:jc w:val="both"/>
              <w:rPr>
                <w:rFonts w:ascii="Arial" w:eastAsia="Times New Roman" w:hAnsi="Arial" w:cs="Arial"/>
                <w:sz w:val="18"/>
                <w:szCs w:val="18"/>
                <w:lang w:val="es-MX" w:eastAsia="es-MX"/>
              </w:rPr>
            </w:pPr>
          </w:p>
          <w:p w14:paraId="2647D310" w14:textId="78224E89" w:rsidR="009A516F" w:rsidRPr="00151EAE" w:rsidRDefault="009A516F" w:rsidP="00383D0D">
            <w:pPr>
              <w:spacing w:after="0" w:line="240" w:lineRule="auto"/>
              <w:jc w:val="both"/>
              <w:rPr>
                <w:rFonts w:ascii="Arial" w:eastAsia="Times New Roman" w:hAnsi="Arial" w:cs="Arial"/>
                <w:sz w:val="18"/>
                <w:szCs w:val="18"/>
                <w:lang w:val="es-MX" w:eastAsia="es-MX"/>
              </w:rPr>
            </w:pPr>
            <w:r w:rsidRPr="00151EAE">
              <w:rPr>
                <w:rFonts w:ascii="Arial" w:eastAsia="Times New Roman" w:hAnsi="Arial" w:cs="Arial"/>
                <w:sz w:val="18"/>
                <w:szCs w:val="18"/>
                <w:lang w:val="es-MX" w:eastAsia="es-MX"/>
              </w:rPr>
              <w:t>El monto colocado en operaciones crediticias contempla tanto las nuevas operaciones formalizadas como las vigentes de periodos anteriores, colocándose al cierre del semestre un total de 45 operaciones, con lo cual se logró un avance del 39,32% respecto al presupuesto total y de 43,69% respecto a la meta.</w:t>
            </w:r>
          </w:p>
        </w:tc>
      </w:tr>
    </w:tbl>
    <w:p w14:paraId="1B1AE2F2" w14:textId="77777777" w:rsidR="008D69CB" w:rsidRPr="008D69CB" w:rsidRDefault="008D69CB" w:rsidP="008D69CB">
      <w:pPr>
        <w:spacing w:after="0" w:line="240" w:lineRule="auto"/>
        <w:contextualSpacing/>
        <w:rPr>
          <w:rFonts w:ascii="Arial" w:hAnsi="Arial" w:cs="Arial"/>
          <w:b/>
        </w:rPr>
        <w:sectPr w:rsidR="008D69CB" w:rsidRPr="008D69CB" w:rsidSect="00533912">
          <w:headerReference w:type="default" r:id="rId14"/>
          <w:footerReference w:type="even" r:id="rId15"/>
          <w:footerReference w:type="default" r:id="rId16"/>
          <w:headerReference w:type="first" r:id="rId17"/>
          <w:footerReference w:type="first" r:id="rId18"/>
          <w:pgSz w:w="12240" w:h="15840"/>
          <w:pgMar w:top="1417" w:right="1608" w:bottom="1417" w:left="1701" w:header="708" w:footer="708" w:gutter="0"/>
          <w:cols w:space="708"/>
          <w:titlePg/>
          <w:docGrid w:linePitch="360"/>
        </w:sectPr>
      </w:pPr>
    </w:p>
    <w:p w14:paraId="026AB0A4" w14:textId="51DD2437" w:rsidR="00A73E51" w:rsidRPr="00BC4693" w:rsidRDefault="00A73E51" w:rsidP="00EF0261">
      <w:pPr>
        <w:pStyle w:val="Prrafodelista"/>
        <w:numPr>
          <w:ilvl w:val="0"/>
          <w:numId w:val="3"/>
        </w:numPr>
        <w:spacing w:after="0" w:line="240" w:lineRule="auto"/>
        <w:outlineLvl w:val="0"/>
        <w:rPr>
          <w:rFonts w:ascii="Arial" w:hAnsi="Arial" w:cs="Arial"/>
          <w:b/>
          <w:sz w:val="24"/>
        </w:rPr>
      </w:pPr>
      <w:bookmarkStart w:id="11" w:name="_Toc109980598"/>
      <w:r w:rsidRPr="00BC4693">
        <w:rPr>
          <w:rFonts w:ascii="Arial" w:hAnsi="Arial" w:cs="Arial"/>
          <w:b/>
          <w:sz w:val="24"/>
        </w:rPr>
        <w:lastRenderedPageBreak/>
        <w:t>Resultados de la Ejecución Presupuestaria</w:t>
      </w:r>
      <w:bookmarkEnd w:id="11"/>
    </w:p>
    <w:p w14:paraId="5207388D" w14:textId="5EAE640B" w:rsidR="00B77BF4" w:rsidRPr="00BC4693" w:rsidRDefault="00663D58" w:rsidP="00EF0261">
      <w:pPr>
        <w:pStyle w:val="Ttulo3"/>
        <w:spacing w:line="240" w:lineRule="auto"/>
        <w:rPr>
          <w:rFonts w:ascii="Arial" w:hAnsi="Arial" w:cs="Arial"/>
          <w:color w:val="auto"/>
          <w:sz w:val="24"/>
        </w:rPr>
      </w:pPr>
      <w:bookmarkStart w:id="12" w:name="_Toc109980599"/>
      <w:bookmarkStart w:id="13" w:name="_Hlk109987803"/>
      <w:r w:rsidRPr="00BC4693">
        <w:rPr>
          <w:rFonts w:ascii="Arial" w:hAnsi="Arial" w:cs="Arial"/>
          <w:color w:val="auto"/>
          <w:sz w:val="24"/>
        </w:rPr>
        <w:t xml:space="preserve">3.  </w:t>
      </w:r>
      <w:r w:rsidR="00325AFC" w:rsidRPr="00BC4693">
        <w:rPr>
          <w:rFonts w:ascii="Arial" w:hAnsi="Arial" w:cs="Arial"/>
          <w:color w:val="auto"/>
          <w:sz w:val="24"/>
        </w:rPr>
        <w:t>Ejecución Financiera</w:t>
      </w:r>
      <w:bookmarkEnd w:id="12"/>
    </w:p>
    <w:p w14:paraId="7A11632C" w14:textId="52EE101D" w:rsidR="00A73E51" w:rsidRPr="00BC4693" w:rsidRDefault="00663D58" w:rsidP="00EF0261">
      <w:pPr>
        <w:pStyle w:val="Ttulo3"/>
        <w:spacing w:line="240" w:lineRule="auto"/>
        <w:rPr>
          <w:rFonts w:ascii="Arial" w:hAnsi="Arial" w:cs="Arial"/>
          <w:color w:val="auto"/>
          <w:sz w:val="24"/>
        </w:rPr>
      </w:pPr>
      <w:bookmarkStart w:id="14" w:name="_Toc109980600"/>
      <w:r w:rsidRPr="00BC4693">
        <w:rPr>
          <w:rFonts w:ascii="Arial" w:hAnsi="Arial" w:cs="Arial"/>
          <w:color w:val="auto"/>
          <w:sz w:val="24"/>
        </w:rPr>
        <w:t xml:space="preserve">3.1 </w:t>
      </w:r>
      <w:r w:rsidR="00A73E51" w:rsidRPr="00BC4693">
        <w:rPr>
          <w:rFonts w:ascii="Arial" w:hAnsi="Arial" w:cs="Arial"/>
          <w:color w:val="auto"/>
          <w:sz w:val="24"/>
        </w:rPr>
        <w:t>Ejecución del Presupuesto de Ingresos</w:t>
      </w:r>
      <w:bookmarkEnd w:id="14"/>
    </w:p>
    <w:p w14:paraId="081679B0" w14:textId="0AB218CC" w:rsidR="00F908BE" w:rsidRPr="002918D5" w:rsidRDefault="005E68DE" w:rsidP="00BA0BDA">
      <w:pPr>
        <w:spacing w:after="0" w:line="240" w:lineRule="auto"/>
        <w:jc w:val="center"/>
        <w:rPr>
          <w:rFonts w:ascii="Arial" w:hAnsi="Arial" w:cs="Arial"/>
          <w:b/>
          <w:sz w:val="20"/>
          <w:szCs w:val="16"/>
        </w:rPr>
      </w:pPr>
      <w:r w:rsidRPr="00551D21">
        <w:rPr>
          <w:rFonts w:ascii="Arial" w:hAnsi="Arial" w:cs="Arial"/>
          <w:b/>
          <w:sz w:val="16"/>
          <w:szCs w:val="16"/>
        </w:rPr>
        <w:t xml:space="preserve">          </w:t>
      </w:r>
      <w:r w:rsidR="00F908BE" w:rsidRPr="002918D5">
        <w:rPr>
          <w:rFonts w:ascii="Arial" w:hAnsi="Arial" w:cs="Arial"/>
          <w:b/>
          <w:sz w:val="20"/>
          <w:szCs w:val="16"/>
        </w:rPr>
        <w:t>FIDEICOMISO 544 FONAFIFO/BNCR</w:t>
      </w:r>
    </w:p>
    <w:p w14:paraId="6146FB39" w14:textId="77777777" w:rsidR="00284DDF" w:rsidRPr="002918D5" w:rsidRDefault="0064010E" w:rsidP="00BA0BDA">
      <w:pPr>
        <w:spacing w:after="0" w:line="240" w:lineRule="auto"/>
        <w:ind w:left="720"/>
        <w:jc w:val="center"/>
        <w:rPr>
          <w:rFonts w:ascii="Arial" w:hAnsi="Arial" w:cs="Arial"/>
          <w:b/>
          <w:sz w:val="20"/>
          <w:szCs w:val="16"/>
        </w:rPr>
      </w:pPr>
      <w:r w:rsidRPr="002918D5">
        <w:rPr>
          <w:rFonts w:ascii="Arial" w:hAnsi="Arial" w:cs="Arial"/>
          <w:b/>
          <w:sz w:val="20"/>
          <w:szCs w:val="16"/>
        </w:rPr>
        <w:t xml:space="preserve">EJECUCIÓN PRESUPUESTARIA </w:t>
      </w:r>
      <w:r w:rsidR="00284DDF" w:rsidRPr="002918D5">
        <w:rPr>
          <w:rFonts w:ascii="Arial" w:hAnsi="Arial" w:cs="Arial"/>
          <w:b/>
          <w:sz w:val="20"/>
          <w:szCs w:val="16"/>
        </w:rPr>
        <w:t>DE INGRESO</w:t>
      </w:r>
    </w:p>
    <w:p w14:paraId="3EB404A0" w14:textId="23E9C1F6" w:rsidR="00E27DF9" w:rsidRPr="002918D5" w:rsidRDefault="0064010E" w:rsidP="00BA0BDA">
      <w:pPr>
        <w:spacing w:after="0" w:line="240" w:lineRule="auto"/>
        <w:ind w:left="720"/>
        <w:jc w:val="center"/>
        <w:rPr>
          <w:rFonts w:ascii="Arial" w:hAnsi="Arial" w:cs="Arial"/>
          <w:b/>
          <w:sz w:val="20"/>
          <w:szCs w:val="16"/>
        </w:rPr>
      </w:pPr>
      <w:r w:rsidRPr="002918D5">
        <w:rPr>
          <w:rFonts w:ascii="Arial" w:hAnsi="Arial" w:cs="Arial"/>
          <w:b/>
          <w:sz w:val="20"/>
          <w:szCs w:val="16"/>
        </w:rPr>
        <w:t xml:space="preserve">AL </w:t>
      </w:r>
      <w:r w:rsidR="00C10883" w:rsidRPr="002918D5">
        <w:rPr>
          <w:rFonts w:ascii="Arial" w:hAnsi="Arial" w:cs="Arial"/>
          <w:b/>
          <w:sz w:val="20"/>
          <w:szCs w:val="16"/>
        </w:rPr>
        <w:t>30 DE JUNIO</w:t>
      </w:r>
      <w:r w:rsidR="009C17E6" w:rsidRPr="002918D5">
        <w:rPr>
          <w:rFonts w:ascii="Arial" w:hAnsi="Arial" w:cs="Arial"/>
          <w:b/>
          <w:sz w:val="20"/>
          <w:szCs w:val="16"/>
        </w:rPr>
        <w:t xml:space="preserve"> DEL 20</w:t>
      </w:r>
      <w:r w:rsidR="00097BCC" w:rsidRPr="002918D5">
        <w:rPr>
          <w:rFonts w:ascii="Arial" w:hAnsi="Arial" w:cs="Arial"/>
          <w:b/>
          <w:sz w:val="20"/>
          <w:szCs w:val="16"/>
        </w:rPr>
        <w:t>2</w:t>
      </w:r>
      <w:r w:rsidR="00C10883" w:rsidRPr="002918D5">
        <w:rPr>
          <w:rFonts w:ascii="Arial" w:hAnsi="Arial" w:cs="Arial"/>
          <w:b/>
          <w:sz w:val="20"/>
          <w:szCs w:val="16"/>
        </w:rPr>
        <w:t>2</w:t>
      </w:r>
    </w:p>
    <w:p w14:paraId="0FD54D8F" w14:textId="415BBA3F" w:rsidR="00E27DF9" w:rsidRPr="002918D5" w:rsidRDefault="0004448C" w:rsidP="00BA0BDA">
      <w:pPr>
        <w:spacing w:after="0" w:line="240" w:lineRule="auto"/>
        <w:ind w:left="720"/>
        <w:jc w:val="center"/>
        <w:rPr>
          <w:rFonts w:ascii="Arial" w:hAnsi="Arial" w:cs="Arial"/>
          <w:b/>
          <w:sz w:val="20"/>
          <w:szCs w:val="16"/>
        </w:rPr>
      </w:pPr>
      <w:r w:rsidRPr="002918D5">
        <w:rPr>
          <w:rFonts w:ascii="Arial" w:hAnsi="Arial" w:cs="Arial"/>
          <w:b/>
          <w:sz w:val="20"/>
          <w:szCs w:val="16"/>
        </w:rPr>
        <w:t>(EXPRESADA EN COLONES)</w:t>
      </w:r>
      <w:r w:rsidR="00625560" w:rsidRPr="002918D5">
        <w:rPr>
          <w:rFonts w:ascii="Arial" w:hAnsi="Arial" w:cs="Arial"/>
          <w:b/>
          <w:sz w:val="20"/>
          <w:szCs w:val="16"/>
        </w:rPr>
        <w:t xml:space="preserve"> </w:t>
      </w:r>
    </w:p>
    <w:p w14:paraId="5AB112C9" w14:textId="47AEB34C" w:rsidR="00822926" w:rsidRPr="003C5C59" w:rsidRDefault="00D04519" w:rsidP="00344F9A">
      <w:pPr>
        <w:spacing w:line="240" w:lineRule="auto"/>
        <w:rPr>
          <w:rFonts w:ascii="Arial" w:hAnsi="Arial" w:cs="Arial"/>
          <w:b/>
          <w:sz w:val="18"/>
          <w:szCs w:val="18"/>
        </w:rPr>
        <w:sectPr w:rsidR="00822926" w:rsidRPr="003C5C59" w:rsidSect="00625560">
          <w:pgSz w:w="15840" w:h="12240" w:orient="landscape"/>
          <w:pgMar w:top="720" w:right="720" w:bottom="720" w:left="720" w:header="510" w:footer="454" w:gutter="0"/>
          <w:cols w:space="708"/>
          <w:docGrid w:linePitch="360"/>
        </w:sectPr>
      </w:pPr>
      <w:r w:rsidRPr="00D04519">
        <w:rPr>
          <w:noProof/>
          <w:lang w:val="es-MX" w:eastAsia="es-MX"/>
        </w:rPr>
        <w:drawing>
          <wp:inline distT="0" distB="0" distL="0" distR="0" wp14:anchorId="6C9D4EA3" wp14:editId="4430F61C">
            <wp:extent cx="9258300" cy="426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8300" cy="4267200"/>
                    </a:xfrm>
                    <a:prstGeom prst="rect">
                      <a:avLst/>
                    </a:prstGeom>
                    <a:noFill/>
                    <a:ln>
                      <a:noFill/>
                    </a:ln>
                  </pic:spPr>
                </pic:pic>
              </a:graphicData>
            </a:graphic>
          </wp:inline>
        </w:drawing>
      </w:r>
    </w:p>
    <w:bookmarkEnd w:id="13"/>
    <w:p w14:paraId="562A9EA8" w14:textId="77777777" w:rsidR="001E1B19" w:rsidRDefault="001E1B19" w:rsidP="00551D21">
      <w:pPr>
        <w:pStyle w:val="Ttulo3"/>
        <w:rPr>
          <w:rFonts w:ascii="Arial" w:hAnsi="Arial" w:cs="Arial"/>
          <w:color w:val="auto"/>
          <w:sz w:val="24"/>
          <w:szCs w:val="24"/>
        </w:rPr>
      </w:pPr>
    </w:p>
    <w:p w14:paraId="3C15739D" w14:textId="77777777" w:rsidR="00025DED" w:rsidRPr="00551D21" w:rsidRDefault="00663D58" w:rsidP="00551D21">
      <w:pPr>
        <w:pStyle w:val="Ttulo3"/>
        <w:rPr>
          <w:rFonts w:ascii="Arial" w:hAnsi="Arial" w:cs="Arial"/>
          <w:color w:val="auto"/>
          <w:sz w:val="24"/>
          <w:szCs w:val="24"/>
        </w:rPr>
      </w:pPr>
      <w:bookmarkStart w:id="15" w:name="_Toc109980601"/>
      <w:r w:rsidRPr="00551D21">
        <w:rPr>
          <w:rFonts w:ascii="Arial" w:hAnsi="Arial" w:cs="Arial"/>
          <w:color w:val="auto"/>
          <w:sz w:val="24"/>
          <w:szCs w:val="24"/>
        </w:rPr>
        <w:t>3</w:t>
      </w:r>
      <w:r w:rsidR="00025DED" w:rsidRPr="00551D21">
        <w:rPr>
          <w:rFonts w:ascii="Arial" w:hAnsi="Arial" w:cs="Arial"/>
          <w:color w:val="auto"/>
          <w:sz w:val="24"/>
          <w:szCs w:val="24"/>
        </w:rPr>
        <w:t>.2 E</w:t>
      </w:r>
      <w:r w:rsidRPr="00551D21">
        <w:rPr>
          <w:rFonts w:ascii="Arial" w:hAnsi="Arial" w:cs="Arial"/>
          <w:color w:val="auto"/>
          <w:sz w:val="24"/>
          <w:szCs w:val="24"/>
        </w:rPr>
        <w:t>jecución</w:t>
      </w:r>
      <w:r w:rsidR="00025DED" w:rsidRPr="00551D21">
        <w:rPr>
          <w:rFonts w:ascii="Arial" w:hAnsi="Arial" w:cs="Arial"/>
          <w:color w:val="auto"/>
          <w:sz w:val="24"/>
          <w:szCs w:val="24"/>
        </w:rPr>
        <w:t xml:space="preserve"> </w:t>
      </w:r>
      <w:r w:rsidRPr="00551D21">
        <w:rPr>
          <w:rFonts w:ascii="Arial" w:hAnsi="Arial" w:cs="Arial"/>
          <w:color w:val="auto"/>
          <w:sz w:val="24"/>
          <w:szCs w:val="24"/>
        </w:rPr>
        <w:t>del</w:t>
      </w:r>
      <w:r w:rsidR="00025DED" w:rsidRPr="00551D21">
        <w:rPr>
          <w:rFonts w:ascii="Arial" w:hAnsi="Arial" w:cs="Arial"/>
          <w:color w:val="auto"/>
          <w:sz w:val="24"/>
          <w:szCs w:val="24"/>
        </w:rPr>
        <w:t xml:space="preserve"> P</w:t>
      </w:r>
      <w:r w:rsidRPr="00551D21">
        <w:rPr>
          <w:rFonts w:ascii="Arial" w:hAnsi="Arial" w:cs="Arial"/>
          <w:color w:val="auto"/>
          <w:sz w:val="24"/>
          <w:szCs w:val="24"/>
        </w:rPr>
        <w:t>resupuesto</w:t>
      </w:r>
      <w:r w:rsidR="00025DED" w:rsidRPr="00551D21">
        <w:rPr>
          <w:rFonts w:ascii="Arial" w:hAnsi="Arial" w:cs="Arial"/>
          <w:color w:val="auto"/>
          <w:sz w:val="24"/>
          <w:szCs w:val="24"/>
        </w:rPr>
        <w:t xml:space="preserve"> </w:t>
      </w:r>
      <w:r w:rsidRPr="00551D21">
        <w:rPr>
          <w:rFonts w:ascii="Arial" w:hAnsi="Arial" w:cs="Arial"/>
          <w:color w:val="auto"/>
          <w:sz w:val="24"/>
          <w:szCs w:val="24"/>
        </w:rPr>
        <w:t>de</w:t>
      </w:r>
      <w:r w:rsidR="00025DED" w:rsidRPr="00551D21">
        <w:rPr>
          <w:rFonts w:ascii="Arial" w:hAnsi="Arial" w:cs="Arial"/>
          <w:color w:val="auto"/>
          <w:sz w:val="24"/>
          <w:szCs w:val="24"/>
        </w:rPr>
        <w:t xml:space="preserve"> E</w:t>
      </w:r>
      <w:r w:rsidRPr="00551D21">
        <w:rPr>
          <w:rFonts w:ascii="Arial" w:hAnsi="Arial" w:cs="Arial"/>
          <w:color w:val="auto"/>
          <w:sz w:val="24"/>
          <w:szCs w:val="24"/>
        </w:rPr>
        <w:t>gresos</w:t>
      </w:r>
      <w:bookmarkEnd w:id="15"/>
      <w:r w:rsidR="00025DED" w:rsidRPr="00551D21">
        <w:rPr>
          <w:rFonts w:ascii="Arial" w:hAnsi="Arial" w:cs="Arial"/>
          <w:color w:val="auto"/>
          <w:sz w:val="24"/>
          <w:szCs w:val="24"/>
        </w:rPr>
        <w:t xml:space="preserve"> </w:t>
      </w:r>
    </w:p>
    <w:p w14:paraId="2E29E520" w14:textId="77777777" w:rsidR="001E1B19" w:rsidRPr="00663D58" w:rsidRDefault="001E1B19" w:rsidP="005D70AA">
      <w:pPr>
        <w:spacing w:after="0" w:line="240" w:lineRule="auto"/>
        <w:jc w:val="center"/>
        <w:rPr>
          <w:rFonts w:ascii="Arial" w:hAnsi="Arial" w:cs="Arial"/>
          <w:b/>
          <w:sz w:val="24"/>
          <w:szCs w:val="24"/>
        </w:rPr>
      </w:pPr>
      <w:bookmarkStart w:id="16" w:name="_Hlk109988029"/>
    </w:p>
    <w:p w14:paraId="1847C635" w14:textId="77777777" w:rsidR="00025DED" w:rsidRPr="00BC4693" w:rsidRDefault="00025DED" w:rsidP="005D70AA">
      <w:pPr>
        <w:spacing w:after="0" w:line="240" w:lineRule="auto"/>
        <w:jc w:val="center"/>
        <w:rPr>
          <w:rFonts w:ascii="Arial" w:hAnsi="Arial" w:cs="Arial"/>
          <w:b/>
          <w:sz w:val="20"/>
          <w:szCs w:val="24"/>
        </w:rPr>
      </w:pPr>
      <w:r w:rsidRPr="00BC4693">
        <w:rPr>
          <w:rFonts w:ascii="Arial" w:hAnsi="Arial" w:cs="Arial"/>
          <w:b/>
          <w:sz w:val="20"/>
          <w:szCs w:val="24"/>
        </w:rPr>
        <w:t>FIDEICOMISO 544 FONAFIFO/BNCR</w:t>
      </w:r>
    </w:p>
    <w:p w14:paraId="148BA0F8" w14:textId="7137F54C" w:rsidR="00025DED" w:rsidRPr="00BC4693" w:rsidRDefault="00025DED" w:rsidP="005D70AA">
      <w:pPr>
        <w:spacing w:after="0" w:line="240" w:lineRule="auto"/>
        <w:jc w:val="center"/>
        <w:rPr>
          <w:rFonts w:ascii="Arial" w:hAnsi="Arial" w:cs="Arial"/>
          <w:b/>
          <w:sz w:val="20"/>
          <w:szCs w:val="24"/>
        </w:rPr>
      </w:pPr>
      <w:r w:rsidRPr="00BC4693">
        <w:rPr>
          <w:rFonts w:ascii="Arial" w:hAnsi="Arial" w:cs="Arial"/>
          <w:b/>
          <w:sz w:val="20"/>
          <w:szCs w:val="24"/>
        </w:rPr>
        <w:t>EJECUCIÓN PRESUPUESTARIA DE EGRESOS</w:t>
      </w:r>
    </w:p>
    <w:p w14:paraId="4BAB0908" w14:textId="2650D5FE" w:rsidR="00025DED" w:rsidRPr="00BC4693" w:rsidRDefault="00025DED" w:rsidP="005D70AA">
      <w:pPr>
        <w:spacing w:after="0" w:line="240" w:lineRule="auto"/>
        <w:ind w:left="720"/>
        <w:jc w:val="center"/>
        <w:rPr>
          <w:rFonts w:ascii="Arial" w:hAnsi="Arial" w:cs="Arial"/>
          <w:b/>
          <w:sz w:val="20"/>
          <w:szCs w:val="24"/>
        </w:rPr>
      </w:pPr>
      <w:r w:rsidRPr="00BC4693">
        <w:rPr>
          <w:rFonts w:ascii="Arial" w:hAnsi="Arial" w:cs="Arial"/>
          <w:b/>
          <w:sz w:val="20"/>
          <w:szCs w:val="24"/>
        </w:rPr>
        <w:t>AL 3</w:t>
      </w:r>
      <w:r w:rsidR="004152A3" w:rsidRPr="00BC4693">
        <w:rPr>
          <w:rFonts w:ascii="Arial" w:hAnsi="Arial" w:cs="Arial"/>
          <w:b/>
          <w:sz w:val="20"/>
          <w:szCs w:val="24"/>
        </w:rPr>
        <w:t>0</w:t>
      </w:r>
      <w:r w:rsidRPr="00BC4693">
        <w:rPr>
          <w:rFonts w:ascii="Arial" w:hAnsi="Arial" w:cs="Arial"/>
          <w:b/>
          <w:sz w:val="20"/>
          <w:szCs w:val="24"/>
        </w:rPr>
        <w:t xml:space="preserve"> DE </w:t>
      </w:r>
      <w:r w:rsidR="004152A3" w:rsidRPr="00BC4693">
        <w:rPr>
          <w:rFonts w:ascii="Arial" w:hAnsi="Arial" w:cs="Arial"/>
          <w:b/>
          <w:sz w:val="20"/>
          <w:szCs w:val="24"/>
        </w:rPr>
        <w:t>JUNIO</w:t>
      </w:r>
      <w:r w:rsidRPr="00BC4693">
        <w:rPr>
          <w:rFonts w:ascii="Arial" w:hAnsi="Arial" w:cs="Arial"/>
          <w:b/>
          <w:sz w:val="20"/>
          <w:szCs w:val="24"/>
        </w:rPr>
        <w:t xml:space="preserve"> 20</w:t>
      </w:r>
      <w:r w:rsidR="00EA10B9" w:rsidRPr="00BC4693">
        <w:rPr>
          <w:rFonts w:ascii="Arial" w:hAnsi="Arial" w:cs="Arial"/>
          <w:b/>
          <w:sz w:val="20"/>
          <w:szCs w:val="24"/>
        </w:rPr>
        <w:t>2</w:t>
      </w:r>
      <w:r w:rsidR="004152A3" w:rsidRPr="00BC4693">
        <w:rPr>
          <w:rFonts w:ascii="Arial" w:hAnsi="Arial" w:cs="Arial"/>
          <w:b/>
          <w:sz w:val="20"/>
          <w:szCs w:val="24"/>
        </w:rPr>
        <w:t>2</w:t>
      </w:r>
    </w:p>
    <w:p w14:paraId="7B8667EC" w14:textId="12738778" w:rsidR="00AF1526" w:rsidRPr="00BC4693" w:rsidRDefault="005D70AA" w:rsidP="005D70AA">
      <w:pPr>
        <w:spacing w:after="0" w:line="240" w:lineRule="auto"/>
        <w:jc w:val="center"/>
        <w:rPr>
          <w:rFonts w:ascii="Arial" w:hAnsi="Arial" w:cs="Arial"/>
          <w:b/>
          <w:sz w:val="20"/>
          <w:szCs w:val="24"/>
        </w:rPr>
      </w:pPr>
      <w:r>
        <w:rPr>
          <w:rFonts w:ascii="Arial" w:hAnsi="Arial" w:cs="Arial"/>
          <w:b/>
          <w:sz w:val="20"/>
          <w:szCs w:val="24"/>
        </w:rPr>
        <w:t xml:space="preserve">        </w:t>
      </w:r>
      <w:r w:rsidR="00025DED" w:rsidRPr="00BC4693">
        <w:rPr>
          <w:rFonts w:ascii="Arial" w:hAnsi="Arial" w:cs="Arial"/>
          <w:b/>
          <w:sz w:val="20"/>
          <w:szCs w:val="24"/>
        </w:rPr>
        <w:t>(EXPRESAD</w:t>
      </w:r>
      <w:r w:rsidR="004152A3" w:rsidRPr="00BC4693">
        <w:rPr>
          <w:rFonts w:ascii="Arial" w:hAnsi="Arial" w:cs="Arial"/>
          <w:b/>
          <w:sz w:val="20"/>
          <w:szCs w:val="24"/>
        </w:rPr>
        <w:t>O</w:t>
      </w:r>
      <w:r w:rsidR="00025DED" w:rsidRPr="00BC4693">
        <w:rPr>
          <w:rFonts w:ascii="Arial" w:hAnsi="Arial" w:cs="Arial"/>
          <w:b/>
          <w:sz w:val="20"/>
          <w:szCs w:val="24"/>
        </w:rPr>
        <w:t xml:space="preserve"> EN COLONES)</w:t>
      </w:r>
    </w:p>
    <w:p w14:paraId="6E89A739" w14:textId="4FC7EEB9" w:rsidR="00B56F38" w:rsidRDefault="00B56F38" w:rsidP="00025DED">
      <w:pPr>
        <w:spacing w:after="0" w:line="240" w:lineRule="auto"/>
        <w:jc w:val="center"/>
        <w:rPr>
          <w:rFonts w:ascii="Arial" w:hAnsi="Arial" w:cs="Arial"/>
          <w:b/>
          <w:sz w:val="24"/>
          <w:szCs w:val="24"/>
        </w:rPr>
      </w:pPr>
    </w:p>
    <w:tbl>
      <w:tblPr>
        <w:tblW w:w="9474" w:type="dxa"/>
        <w:tblCellMar>
          <w:left w:w="70" w:type="dxa"/>
          <w:right w:w="70" w:type="dxa"/>
        </w:tblCellMar>
        <w:tblLook w:val="04A0" w:firstRow="1" w:lastRow="0" w:firstColumn="1" w:lastColumn="0" w:noHBand="0" w:noVBand="1"/>
      </w:tblPr>
      <w:tblGrid>
        <w:gridCol w:w="2681"/>
        <w:gridCol w:w="2394"/>
        <w:gridCol w:w="2602"/>
        <w:gridCol w:w="1797"/>
      </w:tblGrid>
      <w:tr w:rsidR="00951CCF" w:rsidRPr="00951CCF" w14:paraId="70E56232" w14:textId="77777777" w:rsidTr="00D9350E">
        <w:trPr>
          <w:trHeight w:val="254"/>
        </w:trPr>
        <w:tc>
          <w:tcPr>
            <w:tcW w:w="2681" w:type="dxa"/>
            <w:vMerge w:val="restart"/>
            <w:tcBorders>
              <w:top w:val="single" w:sz="8" w:space="0" w:color="auto"/>
              <w:left w:val="single" w:sz="8" w:space="0" w:color="auto"/>
              <w:bottom w:val="single" w:sz="8" w:space="0" w:color="000000"/>
              <w:right w:val="nil"/>
            </w:tcBorders>
            <w:shd w:val="clear" w:color="000000" w:fill="00B050"/>
            <w:noWrap/>
            <w:vAlign w:val="center"/>
            <w:hideMark/>
          </w:tcPr>
          <w:p w14:paraId="779C6485" w14:textId="77777777" w:rsidR="00951CCF" w:rsidRPr="00951CCF" w:rsidRDefault="00951CCF" w:rsidP="00951CCF">
            <w:pPr>
              <w:spacing w:after="0" w:line="240" w:lineRule="auto"/>
              <w:jc w:val="center"/>
              <w:rPr>
                <w:rFonts w:ascii="Arial" w:eastAsia="Times New Roman" w:hAnsi="Arial" w:cs="Arial"/>
                <w:b/>
                <w:bCs/>
                <w:color w:val="000000"/>
                <w:sz w:val="20"/>
                <w:szCs w:val="20"/>
                <w:lang w:val="es-US" w:eastAsia="es-US"/>
              </w:rPr>
            </w:pPr>
            <w:r w:rsidRPr="00951CCF">
              <w:rPr>
                <w:rFonts w:ascii="Arial" w:eastAsia="Times New Roman" w:hAnsi="Arial" w:cs="Arial"/>
                <w:b/>
                <w:bCs/>
                <w:color w:val="000000"/>
                <w:sz w:val="20"/>
                <w:szCs w:val="20"/>
                <w:lang w:val="es-US" w:eastAsia="es-US"/>
              </w:rPr>
              <w:t>Nombre de la sub partida</w:t>
            </w:r>
          </w:p>
        </w:tc>
        <w:tc>
          <w:tcPr>
            <w:tcW w:w="2394"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14:paraId="45C94584" w14:textId="77777777" w:rsidR="00951CCF" w:rsidRPr="00951CCF" w:rsidRDefault="00951CCF" w:rsidP="00951CCF">
            <w:pPr>
              <w:spacing w:after="0" w:line="240" w:lineRule="auto"/>
              <w:jc w:val="center"/>
              <w:rPr>
                <w:rFonts w:ascii="Arial" w:eastAsia="Times New Roman" w:hAnsi="Arial" w:cs="Arial"/>
                <w:b/>
                <w:bCs/>
                <w:color w:val="000000"/>
                <w:sz w:val="20"/>
                <w:szCs w:val="20"/>
                <w:lang w:val="es-US" w:eastAsia="es-US"/>
              </w:rPr>
            </w:pPr>
            <w:r w:rsidRPr="00951CCF">
              <w:rPr>
                <w:rFonts w:ascii="Arial" w:eastAsia="Times New Roman" w:hAnsi="Arial" w:cs="Arial"/>
                <w:b/>
                <w:bCs/>
                <w:color w:val="000000"/>
                <w:sz w:val="20"/>
                <w:szCs w:val="20"/>
                <w:lang w:val="es-US" w:eastAsia="es-US"/>
              </w:rPr>
              <w:t>Presupuesto aprobado</w:t>
            </w:r>
          </w:p>
        </w:tc>
        <w:tc>
          <w:tcPr>
            <w:tcW w:w="2602" w:type="dxa"/>
            <w:tcBorders>
              <w:top w:val="single" w:sz="8" w:space="0" w:color="auto"/>
              <w:left w:val="nil"/>
              <w:bottom w:val="nil"/>
              <w:right w:val="nil"/>
            </w:tcBorders>
            <w:shd w:val="clear" w:color="000000" w:fill="00B050"/>
            <w:noWrap/>
            <w:vAlign w:val="center"/>
            <w:hideMark/>
          </w:tcPr>
          <w:p w14:paraId="557CB4E4" w14:textId="77777777" w:rsidR="00951CCF" w:rsidRPr="00951CCF" w:rsidRDefault="00951CCF" w:rsidP="00951CCF">
            <w:pPr>
              <w:spacing w:after="0" w:line="240" w:lineRule="auto"/>
              <w:jc w:val="center"/>
              <w:rPr>
                <w:rFonts w:ascii="Arial" w:eastAsia="Times New Roman" w:hAnsi="Arial" w:cs="Arial"/>
                <w:b/>
                <w:bCs/>
                <w:color w:val="000000"/>
                <w:sz w:val="20"/>
                <w:szCs w:val="20"/>
                <w:lang w:val="es-US" w:eastAsia="es-US"/>
              </w:rPr>
            </w:pPr>
            <w:r w:rsidRPr="00951CCF">
              <w:rPr>
                <w:rFonts w:ascii="Arial" w:eastAsia="Times New Roman" w:hAnsi="Arial" w:cs="Arial"/>
                <w:b/>
                <w:bCs/>
                <w:color w:val="000000"/>
                <w:sz w:val="20"/>
                <w:szCs w:val="20"/>
                <w:lang w:val="es-US" w:eastAsia="es-US"/>
              </w:rPr>
              <w:t>Presupuesto Ejecutado</w:t>
            </w:r>
          </w:p>
        </w:tc>
        <w:tc>
          <w:tcPr>
            <w:tcW w:w="1797"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14:paraId="2C3463CC" w14:textId="77777777" w:rsidR="00951CCF" w:rsidRPr="00951CCF" w:rsidRDefault="00951CCF" w:rsidP="00951CCF">
            <w:pPr>
              <w:spacing w:after="0" w:line="240" w:lineRule="auto"/>
              <w:jc w:val="center"/>
              <w:rPr>
                <w:rFonts w:ascii="Arial" w:eastAsia="Times New Roman" w:hAnsi="Arial" w:cs="Arial"/>
                <w:b/>
                <w:bCs/>
                <w:color w:val="000000"/>
                <w:sz w:val="20"/>
                <w:szCs w:val="20"/>
                <w:lang w:val="es-US" w:eastAsia="es-US"/>
              </w:rPr>
            </w:pPr>
            <w:r w:rsidRPr="00951CCF">
              <w:rPr>
                <w:rFonts w:ascii="Arial" w:eastAsia="Times New Roman" w:hAnsi="Arial" w:cs="Arial"/>
                <w:b/>
                <w:bCs/>
                <w:color w:val="000000"/>
                <w:sz w:val="20"/>
                <w:szCs w:val="20"/>
                <w:lang w:val="es-US" w:eastAsia="es-US"/>
              </w:rPr>
              <w:t>% Ejecución</w:t>
            </w:r>
          </w:p>
        </w:tc>
      </w:tr>
      <w:tr w:rsidR="00951CCF" w:rsidRPr="00951CCF" w14:paraId="768E66E7" w14:textId="77777777" w:rsidTr="00D9350E">
        <w:trPr>
          <w:trHeight w:val="42"/>
        </w:trPr>
        <w:tc>
          <w:tcPr>
            <w:tcW w:w="2681" w:type="dxa"/>
            <w:vMerge/>
            <w:tcBorders>
              <w:top w:val="single" w:sz="8" w:space="0" w:color="auto"/>
              <w:left w:val="single" w:sz="8" w:space="0" w:color="auto"/>
              <w:bottom w:val="single" w:sz="8" w:space="0" w:color="000000"/>
              <w:right w:val="nil"/>
            </w:tcBorders>
            <w:vAlign w:val="center"/>
            <w:hideMark/>
          </w:tcPr>
          <w:p w14:paraId="2AF5173E" w14:textId="77777777" w:rsidR="00951CCF" w:rsidRPr="00951CCF" w:rsidRDefault="00951CCF" w:rsidP="00951CCF">
            <w:pPr>
              <w:spacing w:after="0" w:line="240" w:lineRule="auto"/>
              <w:rPr>
                <w:rFonts w:ascii="Arial" w:eastAsia="Times New Roman" w:hAnsi="Arial" w:cs="Arial"/>
                <w:b/>
                <w:bCs/>
                <w:color w:val="000000"/>
                <w:sz w:val="20"/>
                <w:szCs w:val="20"/>
                <w:lang w:val="es-US" w:eastAsia="es-US"/>
              </w:rPr>
            </w:pPr>
          </w:p>
        </w:tc>
        <w:tc>
          <w:tcPr>
            <w:tcW w:w="2394" w:type="dxa"/>
            <w:vMerge/>
            <w:tcBorders>
              <w:top w:val="single" w:sz="8" w:space="0" w:color="auto"/>
              <w:left w:val="single" w:sz="8" w:space="0" w:color="auto"/>
              <w:bottom w:val="single" w:sz="8" w:space="0" w:color="000000"/>
              <w:right w:val="single" w:sz="8" w:space="0" w:color="auto"/>
            </w:tcBorders>
            <w:vAlign w:val="center"/>
            <w:hideMark/>
          </w:tcPr>
          <w:p w14:paraId="178981C3" w14:textId="77777777" w:rsidR="00951CCF" w:rsidRPr="00951CCF" w:rsidRDefault="00951CCF" w:rsidP="00951CCF">
            <w:pPr>
              <w:spacing w:after="0" w:line="240" w:lineRule="auto"/>
              <w:rPr>
                <w:rFonts w:ascii="Arial" w:eastAsia="Times New Roman" w:hAnsi="Arial" w:cs="Arial"/>
                <w:b/>
                <w:bCs/>
                <w:color w:val="000000"/>
                <w:sz w:val="20"/>
                <w:szCs w:val="20"/>
                <w:lang w:val="es-US" w:eastAsia="es-US"/>
              </w:rPr>
            </w:pPr>
          </w:p>
        </w:tc>
        <w:tc>
          <w:tcPr>
            <w:tcW w:w="2602" w:type="dxa"/>
            <w:tcBorders>
              <w:top w:val="nil"/>
              <w:left w:val="nil"/>
              <w:bottom w:val="single" w:sz="8" w:space="0" w:color="auto"/>
              <w:right w:val="nil"/>
            </w:tcBorders>
            <w:shd w:val="clear" w:color="000000" w:fill="00B050"/>
            <w:noWrap/>
            <w:vAlign w:val="center"/>
            <w:hideMark/>
          </w:tcPr>
          <w:p w14:paraId="1143E052" w14:textId="77777777" w:rsidR="00951CCF" w:rsidRPr="00951CCF" w:rsidRDefault="00951CCF" w:rsidP="00951CCF">
            <w:pPr>
              <w:spacing w:after="0" w:line="240" w:lineRule="auto"/>
              <w:jc w:val="center"/>
              <w:rPr>
                <w:rFonts w:ascii="Arial" w:eastAsia="Times New Roman" w:hAnsi="Arial" w:cs="Arial"/>
                <w:b/>
                <w:bCs/>
                <w:color w:val="000000"/>
                <w:sz w:val="20"/>
                <w:szCs w:val="20"/>
                <w:lang w:val="es-US" w:eastAsia="es-US"/>
              </w:rPr>
            </w:pPr>
            <w:r w:rsidRPr="00951CCF">
              <w:rPr>
                <w:rFonts w:ascii="Arial" w:eastAsia="Times New Roman" w:hAnsi="Arial" w:cs="Arial"/>
                <w:b/>
                <w:bCs/>
                <w:color w:val="000000"/>
                <w:sz w:val="20"/>
                <w:szCs w:val="20"/>
                <w:lang w:val="es-US" w:eastAsia="es-US"/>
              </w:rPr>
              <w:t>I Semestre</w:t>
            </w:r>
          </w:p>
        </w:tc>
        <w:tc>
          <w:tcPr>
            <w:tcW w:w="1797" w:type="dxa"/>
            <w:vMerge/>
            <w:tcBorders>
              <w:top w:val="single" w:sz="8" w:space="0" w:color="auto"/>
              <w:left w:val="single" w:sz="8" w:space="0" w:color="auto"/>
              <w:bottom w:val="single" w:sz="8" w:space="0" w:color="000000"/>
              <w:right w:val="single" w:sz="8" w:space="0" w:color="auto"/>
            </w:tcBorders>
            <w:vAlign w:val="center"/>
            <w:hideMark/>
          </w:tcPr>
          <w:p w14:paraId="74017264" w14:textId="77777777" w:rsidR="00951CCF" w:rsidRPr="00951CCF" w:rsidRDefault="00951CCF" w:rsidP="00951CCF">
            <w:pPr>
              <w:spacing w:after="0" w:line="240" w:lineRule="auto"/>
              <w:rPr>
                <w:rFonts w:ascii="Arial" w:eastAsia="Times New Roman" w:hAnsi="Arial" w:cs="Arial"/>
                <w:b/>
                <w:bCs/>
                <w:color w:val="000000"/>
                <w:sz w:val="20"/>
                <w:szCs w:val="20"/>
                <w:lang w:val="es-US" w:eastAsia="es-US"/>
              </w:rPr>
            </w:pPr>
          </w:p>
        </w:tc>
      </w:tr>
      <w:tr w:rsidR="00951CCF" w:rsidRPr="00951CCF" w14:paraId="58385FA5" w14:textId="77777777" w:rsidTr="00D9350E">
        <w:trPr>
          <w:trHeight w:val="254"/>
        </w:trPr>
        <w:tc>
          <w:tcPr>
            <w:tcW w:w="2681" w:type="dxa"/>
            <w:tcBorders>
              <w:top w:val="nil"/>
              <w:left w:val="single" w:sz="8" w:space="0" w:color="auto"/>
              <w:bottom w:val="single" w:sz="4" w:space="0" w:color="auto"/>
              <w:right w:val="single" w:sz="8" w:space="0" w:color="auto"/>
            </w:tcBorders>
            <w:shd w:val="clear" w:color="000000" w:fill="FFFFFF"/>
            <w:noWrap/>
            <w:vAlign w:val="center"/>
            <w:hideMark/>
          </w:tcPr>
          <w:p w14:paraId="500EA06E" w14:textId="77777777" w:rsidR="00951CCF" w:rsidRPr="00951CCF" w:rsidRDefault="00951CCF" w:rsidP="00951CCF">
            <w:pPr>
              <w:spacing w:after="0" w:line="240" w:lineRule="auto"/>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0 Remuneraciones</w:t>
            </w:r>
          </w:p>
        </w:tc>
        <w:tc>
          <w:tcPr>
            <w:tcW w:w="2394" w:type="dxa"/>
            <w:tcBorders>
              <w:top w:val="nil"/>
              <w:left w:val="nil"/>
              <w:bottom w:val="single" w:sz="4" w:space="0" w:color="auto"/>
              <w:right w:val="nil"/>
            </w:tcBorders>
            <w:shd w:val="clear" w:color="000000" w:fill="FFFFFF"/>
            <w:noWrap/>
            <w:vAlign w:val="center"/>
            <w:hideMark/>
          </w:tcPr>
          <w:p w14:paraId="5C2D872F"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432,380,453 </w:t>
            </w:r>
          </w:p>
        </w:tc>
        <w:tc>
          <w:tcPr>
            <w:tcW w:w="2602" w:type="dxa"/>
            <w:tcBorders>
              <w:top w:val="nil"/>
              <w:left w:val="single" w:sz="8" w:space="0" w:color="auto"/>
              <w:bottom w:val="single" w:sz="4" w:space="0" w:color="auto"/>
              <w:right w:val="single" w:sz="8" w:space="0" w:color="auto"/>
            </w:tcBorders>
            <w:shd w:val="clear" w:color="000000" w:fill="FFFFFF"/>
            <w:noWrap/>
            <w:vAlign w:val="center"/>
            <w:hideMark/>
          </w:tcPr>
          <w:p w14:paraId="59A7ED24"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85,799,510 </w:t>
            </w:r>
          </w:p>
        </w:tc>
        <w:tc>
          <w:tcPr>
            <w:tcW w:w="1797" w:type="dxa"/>
            <w:tcBorders>
              <w:top w:val="nil"/>
              <w:left w:val="nil"/>
              <w:bottom w:val="single" w:sz="4" w:space="0" w:color="auto"/>
              <w:right w:val="single" w:sz="8" w:space="0" w:color="auto"/>
            </w:tcBorders>
            <w:shd w:val="clear" w:color="000000" w:fill="FFFFFF"/>
            <w:noWrap/>
            <w:vAlign w:val="center"/>
            <w:hideMark/>
          </w:tcPr>
          <w:p w14:paraId="1A415A78"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19.84%</w:t>
            </w:r>
          </w:p>
        </w:tc>
      </w:tr>
      <w:tr w:rsidR="00951CCF" w:rsidRPr="00951CCF" w14:paraId="1D7C1373" w14:textId="77777777" w:rsidTr="00D9350E">
        <w:trPr>
          <w:trHeight w:val="254"/>
        </w:trPr>
        <w:tc>
          <w:tcPr>
            <w:tcW w:w="2681" w:type="dxa"/>
            <w:tcBorders>
              <w:top w:val="nil"/>
              <w:left w:val="single" w:sz="8" w:space="0" w:color="auto"/>
              <w:bottom w:val="single" w:sz="4" w:space="0" w:color="auto"/>
              <w:right w:val="single" w:sz="8" w:space="0" w:color="auto"/>
            </w:tcBorders>
            <w:shd w:val="clear" w:color="000000" w:fill="FFFFFF"/>
            <w:noWrap/>
            <w:vAlign w:val="center"/>
            <w:hideMark/>
          </w:tcPr>
          <w:p w14:paraId="05BA23AC" w14:textId="77777777" w:rsidR="00951CCF" w:rsidRPr="00951CCF" w:rsidRDefault="00951CCF" w:rsidP="00951CCF">
            <w:pPr>
              <w:spacing w:after="0" w:line="240" w:lineRule="auto"/>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1 Servicios</w:t>
            </w:r>
          </w:p>
        </w:tc>
        <w:tc>
          <w:tcPr>
            <w:tcW w:w="2394" w:type="dxa"/>
            <w:tcBorders>
              <w:top w:val="nil"/>
              <w:left w:val="nil"/>
              <w:bottom w:val="single" w:sz="4" w:space="0" w:color="auto"/>
              <w:right w:val="nil"/>
            </w:tcBorders>
            <w:shd w:val="clear" w:color="000000" w:fill="FFFFFF"/>
            <w:noWrap/>
            <w:vAlign w:val="center"/>
            <w:hideMark/>
          </w:tcPr>
          <w:p w14:paraId="50F73215"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151,120,308 </w:t>
            </w:r>
          </w:p>
        </w:tc>
        <w:tc>
          <w:tcPr>
            <w:tcW w:w="2602" w:type="dxa"/>
            <w:tcBorders>
              <w:top w:val="nil"/>
              <w:left w:val="single" w:sz="8" w:space="0" w:color="auto"/>
              <w:bottom w:val="single" w:sz="4" w:space="0" w:color="auto"/>
              <w:right w:val="single" w:sz="8" w:space="0" w:color="auto"/>
            </w:tcBorders>
            <w:shd w:val="clear" w:color="000000" w:fill="FFFFFF"/>
            <w:noWrap/>
            <w:vAlign w:val="center"/>
            <w:hideMark/>
          </w:tcPr>
          <w:p w14:paraId="36493D1A"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27,190,918 </w:t>
            </w:r>
          </w:p>
        </w:tc>
        <w:tc>
          <w:tcPr>
            <w:tcW w:w="1797" w:type="dxa"/>
            <w:tcBorders>
              <w:top w:val="nil"/>
              <w:left w:val="nil"/>
              <w:bottom w:val="single" w:sz="4" w:space="0" w:color="auto"/>
              <w:right w:val="single" w:sz="8" w:space="0" w:color="auto"/>
            </w:tcBorders>
            <w:shd w:val="clear" w:color="000000" w:fill="FFFFFF"/>
            <w:noWrap/>
            <w:vAlign w:val="center"/>
            <w:hideMark/>
          </w:tcPr>
          <w:p w14:paraId="32B9D062"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17.99%</w:t>
            </w:r>
          </w:p>
        </w:tc>
      </w:tr>
      <w:tr w:rsidR="00951CCF" w:rsidRPr="00951CCF" w14:paraId="27C7961B" w14:textId="77777777" w:rsidTr="00D9350E">
        <w:trPr>
          <w:trHeight w:val="254"/>
        </w:trPr>
        <w:tc>
          <w:tcPr>
            <w:tcW w:w="2681" w:type="dxa"/>
            <w:tcBorders>
              <w:top w:val="nil"/>
              <w:left w:val="single" w:sz="8" w:space="0" w:color="auto"/>
              <w:bottom w:val="single" w:sz="4" w:space="0" w:color="auto"/>
              <w:right w:val="single" w:sz="8" w:space="0" w:color="auto"/>
            </w:tcBorders>
            <w:shd w:val="clear" w:color="000000" w:fill="FFFFFF"/>
            <w:noWrap/>
            <w:vAlign w:val="center"/>
            <w:hideMark/>
          </w:tcPr>
          <w:p w14:paraId="3C02E012" w14:textId="77777777" w:rsidR="00951CCF" w:rsidRPr="00951CCF" w:rsidRDefault="00951CCF" w:rsidP="00951CCF">
            <w:pPr>
              <w:spacing w:after="0" w:line="240" w:lineRule="auto"/>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2 Materiales y suministros</w:t>
            </w:r>
          </w:p>
        </w:tc>
        <w:tc>
          <w:tcPr>
            <w:tcW w:w="2394" w:type="dxa"/>
            <w:tcBorders>
              <w:top w:val="nil"/>
              <w:left w:val="nil"/>
              <w:bottom w:val="single" w:sz="4" w:space="0" w:color="auto"/>
              <w:right w:val="nil"/>
            </w:tcBorders>
            <w:shd w:val="clear" w:color="000000" w:fill="FFFFFF"/>
            <w:noWrap/>
            <w:vAlign w:val="center"/>
            <w:hideMark/>
          </w:tcPr>
          <w:p w14:paraId="555ADC58"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393,861,105 </w:t>
            </w:r>
          </w:p>
        </w:tc>
        <w:tc>
          <w:tcPr>
            <w:tcW w:w="2602" w:type="dxa"/>
            <w:tcBorders>
              <w:top w:val="nil"/>
              <w:left w:val="single" w:sz="8" w:space="0" w:color="auto"/>
              <w:bottom w:val="single" w:sz="4" w:space="0" w:color="auto"/>
              <w:right w:val="single" w:sz="8" w:space="0" w:color="auto"/>
            </w:tcBorders>
            <w:shd w:val="clear" w:color="000000" w:fill="FFFFFF"/>
            <w:noWrap/>
            <w:vAlign w:val="center"/>
            <w:hideMark/>
          </w:tcPr>
          <w:p w14:paraId="19C3F297"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96,584 </w:t>
            </w:r>
          </w:p>
        </w:tc>
        <w:tc>
          <w:tcPr>
            <w:tcW w:w="1797" w:type="dxa"/>
            <w:tcBorders>
              <w:top w:val="nil"/>
              <w:left w:val="nil"/>
              <w:bottom w:val="single" w:sz="4" w:space="0" w:color="auto"/>
              <w:right w:val="single" w:sz="8" w:space="0" w:color="auto"/>
            </w:tcBorders>
            <w:shd w:val="clear" w:color="000000" w:fill="FFFFFF"/>
            <w:noWrap/>
            <w:vAlign w:val="center"/>
            <w:hideMark/>
          </w:tcPr>
          <w:p w14:paraId="0D3E3D6F"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0.02%</w:t>
            </w:r>
          </w:p>
        </w:tc>
      </w:tr>
      <w:tr w:rsidR="00951CCF" w:rsidRPr="00951CCF" w14:paraId="62BF0C90" w14:textId="77777777" w:rsidTr="00D9350E">
        <w:trPr>
          <w:trHeight w:val="254"/>
        </w:trPr>
        <w:tc>
          <w:tcPr>
            <w:tcW w:w="2681" w:type="dxa"/>
            <w:tcBorders>
              <w:top w:val="nil"/>
              <w:left w:val="single" w:sz="8" w:space="0" w:color="auto"/>
              <w:bottom w:val="single" w:sz="4" w:space="0" w:color="auto"/>
              <w:right w:val="single" w:sz="8" w:space="0" w:color="auto"/>
            </w:tcBorders>
            <w:shd w:val="clear" w:color="000000" w:fill="FFFFFF"/>
            <w:noWrap/>
            <w:vAlign w:val="center"/>
            <w:hideMark/>
          </w:tcPr>
          <w:p w14:paraId="2ED647ED" w14:textId="77777777" w:rsidR="00951CCF" w:rsidRPr="00951CCF" w:rsidRDefault="00951CCF" w:rsidP="00951CCF">
            <w:pPr>
              <w:spacing w:after="0" w:line="240" w:lineRule="auto"/>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4 Activos Financieros</w:t>
            </w:r>
          </w:p>
        </w:tc>
        <w:tc>
          <w:tcPr>
            <w:tcW w:w="2394" w:type="dxa"/>
            <w:tcBorders>
              <w:top w:val="nil"/>
              <w:left w:val="nil"/>
              <w:bottom w:val="single" w:sz="4" w:space="0" w:color="auto"/>
              <w:right w:val="nil"/>
            </w:tcBorders>
            <w:shd w:val="clear" w:color="000000" w:fill="FFFFFF"/>
            <w:noWrap/>
            <w:vAlign w:val="center"/>
            <w:hideMark/>
          </w:tcPr>
          <w:p w14:paraId="6D9218D3"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776,531,834 </w:t>
            </w:r>
          </w:p>
        </w:tc>
        <w:tc>
          <w:tcPr>
            <w:tcW w:w="2602" w:type="dxa"/>
            <w:tcBorders>
              <w:top w:val="nil"/>
              <w:left w:val="single" w:sz="8" w:space="0" w:color="auto"/>
              <w:bottom w:val="single" w:sz="4" w:space="0" w:color="auto"/>
              <w:right w:val="single" w:sz="8" w:space="0" w:color="auto"/>
            </w:tcBorders>
            <w:shd w:val="clear" w:color="000000" w:fill="FFFFFF"/>
            <w:noWrap/>
            <w:vAlign w:val="center"/>
            <w:hideMark/>
          </w:tcPr>
          <w:p w14:paraId="18CF4CAB"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303,915,338 </w:t>
            </w:r>
          </w:p>
        </w:tc>
        <w:tc>
          <w:tcPr>
            <w:tcW w:w="1797" w:type="dxa"/>
            <w:tcBorders>
              <w:top w:val="nil"/>
              <w:left w:val="nil"/>
              <w:bottom w:val="single" w:sz="4" w:space="0" w:color="auto"/>
              <w:right w:val="single" w:sz="8" w:space="0" w:color="auto"/>
            </w:tcBorders>
            <w:shd w:val="clear" w:color="000000" w:fill="FFFFFF"/>
            <w:noWrap/>
            <w:vAlign w:val="center"/>
            <w:hideMark/>
          </w:tcPr>
          <w:p w14:paraId="63BCF2E4"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39.14%</w:t>
            </w:r>
          </w:p>
        </w:tc>
      </w:tr>
      <w:tr w:rsidR="00951CCF" w:rsidRPr="00951CCF" w14:paraId="7A00C4FB" w14:textId="77777777" w:rsidTr="00D9350E">
        <w:trPr>
          <w:trHeight w:val="254"/>
        </w:trPr>
        <w:tc>
          <w:tcPr>
            <w:tcW w:w="2681" w:type="dxa"/>
            <w:tcBorders>
              <w:top w:val="nil"/>
              <w:left w:val="single" w:sz="8" w:space="0" w:color="auto"/>
              <w:bottom w:val="single" w:sz="4" w:space="0" w:color="auto"/>
              <w:right w:val="single" w:sz="8" w:space="0" w:color="auto"/>
            </w:tcBorders>
            <w:shd w:val="clear" w:color="000000" w:fill="FFFFFF"/>
            <w:noWrap/>
            <w:vAlign w:val="center"/>
            <w:hideMark/>
          </w:tcPr>
          <w:p w14:paraId="5651D431" w14:textId="77777777" w:rsidR="00951CCF" w:rsidRPr="00951CCF" w:rsidRDefault="00951CCF" w:rsidP="00951CCF">
            <w:pPr>
              <w:spacing w:after="0" w:line="240" w:lineRule="auto"/>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5 Bienes duraderos</w:t>
            </w:r>
          </w:p>
        </w:tc>
        <w:tc>
          <w:tcPr>
            <w:tcW w:w="2394" w:type="dxa"/>
            <w:tcBorders>
              <w:top w:val="nil"/>
              <w:left w:val="nil"/>
              <w:bottom w:val="single" w:sz="4" w:space="0" w:color="auto"/>
              <w:right w:val="nil"/>
            </w:tcBorders>
            <w:shd w:val="clear" w:color="000000" w:fill="FFFFFF"/>
            <w:noWrap/>
            <w:vAlign w:val="center"/>
            <w:hideMark/>
          </w:tcPr>
          <w:p w14:paraId="1C463A83"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1,515,334,450 </w:t>
            </w:r>
          </w:p>
        </w:tc>
        <w:tc>
          <w:tcPr>
            <w:tcW w:w="2602" w:type="dxa"/>
            <w:tcBorders>
              <w:top w:val="nil"/>
              <w:left w:val="single" w:sz="8" w:space="0" w:color="auto"/>
              <w:bottom w:val="single" w:sz="4" w:space="0" w:color="auto"/>
              <w:right w:val="single" w:sz="8" w:space="0" w:color="auto"/>
            </w:tcBorders>
            <w:shd w:val="clear" w:color="000000" w:fill="FFFFFF"/>
            <w:noWrap/>
            <w:vAlign w:val="center"/>
            <w:hideMark/>
          </w:tcPr>
          <w:p w14:paraId="4D3F7DD8"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   </w:t>
            </w:r>
          </w:p>
        </w:tc>
        <w:tc>
          <w:tcPr>
            <w:tcW w:w="1797" w:type="dxa"/>
            <w:tcBorders>
              <w:top w:val="nil"/>
              <w:left w:val="nil"/>
              <w:bottom w:val="single" w:sz="4" w:space="0" w:color="auto"/>
              <w:right w:val="single" w:sz="8" w:space="0" w:color="auto"/>
            </w:tcBorders>
            <w:shd w:val="clear" w:color="000000" w:fill="FFFFFF"/>
            <w:noWrap/>
            <w:vAlign w:val="center"/>
            <w:hideMark/>
          </w:tcPr>
          <w:p w14:paraId="17CBA189"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0.00%</w:t>
            </w:r>
          </w:p>
        </w:tc>
      </w:tr>
      <w:tr w:rsidR="00951CCF" w:rsidRPr="00951CCF" w14:paraId="250F396D" w14:textId="77777777" w:rsidTr="00D9350E">
        <w:trPr>
          <w:trHeight w:val="254"/>
        </w:trPr>
        <w:tc>
          <w:tcPr>
            <w:tcW w:w="2681" w:type="dxa"/>
            <w:tcBorders>
              <w:top w:val="nil"/>
              <w:left w:val="single" w:sz="8" w:space="0" w:color="auto"/>
              <w:bottom w:val="single" w:sz="4" w:space="0" w:color="auto"/>
              <w:right w:val="single" w:sz="8" w:space="0" w:color="auto"/>
            </w:tcBorders>
            <w:shd w:val="clear" w:color="000000" w:fill="FFFFFF"/>
            <w:noWrap/>
            <w:vAlign w:val="center"/>
            <w:hideMark/>
          </w:tcPr>
          <w:p w14:paraId="0A91C494" w14:textId="77777777" w:rsidR="00951CCF" w:rsidRPr="00951CCF" w:rsidRDefault="00951CCF" w:rsidP="00951CCF">
            <w:pPr>
              <w:spacing w:after="0" w:line="240" w:lineRule="auto"/>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6 Transferencias Corrientes</w:t>
            </w:r>
          </w:p>
        </w:tc>
        <w:tc>
          <w:tcPr>
            <w:tcW w:w="2394" w:type="dxa"/>
            <w:tcBorders>
              <w:top w:val="nil"/>
              <w:left w:val="nil"/>
              <w:bottom w:val="single" w:sz="4" w:space="0" w:color="auto"/>
              <w:right w:val="nil"/>
            </w:tcBorders>
            <w:shd w:val="clear" w:color="000000" w:fill="FFFFFF"/>
            <w:noWrap/>
            <w:vAlign w:val="center"/>
            <w:hideMark/>
          </w:tcPr>
          <w:p w14:paraId="152F0AC1"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167,865,745 </w:t>
            </w:r>
          </w:p>
        </w:tc>
        <w:tc>
          <w:tcPr>
            <w:tcW w:w="2602" w:type="dxa"/>
            <w:tcBorders>
              <w:top w:val="nil"/>
              <w:left w:val="single" w:sz="8" w:space="0" w:color="auto"/>
              <w:bottom w:val="single" w:sz="4" w:space="0" w:color="auto"/>
              <w:right w:val="single" w:sz="8" w:space="0" w:color="auto"/>
            </w:tcBorders>
            <w:shd w:val="clear" w:color="000000" w:fill="FFFFFF"/>
            <w:noWrap/>
            <w:vAlign w:val="center"/>
            <w:hideMark/>
          </w:tcPr>
          <w:p w14:paraId="48BC4F4D"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712,331 </w:t>
            </w:r>
          </w:p>
        </w:tc>
        <w:tc>
          <w:tcPr>
            <w:tcW w:w="1797" w:type="dxa"/>
            <w:tcBorders>
              <w:top w:val="nil"/>
              <w:left w:val="nil"/>
              <w:bottom w:val="single" w:sz="4" w:space="0" w:color="auto"/>
              <w:right w:val="single" w:sz="8" w:space="0" w:color="auto"/>
            </w:tcBorders>
            <w:shd w:val="clear" w:color="000000" w:fill="FFFFFF"/>
            <w:noWrap/>
            <w:vAlign w:val="center"/>
            <w:hideMark/>
          </w:tcPr>
          <w:p w14:paraId="7B3B17DB"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0.42%</w:t>
            </w:r>
          </w:p>
        </w:tc>
      </w:tr>
      <w:tr w:rsidR="00951CCF" w:rsidRPr="00951CCF" w14:paraId="0C53C4B9" w14:textId="77777777" w:rsidTr="00D9350E">
        <w:trPr>
          <w:trHeight w:val="254"/>
        </w:trPr>
        <w:tc>
          <w:tcPr>
            <w:tcW w:w="2681" w:type="dxa"/>
            <w:tcBorders>
              <w:top w:val="nil"/>
              <w:left w:val="single" w:sz="8" w:space="0" w:color="auto"/>
              <w:bottom w:val="single" w:sz="4" w:space="0" w:color="auto"/>
              <w:right w:val="single" w:sz="8" w:space="0" w:color="auto"/>
            </w:tcBorders>
            <w:shd w:val="clear" w:color="000000" w:fill="FFFFFF"/>
            <w:noWrap/>
            <w:vAlign w:val="center"/>
            <w:hideMark/>
          </w:tcPr>
          <w:p w14:paraId="541AD0A8" w14:textId="77777777" w:rsidR="00951CCF" w:rsidRPr="00951CCF" w:rsidRDefault="00951CCF" w:rsidP="00951CCF">
            <w:pPr>
              <w:spacing w:after="0" w:line="240" w:lineRule="auto"/>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7 Transferencias Corrientes</w:t>
            </w:r>
          </w:p>
        </w:tc>
        <w:tc>
          <w:tcPr>
            <w:tcW w:w="2394" w:type="dxa"/>
            <w:tcBorders>
              <w:top w:val="nil"/>
              <w:left w:val="nil"/>
              <w:bottom w:val="single" w:sz="4" w:space="0" w:color="auto"/>
              <w:right w:val="nil"/>
            </w:tcBorders>
            <w:shd w:val="clear" w:color="000000" w:fill="FFFFFF"/>
            <w:noWrap/>
            <w:vAlign w:val="center"/>
            <w:hideMark/>
          </w:tcPr>
          <w:p w14:paraId="23C39081"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22,639,691,843 </w:t>
            </w:r>
          </w:p>
        </w:tc>
        <w:tc>
          <w:tcPr>
            <w:tcW w:w="2602" w:type="dxa"/>
            <w:tcBorders>
              <w:top w:val="nil"/>
              <w:left w:val="single" w:sz="8" w:space="0" w:color="auto"/>
              <w:bottom w:val="single" w:sz="4" w:space="0" w:color="auto"/>
              <w:right w:val="single" w:sz="8" w:space="0" w:color="auto"/>
            </w:tcBorders>
            <w:shd w:val="clear" w:color="000000" w:fill="FFFFFF"/>
            <w:noWrap/>
            <w:vAlign w:val="center"/>
            <w:hideMark/>
          </w:tcPr>
          <w:p w14:paraId="208B65AE"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3,279,193,995 </w:t>
            </w:r>
          </w:p>
        </w:tc>
        <w:tc>
          <w:tcPr>
            <w:tcW w:w="1797" w:type="dxa"/>
            <w:tcBorders>
              <w:top w:val="nil"/>
              <w:left w:val="nil"/>
              <w:bottom w:val="single" w:sz="4" w:space="0" w:color="auto"/>
              <w:right w:val="single" w:sz="8" w:space="0" w:color="auto"/>
            </w:tcBorders>
            <w:shd w:val="clear" w:color="000000" w:fill="FFFFFF"/>
            <w:noWrap/>
            <w:vAlign w:val="center"/>
            <w:hideMark/>
          </w:tcPr>
          <w:p w14:paraId="1EC87C42"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14.48%</w:t>
            </w:r>
          </w:p>
        </w:tc>
      </w:tr>
      <w:tr w:rsidR="00951CCF" w:rsidRPr="00951CCF" w14:paraId="510781DB" w14:textId="77777777" w:rsidTr="00D9350E">
        <w:trPr>
          <w:trHeight w:val="264"/>
        </w:trPr>
        <w:tc>
          <w:tcPr>
            <w:tcW w:w="2681" w:type="dxa"/>
            <w:tcBorders>
              <w:top w:val="nil"/>
              <w:left w:val="single" w:sz="8" w:space="0" w:color="auto"/>
              <w:bottom w:val="nil"/>
              <w:right w:val="single" w:sz="8" w:space="0" w:color="auto"/>
            </w:tcBorders>
            <w:shd w:val="clear" w:color="000000" w:fill="FFFFFF"/>
            <w:noWrap/>
            <w:vAlign w:val="center"/>
            <w:hideMark/>
          </w:tcPr>
          <w:p w14:paraId="04AEB165" w14:textId="77777777" w:rsidR="00951CCF" w:rsidRPr="00951CCF" w:rsidRDefault="00951CCF" w:rsidP="00951CCF">
            <w:pPr>
              <w:spacing w:after="0" w:line="240" w:lineRule="auto"/>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9 Cuentas Especiales</w:t>
            </w:r>
          </w:p>
        </w:tc>
        <w:tc>
          <w:tcPr>
            <w:tcW w:w="2394" w:type="dxa"/>
            <w:tcBorders>
              <w:top w:val="nil"/>
              <w:left w:val="nil"/>
              <w:bottom w:val="nil"/>
              <w:right w:val="nil"/>
            </w:tcBorders>
            <w:shd w:val="clear" w:color="000000" w:fill="FFFFFF"/>
            <w:noWrap/>
            <w:vAlign w:val="center"/>
            <w:hideMark/>
          </w:tcPr>
          <w:p w14:paraId="3CD82E68"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22,349,880 </w:t>
            </w:r>
          </w:p>
        </w:tc>
        <w:tc>
          <w:tcPr>
            <w:tcW w:w="2602" w:type="dxa"/>
            <w:tcBorders>
              <w:top w:val="nil"/>
              <w:left w:val="single" w:sz="8" w:space="0" w:color="auto"/>
              <w:bottom w:val="nil"/>
              <w:right w:val="single" w:sz="8" w:space="0" w:color="auto"/>
            </w:tcBorders>
            <w:shd w:val="clear" w:color="000000" w:fill="FFFFFF"/>
            <w:noWrap/>
            <w:vAlign w:val="center"/>
            <w:hideMark/>
          </w:tcPr>
          <w:p w14:paraId="4C7926E5"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 xml:space="preserve">                                 -   </w:t>
            </w:r>
          </w:p>
        </w:tc>
        <w:tc>
          <w:tcPr>
            <w:tcW w:w="1797" w:type="dxa"/>
            <w:tcBorders>
              <w:top w:val="nil"/>
              <w:left w:val="nil"/>
              <w:bottom w:val="nil"/>
              <w:right w:val="single" w:sz="8" w:space="0" w:color="auto"/>
            </w:tcBorders>
            <w:shd w:val="clear" w:color="000000" w:fill="FFFFFF"/>
            <w:noWrap/>
            <w:vAlign w:val="center"/>
            <w:hideMark/>
          </w:tcPr>
          <w:p w14:paraId="5ED5F43C" w14:textId="77777777" w:rsidR="00951CCF" w:rsidRPr="00951CCF" w:rsidRDefault="00951CCF" w:rsidP="00951CCF">
            <w:pPr>
              <w:spacing w:after="0" w:line="240" w:lineRule="auto"/>
              <w:jc w:val="right"/>
              <w:rPr>
                <w:rFonts w:ascii="Arial" w:eastAsia="Times New Roman" w:hAnsi="Arial" w:cs="Arial"/>
                <w:color w:val="000000"/>
                <w:sz w:val="20"/>
                <w:szCs w:val="20"/>
                <w:lang w:val="es-US" w:eastAsia="es-US"/>
              </w:rPr>
            </w:pPr>
            <w:r w:rsidRPr="00951CCF">
              <w:rPr>
                <w:rFonts w:ascii="Arial" w:eastAsia="Times New Roman" w:hAnsi="Arial" w:cs="Arial"/>
                <w:color w:val="000000"/>
                <w:sz w:val="20"/>
                <w:szCs w:val="20"/>
                <w:lang w:val="es-US" w:eastAsia="es-US"/>
              </w:rPr>
              <w:t>0.00%</w:t>
            </w:r>
          </w:p>
        </w:tc>
      </w:tr>
      <w:tr w:rsidR="00951CCF" w:rsidRPr="00951CCF" w14:paraId="4506D024" w14:textId="77777777" w:rsidTr="00D9350E">
        <w:trPr>
          <w:trHeight w:val="264"/>
        </w:trPr>
        <w:tc>
          <w:tcPr>
            <w:tcW w:w="2681"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14:paraId="280D8328" w14:textId="77777777" w:rsidR="00951CCF" w:rsidRPr="00951CCF" w:rsidRDefault="00951CCF" w:rsidP="00951CCF">
            <w:pPr>
              <w:spacing w:after="0" w:line="240" w:lineRule="auto"/>
              <w:rPr>
                <w:rFonts w:ascii="Arial" w:eastAsia="Times New Roman" w:hAnsi="Arial" w:cs="Arial"/>
                <w:b/>
                <w:bCs/>
                <w:color w:val="000000"/>
                <w:sz w:val="20"/>
                <w:szCs w:val="20"/>
                <w:lang w:val="es-US" w:eastAsia="es-US"/>
              </w:rPr>
            </w:pPr>
            <w:r w:rsidRPr="00951CCF">
              <w:rPr>
                <w:rFonts w:ascii="Arial" w:eastAsia="Times New Roman" w:hAnsi="Arial" w:cs="Arial"/>
                <w:b/>
                <w:bCs/>
                <w:color w:val="000000"/>
                <w:sz w:val="20"/>
                <w:szCs w:val="20"/>
                <w:lang w:val="es-US" w:eastAsia="es-US"/>
              </w:rPr>
              <w:t xml:space="preserve">Total </w:t>
            </w:r>
          </w:p>
        </w:tc>
        <w:tc>
          <w:tcPr>
            <w:tcW w:w="2394" w:type="dxa"/>
            <w:tcBorders>
              <w:top w:val="single" w:sz="8" w:space="0" w:color="auto"/>
              <w:left w:val="nil"/>
              <w:bottom w:val="single" w:sz="8" w:space="0" w:color="auto"/>
              <w:right w:val="nil"/>
            </w:tcBorders>
            <w:shd w:val="clear" w:color="000000" w:fill="00B050"/>
            <w:noWrap/>
            <w:vAlign w:val="center"/>
            <w:hideMark/>
          </w:tcPr>
          <w:p w14:paraId="296D4BC8" w14:textId="77777777" w:rsidR="00951CCF" w:rsidRPr="00951CCF" w:rsidRDefault="00951CCF" w:rsidP="00951CCF">
            <w:pPr>
              <w:spacing w:after="0" w:line="240" w:lineRule="auto"/>
              <w:jc w:val="right"/>
              <w:rPr>
                <w:rFonts w:ascii="Arial" w:eastAsia="Times New Roman" w:hAnsi="Arial" w:cs="Arial"/>
                <w:b/>
                <w:bCs/>
                <w:color w:val="000000"/>
                <w:sz w:val="20"/>
                <w:szCs w:val="20"/>
                <w:lang w:val="es-US" w:eastAsia="es-US"/>
              </w:rPr>
            </w:pPr>
            <w:r w:rsidRPr="00951CCF">
              <w:rPr>
                <w:rFonts w:ascii="Arial" w:eastAsia="Times New Roman" w:hAnsi="Arial" w:cs="Arial"/>
                <w:b/>
                <w:bCs/>
                <w:color w:val="000000"/>
                <w:sz w:val="20"/>
                <w:szCs w:val="20"/>
                <w:lang w:val="es-US" w:eastAsia="es-US"/>
              </w:rPr>
              <w:t xml:space="preserve">             26,099,135,618 </w:t>
            </w:r>
          </w:p>
        </w:tc>
        <w:tc>
          <w:tcPr>
            <w:tcW w:w="2602"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14:paraId="6100FE9D" w14:textId="77777777" w:rsidR="00951CCF" w:rsidRPr="00951CCF" w:rsidRDefault="00951CCF" w:rsidP="00951CCF">
            <w:pPr>
              <w:spacing w:after="0" w:line="240" w:lineRule="auto"/>
              <w:jc w:val="right"/>
              <w:rPr>
                <w:rFonts w:ascii="Arial" w:eastAsia="Times New Roman" w:hAnsi="Arial" w:cs="Arial"/>
                <w:b/>
                <w:bCs/>
                <w:color w:val="000000"/>
                <w:sz w:val="20"/>
                <w:szCs w:val="20"/>
                <w:lang w:val="es-US" w:eastAsia="es-US"/>
              </w:rPr>
            </w:pPr>
            <w:r w:rsidRPr="00951CCF">
              <w:rPr>
                <w:rFonts w:ascii="Arial" w:eastAsia="Times New Roman" w:hAnsi="Arial" w:cs="Arial"/>
                <w:b/>
                <w:bCs/>
                <w:color w:val="000000"/>
                <w:sz w:val="20"/>
                <w:szCs w:val="20"/>
                <w:lang w:val="es-US" w:eastAsia="es-US"/>
              </w:rPr>
              <w:t xml:space="preserve">               3,696,908,676 </w:t>
            </w:r>
          </w:p>
        </w:tc>
        <w:tc>
          <w:tcPr>
            <w:tcW w:w="1797" w:type="dxa"/>
            <w:tcBorders>
              <w:top w:val="single" w:sz="8" w:space="0" w:color="auto"/>
              <w:left w:val="nil"/>
              <w:bottom w:val="single" w:sz="8" w:space="0" w:color="auto"/>
              <w:right w:val="single" w:sz="8" w:space="0" w:color="auto"/>
            </w:tcBorders>
            <w:shd w:val="clear" w:color="000000" w:fill="00B050"/>
            <w:noWrap/>
            <w:vAlign w:val="center"/>
            <w:hideMark/>
          </w:tcPr>
          <w:p w14:paraId="7E34A765" w14:textId="77777777" w:rsidR="00951CCF" w:rsidRPr="00951CCF" w:rsidRDefault="00951CCF" w:rsidP="00951CCF">
            <w:pPr>
              <w:spacing w:after="0" w:line="240" w:lineRule="auto"/>
              <w:jc w:val="right"/>
              <w:rPr>
                <w:rFonts w:ascii="Arial" w:eastAsia="Times New Roman" w:hAnsi="Arial" w:cs="Arial"/>
                <w:b/>
                <w:bCs/>
                <w:color w:val="000000"/>
                <w:sz w:val="20"/>
                <w:szCs w:val="20"/>
                <w:lang w:val="es-US" w:eastAsia="es-US"/>
              </w:rPr>
            </w:pPr>
            <w:r w:rsidRPr="00951CCF">
              <w:rPr>
                <w:rFonts w:ascii="Arial" w:eastAsia="Times New Roman" w:hAnsi="Arial" w:cs="Arial"/>
                <w:b/>
                <w:bCs/>
                <w:color w:val="000000"/>
                <w:sz w:val="20"/>
                <w:szCs w:val="20"/>
                <w:lang w:val="es-US" w:eastAsia="es-US"/>
              </w:rPr>
              <w:t>14.16%</w:t>
            </w:r>
          </w:p>
        </w:tc>
      </w:tr>
      <w:bookmarkEnd w:id="16"/>
    </w:tbl>
    <w:p w14:paraId="31E123B4" w14:textId="2C8AA87D" w:rsidR="00B56F38" w:rsidRPr="00663D58" w:rsidRDefault="00B56F38" w:rsidP="00025DED">
      <w:pPr>
        <w:spacing w:after="0" w:line="240" w:lineRule="auto"/>
        <w:jc w:val="center"/>
        <w:rPr>
          <w:rFonts w:ascii="Arial" w:hAnsi="Arial" w:cs="Arial"/>
          <w:b/>
          <w:sz w:val="24"/>
          <w:szCs w:val="24"/>
        </w:rPr>
      </w:pPr>
    </w:p>
    <w:p w14:paraId="4A3DDF74" w14:textId="48A37351" w:rsidR="00A66B85" w:rsidRPr="009E6DA6" w:rsidRDefault="00BA19AC" w:rsidP="009E6DA6">
      <w:pPr>
        <w:pStyle w:val="Ttulo1"/>
        <w:jc w:val="both"/>
        <w:rPr>
          <w:rFonts w:ascii="Arial" w:hAnsi="Arial" w:cs="Arial"/>
          <w:i w:val="0"/>
          <w:sz w:val="24"/>
          <w:szCs w:val="24"/>
          <w:lang w:val="es-CR"/>
        </w:rPr>
      </w:pPr>
      <w:bookmarkStart w:id="17" w:name="_Toc109980602"/>
      <w:r w:rsidRPr="009E6DA6">
        <w:rPr>
          <w:rFonts w:ascii="Arial" w:hAnsi="Arial" w:cs="Arial"/>
          <w:i w:val="0"/>
          <w:sz w:val="24"/>
          <w:szCs w:val="24"/>
          <w:lang w:val="es-CR"/>
        </w:rPr>
        <w:t>b)</w:t>
      </w:r>
      <w:r w:rsidR="00A66B85" w:rsidRPr="009E6DA6">
        <w:rPr>
          <w:rFonts w:ascii="Arial" w:hAnsi="Arial" w:cs="Arial"/>
          <w:i w:val="0"/>
          <w:sz w:val="24"/>
          <w:szCs w:val="24"/>
          <w:lang w:val="es-CR"/>
        </w:rPr>
        <w:t xml:space="preserve"> I</w:t>
      </w:r>
      <w:r w:rsidRPr="009E6DA6">
        <w:rPr>
          <w:rFonts w:ascii="Arial" w:hAnsi="Arial" w:cs="Arial"/>
          <w:i w:val="0"/>
          <w:sz w:val="24"/>
          <w:szCs w:val="24"/>
          <w:lang w:val="es-CR"/>
        </w:rPr>
        <w:t>nformación</w:t>
      </w:r>
      <w:r w:rsidR="00A66B85" w:rsidRPr="009E6DA6">
        <w:rPr>
          <w:rFonts w:ascii="Arial" w:hAnsi="Arial" w:cs="Arial"/>
          <w:i w:val="0"/>
          <w:sz w:val="24"/>
          <w:szCs w:val="24"/>
          <w:lang w:val="es-CR"/>
        </w:rPr>
        <w:t xml:space="preserve"> C</w:t>
      </w:r>
      <w:r w:rsidRPr="009E6DA6">
        <w:rPr>
          <w:rFonts w:ascii="Arial" w:hAnsi="Arial" w:cs="Arial"/>
          <w:i w:val="0"/>
          <w:sz w:val="24"/>
          <w:szCs w:val="24"/>
          <w:lang w:val="es-CR"/>
        </w:rPr>
        <w:t>omplementaria</w:t>
      </w:r>
      <w:bookmarkEnd w:id="17"/>
    </w:p>
    <w:p w14:paraId="42B23F6E" w14:textId="77777777" w:rsidR="00A66B85" w:rsidRPr="009E6DA6" w:rsidRDefault="00A66B85" w:rsidP="009E6DA6">
      <w:pPr>
        <w:pStyle w:val="Ttulo2"/>
        <w:jc w:val="both"/>
        <w:rPr>
          <w:rFonts w:ascii="Arial" w:hAnsi="Arial" w:cs="Arial"/>
          <w:color w:val="auto"/>
          <w:sz w:val="24"/>
          <w:szCs w:val="24"/>
        </w:rPr>
      </w:pPr>
      <w:bookmarkStart w:id="18" w:name="_Toc109980603"/>
      <w:r w:rsidRPr="009E6DA6">
        <w:rPr>
          <w:rFonts w:ascii="Arial" w:hAnsi="Arial" w:cs="Arial"/>
          <w:color w:val="auto"/>
          <w:sz w:val="24"/>
          <w:szCs w:val="24"/>
        </w:rPr>
        <w:t>4. C</w:t>
      </w:r>
      <w:r w:rsidR="007962AF" w:rsidRPr="009E6DA6">
        <w:rPr>
          <w:rFonts w:ascii="Arial" w:hAnsi="Arial" w:cs="Arial"/>
          <w:color w:val="auto"/>
          <w:sz w:val="24"/>
          <w:szCs w:val="24"/>
        </w:rPr>
        <w:t>OMENTARIOS DE INGRESOS</w:t>
      </w:r>
      <w:bookmarkEnd w:id="18"/>
      <w:r w:rsidRPr="009E6DA6">
        <w:rPr>
          <w:rFonts w:ascii="Arial" w:hAnsi="Arial" w:cs="Arial"/>
          <w:color w:val="auto"/>
          <w:sz w:val="24"/>
          <w:szCs w:val="24"/>
        </w:rPr>
        <w:t xml:space="preserve"> </w:t>
      </w:r>
    </w:p>
    <w:p w14:paraId="4B383414" w14:textId="77777777" w:rsidR="00150A7B" w:rsidRPr="009E6DA6" w:rsidRDefault="00150A7B" w:rsidP="009E6DA6">
      <w:pPr>
        <w:spacing w:after="0" w:line="240" w:lineRule="auto"/>
        <w:jc w:val="both"/>
        <w:rPr>
          <w:rFonts w:ascii="Arial" w:hAnsi="Arial" w:cs="Arial"/>
          <w:b/>
          <w:sz w:val="24"/>
          <w:szCs w:val="24"/>
        </w:rPr>
      </w:pPr>
    </w:p>
    <w:p w14:paraId="4632CA4B" w14:textId="7516352F" w:rsidR="00311F78" w:rsidRPr="009E6DA6" w:rsidRDefault="008155F4" w:rsidP="009E6DA6">
      <w:pPr>
        <w:jc w:val="both"/>
        <w:rPr>
          <w:rFonts w:ascii="Arial" w:eastAsia="Times New Roman" w:hAnsi="Arial" w:cs="Arial"/>
          <w:color w:val="000000"/>
          <w:sz w:val="24"/>
          <w:szCs w:val="24"/>
          <w:highlight w:val="lightGray"/>
          <w:lang w:eastAsia="es-CR"/>
        </w:rPr>
      </w:pPr>
      <w:r w:rsidRPr="009E6DA6">
        <w:rPr>
          <w:rFonts w:ascii="Arial" w:hAnsi="Arial" w:cs="Arial"/>
          <w:sz w:val="24"/>
          <w:szCs w:val="24"/>
        </w:rPr>
        <w:t>La institución presupuest</w:t>
      </w:r>
      <w:r w:rsidR="00B7041F" w:rsidRPr="009E6DA6">
        <w:rPr>
          <w:rFonts w:ascii="Arial" w:hAnsi="Arial" w:cs="Arial"/>
          <w:sz w:val="24"/>
          <w:szCs w:val="24"/>
        </w:rPr>
        <w:t>ó</w:t>
      </w:r>
      <w:r w:rsidR="00150A7B" w:rsidRPr="009E6DA6">
        <w:rPr>
          <w:rFonts w:ascii="Arial" w:hAnsi="Arial" w:cs="Arial"/>
          <w:sz w:val="24"/>
          <w:szCs w:val="24"/>
        </w:rPr>
        <w:t xml:space="preserve"> ingresos por la suma de </w:t>
      </w:r>
      <w:r w:rsidR="00150A7B" w:rsidRPr="009E6DA6">
        <w:rPr>
          <w:rFonts w:ascii="Arial" w:hAnsi="Arial" w:cs="Arial"/>
          <w:b/>
          <w:sz w:val="24"/>
          <w:szCs w:val="24"/>
        </w:rPr>
        <w:t>¢</w:t>
      </w:r>
      <w:r w:rsidR="00F1557D" w:rsidRPr="009E6DA6">
        <w:rPr>
          <w:rFonts w:ascii="Arial" w:hAnsi="Arial" w:cs="Arial"/>
          <w:b/>
          <w:sz w:val="24"/>
          <w:szCs w:val="24"/>
        </w:rPr>
        <w:t>26.099.135.618</w:t>
      </w:r>
      <w:r w:rsidR="006154ED" w:rsidRPr="009E6DA6">
        <w:rPr>
          <w:rFonts w:ascii="Arial" w:hAnsi="Arial" w:cs="Arial"/>
          <w:b/>
          <w:sz w:val="24"/>
          <w:szCs w:val="24"/>
        </w:rPr>
        <w:t xml:space="preserve"> </w:t>
      </w:r>
      <w:r w:rsidR="00150A7B" w:rsidRPr="009E6DA6">
        <w:rPr>
          <w:rFonts w:ascii="Arial" w:hAnsi="Arial" w:cs="Arial"/>
          <w:sz w:val="24"/>
          <w:szCs w:val="24"/>
        </w:rPr>
        <w:t>de</w:t>
      </w:r>
      <w:r w:rsidR="00214AB2" w:rsidRPr="009E6DA6">
        <w:rPr>
          <w:rFonts w:ascii="Arial" w:hAnsi="Arial" w:cs="Arial"/>
          <w:sz w:val="24"/>
          <w:szCs w:val="24"/>
        </w:rPr>
        <w:t xml:space="preserve"> </w:t>
      </w:r>
      <w:r w:rsidR="00150A7B" w:rsidRPr="009E6DA6">
        <w:rPr>
          <w:rFonts w:ascii="Arial" w:hAnsi="Arial" w:cs="Arial"/>
          <w:sz w:val="24"/>
          <w:szCs w:val="24"/>
        </w:rPr>
        <w:t>l</w:t>
      </w:r>
      <w:r w:rsidR="00214AB2" w:rsidRPr="009E6DA6">
        <w:rPr>
          <w:rFonts w:ascii="Arial" w:hAnsi="Arial" w:cs="Arial"/>
          <w:sz w:val="24"/>
          <w:szCs w:val="24"/>
        </w:rPr>
        <w:t>o</w:t>
      </w:r>
      <w:r w:rsidR="00B7041F" w:rsidRPr="009E6DA6">
        <w:rPr>
          <w:rFonts w:ascii="Arial" w:hAnsi="Arial" w:cs="Arial"/>
          <w:sz w:val="24"/>
          <w:szCs w:val="24"/>
        </w:rPr>
        <w:t xml:space="preserve">s </w:t>
      </w:r>
      <w:r w:rsidR="00150A7B" w:rsidRPr="009E6DA6">
        <w:rPr>
          <w:rFonts w:ascii="Arial" w:hAnsi="Arial" w:cs="Arial"/>
          <w:sz w:val="24"/>
          <w:szCs w:val="24"/>
        </w:rPr>
        <w:t>cual</w:t>
      </w:r>
      <w:r w:rsidR="00B7041F" w:rsidRPr="009E6DA6">
        <w:rPr>
          <w:rFonts w:ascii="Arial" w:hAnsi="Arial" w:cs="Arial"/>
          <w:sz w:val="24"/>
          <w:szCs w:val="24"/>
        </w:rPr>
        <w:t xml:space="preserve">es al cierre del </w:t>
      </w:r>
      <w:r w:rsidR="00F1557D" w:rsidRPr="009E6DA6">
        <w:rPr>
          <w:rFonts w:ascii="Arial" w:hAnsi="Arial" w:cs="Arial"/>
          <w:sz w:val="24"/>
          <w:szCs w:val="24"/>
        </w:rPr>
        <w:t xml:space="preserve">primer </w:t>
      </w:r>
      <w:r w:rsidR="00CA302C" w:rsidRPr="009E6DA6">
        <w:rPr>
          <w:rFonts w:ascii="Arial" w:hAnsi="Arial" w:cs="Arial"/>
          <w:sz w:val="24"/>
          <w:szCs w:val="24"/>
        </w:rPr>
        <w:t>semestre 20</w:t>
      </w:r>
      <w:r w:rsidR="00225E52" w:rsidRPr="009E6DA6">
        <w:rPr>
          <w:rFonts w:ascii="Arial" w:hAnsi="Arial" w:cs="Arial"/>
          <w:sz w:val="24"/>
          <w:szCs w:val="24"/>
        </w:rPr>
        <w:t>2</w:t>
      </w:r>
      <w:r w:rsidR="00F1557D" w:rsidRPr="009E6DA6">
        <w:rPr>
          <w:rFonts w:ascii="Arial" w:hAnsi="Arial" w:cs="Arial"/>
          <w:sz w:val="24"/>
          <w:szCs w:val="24"/>
        </w:rPr>
        <w:t>2</w:t>
      </w:r>
      <w:r w:rsidR="00BA7E9C" w:rsidRPr="009E6DA6">
        <w:rPr>
          <w:rFonts w:ascii="Arial" w:hAnsi="Arial" w:cs="Arial"/>
          <w:sz w:val="24"/>
          <w:szCs w:val="24"/>
        </w:rPr>
        <w:t xml:space="preserve"> </w:t>
      </w:r>
      <w:r w:rsidR="00150A7B" w:rsidRPr="009E6DA6">
        <w:rPr>
          <w:rFonts w:ascii="Arial" w:hAnsi="Arial" w:cs="Arial"/>
          <w:sz w:val="24"/>
          <w:szCs w:val="24"/>
        </w:rPr>
        <w:t xml:space="preserve">se </w:t>
      </w:r>
      <w:r w:rsidR="00841865" w:rsidRPr="009E6DA6">
        <w:rPr>
          <w:rFonts w:ascii="Arial" w:hAnsi="Arial" w:cs="Arial"/>
          <w:sz w:val="24"/>
          <w:szCs w:val="24"/>
        </w:rPr>
        <w:t>p</w:t>
      </w:r>
      <w:r w:rsidR="00150A7B" w:rsidRPr="009E6DA6">
        <w:rPr>
          <w:rFonts w:ascii="Arial" w:hAnsi="Arial" w:cs="Arial"/>
          <w:sz w:val="24"/>
          <w:szCs w:val="24"/>
        </w:rPr>
        <w:t>ercibi</w:t>
      </w:r>
      <w:r w:rsidR="00841865" w:rsidRPr="009E6DA6">
        <w:rPr>
          <w:rFonts w:ascii="Arial" w:hAnsi="Arial" w:cs="Arial"/>
          <w:sz w:val="24"/>
          <w:szCs w:val="24"/>
        </w:rPr>
        <w:t>ó</w:t>
      </w:r>
      <w:r w:rsidR="00150A7B" w:rsidRPr="009E6DA6">
        <w:rPr>
          <w:rFonts w:ascii="Arial" w:hAnsi="Arial" w:cs="Arial"/>
          <w:sz w:val="24"/>
          <w:szCs w:val="24"/>
        </w:rPr>
        <w:t xml:space="preserve"> la suma de </w:t>
      </w:r>
      <w:r w:rsidR="00150A7B" w:rsidRPr="009E6DA6">
        <w:rPr>
          <w:rFonts w:ascii="Arial" w:hAnsi="Arial" w:cs="Arial"/>
          <w:b/>
          <w:sz w:val="24"/>
          <w:szCs w:val="24"/>
        </w:rPr>
        <w:t>¢</w:t>
      </w:r>
      <w:r w:rsidR="00AF71A1" w:rsidRPr="009E6DA6">
        <w:rPr>
          <w:rFonts w:ascii="Arial" w:hAnsi="Arial" w:cs="Arial"/>
          <w:b/>
          <w:sz w:val="24"/>
          <w:szCs w:val="24"/>
        </w:rPr>
        <w:t>2</w:t>
      </w:r>
      <w:r w:rsidR="00D11086">
        <w:rPr>
          <w:rFonts w:ascii="Arial" w:hAnsi="Arial" w:cs="Arial"/>
          <w:b/>
          <w:sz w:val="24"/>
          <w:szCs w:val="24"/>
        </w:rPr>
        <w:t>1.133.365.862</w:t>
      </w:r>
      <w:r w:rsidR="00A524AA" w:rsidRPr="009E6DA6">
        <w:rPr>
          <w:rFonts w:ascii="Arial" w:hAnsi="Arial" w:cs="Arial"/>
          <w:b/>
          <w:sz w:val="24"/>
          <w:szCs w:val="24"/>
        </w:rPr>
        <w:t xml:space="preserve"> </w:t>
      </w:r>
      <w:r w:rsidR="00214AB2" w:rsidRPr="009E6DA6">
        <w:rPr>
          <w:rFonts w:ascii="Arial" w:hAnsi="Arial" w:cs="Arial"/>
          <w:sz w:val="24"/>
          <w:szCs w:val="24"/>
        </w:rPr>
        <w:t>(lo cual no incluye los ingresos por superávit acumulado no presupuestado)</w:t>
      </w:r>
      <w:r w:rsidR="00150A7B" w:rsidRPr="009E6DA6">
        <w:rPr>
          <w:rFonts w:ascii="Arial" w:hAnsi="Arial" w:cs="Arial"/>
          <w:sz w:val="24"/>
          <w:szCs w:val="24"/>
        </w:rPr>
        <w:t>, lo que equivale a una ejecución del</w:t>
      </w:r>
      <w:r w:rsidR="00AF71A1" w:rsidRPr="009E6DA6">
        <w:rPr>
          <w:rFonts w:ascii="Arial" w:hAnsi="Arial" w:cs="Arial"/>
          <w:sz w:val="24"/>
          <w:szCs w:val="24"/>
        </w:rPr>
        <w:t xml:space="preserve"> </w:t>
      </w:r>
      <w:r w:rsidR="00D11086">
        <w:rPr>
          <w:rFonts w:ascii="Arial" w:hAnsi="Arial" w:cs="Arial"/>
          <w:b/>
          <w:sz w:val="24"/>
          <w:szCs w:val="24"/>
        </w:rPr>
        <w:t>81</w:t>
      </w:r>
      <w:r w:rsidR="00AF71A1" w:rsidRPr="009E6DA6">
        <w:rPr>
          <w:rFonts w:ascii="Arial" w:hAnsi="Arial" w:cs="Arial"/>
          <w:b/>
          <w:sz w:val="24"/>
          <w:szCs w:val="24"/>
        </w:rPr>
        <w:t>%</w:t>
      </w:r>
      <w:r w:rsidR="00150A7B" w:rsidRPr="009E6DA6">
        <w:rPr>
          <w:rFonts w:ascii="Arial" w:hAnsi="Arial" w:cs="Arial"/>
          <w:b/>
          <w:bCs/>
          <w:sz w:val="24"/>
          <w:szCs w:val="24"/>
        </w:rPr>
        <w:t>.</w:t>
      </w:r>
      <w:r w:rsidR="00150A7B" w:rsidRPr="009E6DA6">
        <w:rPr>
          <w:rFonts w:ascii="Arial" w:hAnsi="Arial" w:cs="Arial"/>
          <w:sz w:val="24"/>
          <w:szCs w:val="24"/>
        </w:rPr>
        <w:t xml:space="preserve"> A </w:t>
      </w:r>
      <w:r w:rsidRPr="009E6DA6">
        <w:rPr>
          <w:rFonts w:ascii="Arial" w:hAnsi="Arial" w:cs="Arial"/>
          <w:sz w:val="24"/>
          <w:szCs w:val="24"/>
        </w:rPr>
        <w:t>continuación,</w:t>
      </w:r>
      <w:r w:rsidR="00150A7B" w:rsidRPr="009E6DA6">
        <w:rPr>
          <w:rFonts w:ascii="Arial" w:hAnsi="Arial" w:cs="Arial"/>
          <w:sz w:val="24"/>
          <w:szCs w:val="24"/>
        </w:rPr>
        <w:t xml:space="preserve"> se detalla algunos aspectos importantes de los ingresos percibidos.</w:t>
      </w:r>
    </w:p>
    <w:p w14:paraId="57D5C2D4" w14:textId="77777777" w:rsidR="00150A7B" w:rsidRPr="009E6DA6" w:rsidRDefault="00150A7B" w:rsidP="009E6DA6">
      <w:pPr>
        <w:spacing w:after="0" w:line="240" w:lineRule="auto"/>
        <w:jc w:val="both"/>
        <w:rPr>
          <w:rFonts w:ascii="Arial" w:hAnsi="Arial" w:cs="Arial"/>
          <w:b/>
          <w:sz w:val="24"/>
          <w:szCs w:val="24"/>
        </w:rPr>
      </w:pPr>
      <w:r w:rsidRPr="009E6DA6">
        <w:rPr>
          <w:rFonts w:ascii="Arial" w:hAnsi="Arial" w:cs="Arial"/>
          <w:b/>
          <w:sz w:val="24"/>
          <w:szCs w:val="24"/>
        </w:rPr>
        <w:t xml:space="preserve">1.3.0.0.00.00.0.0.000 Ingresos no tributarios </w:t>
      </w:r>
    </w:p>
    <w:p w14:paraId="3EA028D1" w14:textId="77777777" w:rsidR="008056E3" w:rsidRPr="009E6DA6" w:rsidRDefault="008056E3" w:rsidP="009E6DA6">
      <w:pPr>
        <w:spacing w:after="0" w:line="240" w:lineRule="auto"/>
        <w:jc w:val="both"/>
        <w:rPr>
          <w:rFonts w:ascii="Arial" w:hAnsi="Arial" w:cs="Arial"/>
          <w:b/>
          <w:sz w:val="24"/>
          <w:szCs w:val="24"/>
        </w:rPr>
      </w:pPr>
      <w:r w:rsidRPr="009E6DA6">
        <w:rPr>
          <w:rFonts w:ascii="Arial" w:hAnsi="Arial" w:cs="Arial"/>
          <w:b/>
          <w:sz w:val="24"/>
          <w:szCs w:val="24"/>
        </w:rPr>
        <w:t>1.3.1.2.09.0</w:t>
      </w:r>
      <w:r w:rsidR="000566F6" w:rsidRPr="009E6DA6">
        <w:rPr>
          <w:rFonts w:ascii="Arial" w:hAnsi="Arial" w:cs="Arial"/>
          <w:b/>
          <w:sz w:val="24"/>
          <w:szCs w:val="24"/>
        </w:rPr>
        <w:t>9</w:t>
      </w:r>
      <w:r w:rsidRPr="009E6DA6">
        <w:rPr>
          <w:rFonts w:ascii="Arial" w:hAnsi="Arial" w:cs="Arial"/>
          <w:b/>
          <w:sz w:val="24"/>
          <w:szCs w:val="24"/>
        </w:rPr>
        <w:t>.0.0.000</w:t>
      </w:r>
      <w:r w:rsidR="009835F6" w:rsidRPr="009E6DA6">
        <w:rPr>
          <w:rFonts w:ascii="Arial" w:hAnsi="Arial" w:cs="Arial"/>
          <w:b/>
          <w:sz w:val="24"/>
          <w:szCs w:val="24"/>
        </w:rPr>
        <w:t xml:space="preserve"> Venta de servicios</w:t>
      </w:r>
    </w:p>
    <w:p w14:paraId="214A9FB0" w14:textId="77777777" w:rsidR="008056E3" w:rsidRPr="009E6DA6" w:rsidRDefault="008056E3" w:rsidP="009E6DA6">
      <w:pPr>
        <w:spacing w:after="0" w:line="240" w:lineRule="auto"/>
        <w:jc w:val="both"/>
        <w:rPr>
          <w:rFonts w:ascii="Arial" w:hAnsi="Arial" w:cs="Arial"/>
          <w:b/>
          <w:sz w:val="24"/>
          <w:szCs w:val="24"/>
        </w:rPr>
      </w:pPr>
    </w:p>
    <w:p w14:paraId="2A549438" w14:textId="1113488C" w:rsidR="009C73C2" w:rsidRDefault="00A66B85" w:rsidP="009E6DA6">
      <w:pPr>
        <w:jc w:val="both"/>
        <w:rPr>
          <w:rFonts w:ascii="Arial" w:hAnsi="Arial" w:cs="Arial"/>
          <w:sz w:val="24"/>
          <w:szCs w:val="24"/>
        </w:rPr>
      </w:pPr>
      <w:r w:rsidRPr="009E6DA6">
        <w:rPr>
          <w:rFonts w:ascii="Arial" w:hAnsi="Arial" w:cs="Arial"/>
          <w:sz w:val="24"/>
          <w:szCs w:val="24"/>
        </w:rPr>
        <w:t xml:space="preserve">En cumplimiento </w:t>
      </w:r>
      <w:r w:rsidR="00942F6D" w:rsidRPr="009E6DA6">
        <w:rPr>
          <w:rFonts w:ascii="Arial" w:hAnsi="Arial" w:cs="Arial"/>
          <w:sz w:val="24"/>
          <w:szCs w:val="24"/>
        </w:rPr>
        <w:t xml:space="preserve">al contrato de </w:t>
      </w:r>
      <w:r w:rsidR="002A5BE5" w:rsidRPr="009E6DA6">
        <w:rPr>
          <w:rFonts w:ascii="Arial" w:hAnsi="Arial" w:cs="Arial"/>
          <w:sz w:val="24"/>
          <w:szCs w:val="24"/>
        </w:rPr>
        <w:t>Fideicomiso y</w:t>
      </w:r>
      <w:r w:rsidR="00942F6D" w:rsidRPr="009E6DA6">
        <w:rPr>
          <w:rFonts w:ascii="Arial" w:hAnsi="Arial" w:cs="Arial"/>
          <w:sz w:val="24"/>
          <w:szCs w:val="24"/>
        </w:rPr>
        <w:t xml:space="preserve"> </w:t>
      </w:r>
      <w:r w:rsidR="001E1B19" w:rsidRPr="009E6DA6">
        <w:rPr>
          <w:rFonts w:ascii="Arial" w:hAnsi="Arial" w:cs="Arial"/>
          <w:sz w:val="24"/>
          <w:szCs w:val="24"/>
        </w:rPr>
        <w:t>al inciso</w:t>
      </w:r>
      <w:r w:rsidR="00942F6D" w:rsidRPr="009E6DA6">
        <w:rPr>
          <w:rFonts w:ascii="Arial" w:hAnsi="Arial" w:cs="Arial"/>
          <w:sz w:val="24"/>
          <w:szCs w:val="24"/>
        </w:rPr>
        <w:t xml:space="preserve"> d) y i) del artículo 47 de la Ley Forestal 7575</w:t>
      </w:r>
      <w:r w:rsidR="00823197" w:rsidRPr="009E6DA6">
        <w:rPr>
          <w:rFonts w:ascii="Arial" w:hAnsi="Arial" w:cs="Arial"/>
          <w:sz w:val="24"/>
          <w:szCs w:val="24"/>
        </w:rPr>
        <w:t xml:space="preserve">, en esta subpartida </w:t>
      </w:r>
      <w:r w:rsidR="00932E5B" w:rsidRPr="009E6DA6">
        <w:rPr>
          <w:rFonts w:ascii="Arial" w:hAnsi="Arial" w:cs="Arial"/>
          <w:sz w:val="24"/>
          <w:szCs w:val="24"/>
        </w:rPr>
        <w:t>se presupuest</w:t>
      </w:r>
      <w:r w:rsidR="00823197" w:rsidRPr="009E6DA6">
        <w:rPr>
          <w:rFonts w:ascii="Arial" w:hAnsi="Arial" w:cs="Arial"/>
          <w:sz w:val="24"/>
          <w:szCs w:val="24"/>
        </w:rPr>
        <w:t>ó</w:t>
      </w:r>
      <w:r w:rsidR="00932E5B" w:rsidRPr="009E6DA6">
        <w:rPr>
          <w:rFonts w:ascii="Arial" w:hAnsi="Arial" w:cs="Arial"/>
          <w:sz w:val="24"/>
          <w:szCs w:val="24"/>
        </w:rPr>
        <w:t xml:space="preserve"> la suma de </w:t>
      </w:r>
      <w:r w:rsidR="00362E86" w:rsidRPr="009E6DA6">
        <w:rPr>
          <w:rFonts w:ascii="Arial" w:hAnsi="Arial" w:cs="Arial"/>
          <w:b/>
          <w:sz w:val="24"/>
          <w:szCs w:val="24"/>
        </w:rPr>
        <w:t>¢</w:t>
      </w:r>
      <w:r w:rsidR="00AF71A1" w:rsidRPr="009E6DA6">
        <w:rPr>
          <w:rFonts w:ascii="Arial" w:hAnsi="Arial" w:cs="Arial"/>
          <w:b/>
          <w:sz w:val="24"/>
          <w:szCs w:val="24"/>
        </w:rPr>
        <w:t>87.820.571</w:t>
      </w:r>
      <w:r w:rsidR="00362E86" w:rsidRPr="009E6DA6">
        <w:rPr>
          <w:rFonts w:ascii="Arial" w:hAnsi="Arial" w:cs="Arial"/>
          <w:sz w:val="24"/>
          <w:szCs w:val="24"/>
        </w:rPr>
        <w:t xml:space="preserve">, al cierre del </w:t>
      </w:r>
      <w:r w:rsidR="00AF71A1" w:rsidRPr="009E6DA6">
        <w:rPr>
          <w:rFonts w:ascii="Arial" w:hAnsi="Arial" w:cs="Arial"/>
          <w:sz w:val="24"/>
          <w:szCs w:val="24"/>
        </w:rPr>
        <w:t>primer semestre 2022</w:t>
      </w:r>
      <w:r w:rsidR="001E1B19" w:rsidRPr="009E6DA6">
        <w:rPr>
          <w:rFonts w:ascii="Arial" w:hAnsi="Arial" w:cs="Arial"/>
          <w:sz w:val="24"/>
          <w:szCs w:val="24"/>
        </w:rPr>
        <w:t xml:space="preserve"> se percibió la suma de</w:t>
      </w:r>
      <w:r w:rsidR="00362E86" w:rsidRPr="009E6DA6">
        <w:rPr>
          <w:rFonts w:ascii="Arial" w:hAnsi="Arial" w:cs="Arial"/>
          <w:sz w:val="24"/>
          <w:szCs w:val="24"/>
        </w:rPr>
        <w:t xml:space="preserve"> </w:t>
      </w:r>
      <w:r w:rsidR="00362E86" w:rsidRPr="009E6DA6">
        <w:rPr>
          <w:rFonts w:ascii="Arial" w:hAnsi="Arial" w:cs="Arial"/>
          <w:b/>
          <w:sz w:val="24"/>
          <w:szCs w:val="24"/>
        </w:rPr>
        <w:t>¢</w:t>
      </w:r>
      <w:r w:rsidR="001E1B19" w:rsidRPr="009E6DA6">
        <w:rPr>
          <w:rFonts w:ascii="Arial" w:hAnsi="Arial" w:cs="Arial"/>
          <w:b/>
          <w:sz w:val="24"/>
          <w:szCs w:val="24"/>
        </w:rPr>
        <w:t>1</w:t>
      </w:r>
      <w:r w:rsidR="00D47697" w:rsidRPr="009E6DA6">
        <w:rPr>
          <w:rFonts w:ascii="Arial" w:hAnsi="Arial" w:cs="Arial"/>
          <w:b/>
          <w:sz w:val="24"/>
          <w:szCs w:val="24"/>
        </w:rPr>
        <w:t>4</w:t>
      </w:r>
      <w:r w:rsidR="0007257F" w:rsidRPr="009E6DA6">
        <w:rPr>
          <w:rFonts w:ascii="Arial" w:hAnsi="Arial" w:cs="Arial"/>
          <w:b/>
          <w:sz w:val="24"/>
          <w:szCs w:val="24"/>
        </w:rPr>
        <w:t>2</w:t>
      </w:r>
      <w:r w:rsidR="00D47697" w:rsidRPr="009E6DA6">
        <w:rPr>
          <w:rFonts w:ascii="Arial" w:hAnsi="Arial" w:cs="Arial"/>
          <w:b/>
          <w:sz w:val="24"/>
          <w:szCs w:val="24"/>
        </w:rPr>
        <w:t>.</w:t>
      </w:r>
      <w:r w:rsidR="0007257F" w:rsidRPr="009E6DA6">
        <w:rPr>
          <w:rFonts w:ascii="Arial" w:hAnsi="Arial" w:cs="Arial"/>
          <w:b/>
          <w:sz w:val="24"/>
          <w:szCs w:val="24"/>
        </w:rPr>
        <w:t>808.792</w:t>
      </w:r>
      <w:r w:rsidR="00362E86" w:rsidRPr="009E6DA6">
        <w:rPr>
          <w:rFonts w:ascii="Arial" w:hAnsi="Arial" w:cs="Arial"/>
          <w:sz w:val="24"/>
          <w:szCs w:val="24"/>
        </w:rPr>
        <w:t xml:space="preserve"> equivalentes a un </w:t>
      </w:r>
      <w:r w:rsidR="0007257F" w:rsidRPr="009E6DA6">
        <w:rPr>
          <w:rFonts w:ascii="Arial" w:hAnsi="Arial" w:cs="Arial"/>
          <w:sz w:val="24"/>
          <w:szCs w:val="24"/>
        </w:rPr>
        <w:t>163</w:t>
      </w:r>
      <w:r w:rsidR="00362E86" w:rsidRPr="009E6DA6">
        <w:rPr>
          <w:rFonts w:ascii="Arial" w:hAnsi="Arial" w:cs="Arial"/>
          <w:b/>
          <w:sz w:val="24"/>
          <w:szCs w:val="24"/>
        </w:rPr>
        <w:t>%</w:t>
      </w:r>
      <w:r w:rsidR="00362E86" w:rsidRPr="009E6DA6">
        <w:rPr>
          <w:rFonts w:ascii="Arial" w:hAnsi="Arial" w:cs="Arial"/>
          <w:sz w:val="24"/>
          <w:szCs w:val="24"/>
        </w:rPr>
        <w:t xml:space="preserve"> de ejecución. </w:t>
      </w:r>
      <w:r w:rsidR="00673974" w:rsidRPr="009E6DA6">
        <w:rPr>
          <w:rFonts w:ascii="Arial" w:hAnsi="Arial" w:cs="Arial"/>
          <w:sz w:val="24"/>
          <w:szCs w:val="24"/>
        </w:rPr>
        <w:t>Es</w:t>
      </w:r>
      <w:r w:rsidR="00256565" w:rsidRPr="009E6DA6">
        <w:rPr>
          <w:rFonts w:ascii="Arial" w:hAnsi="Arial" w:cs="Arial"/>
          <w:sz w:val="24"/>
          <w:szCs w:val="24"/>
        </w:rPr>
        <w:t>tos son recursos</w:t>
      </w:r>
      <w:r w:rsidR="00932E5B" w:rsidRPr="009E6DA6">
        <w:rPr>
          <w:rFonts w:ascii="Arial" w:hAnsi="Arial" w:cs="Arial"/>
          <w:sz w:val="24"/>
          <w:szCs w:val="24"/>
        </w:rPr>
        <w:t xml:space="preserve"> </w:t>
      </w:r>
      <w:r w:rsidR="00362E86" w:rsidRPr="009E6DA6">
        <w:rPr>
          <w:rFonts w:ascii="Arial" w:hAnsi="Arial" w:cs="Arial"/>
          <w:sz w:val="24"/>
          <w:szCs w:val="24"/>
        </w:rPr>
        <w:t xml:space="preserve">principalmente por ingresos de afectaciones </w:t>
      </w:r>
      <w:r w:rsidR="00256565" w:rsidRPr="009E6DA6">
        <w:rPr>
          <w:rFonts w:ascii="Arial" w:hAnsi="Arial" w:cs="Arial"/>
          <w:sz w:val="24"/>
          <w:szCs w:val="24"/>
        </w:rPr>
        <w:t>realizadas a los contratos por pago de servicios ambientales</w:t>
      </w:r>
      <w:r w:rsidR="001E1B19" w:rsidRPr="009E6DA6">
        <w:rPr>
          <w:rFonts w:ascii="Arial" w:hAnsi="Arial" w:cs="Arial"/>
          <w:sz w:val="24"/>
          <w:szCs w:val="24"/>
        </w:rPr>
        <w:t>, así como conven</w:t>
      </w:r>
      <w:r w:rsidR="009C73C2">
        <w:rPr>
          <w:rFonts w:ascii="Arial" w:hAnsi="Arial" w:cs="Arial"/>
          <w:sz w:val="24"/>
          <w:szCs w:val="24"/>
        </w:rPr>
        <w:t>ios también para el pago de PSA</w:t>
      </w:r>
      <w:r w:rsidR="00D9350E">
        <w:rPr>
          <w:rFonts w:ascii="Arial" w:hAnsi="Arial" w:cs="Arial"/>
          <w:sz w:val="24"/>
          <w:szCs w:val="24"/>
        </w:rPr>
        <w:t>, según se detalla a continuación</w:t>
      </w:r>
      <w:r w:rsidR="00445408">
        <w:rPr>
          <w:rFonts w:ascii="Arial" w:hAnsi="Arial" w:cs="Arial"/>
          <w:sz w:val="24"/>
          <w:szCs w:val="24"/>
        </w:rPr>
        <w:t>:</w:t>
      </w:r>
    </w:p>
    <w:p w14:paraId="7C115C15" w14:textId="77777777" w:rsidR="00D9350E" w:rsidRDefault="00D9350E" w:rsidP="009E6DA6">
      <w:pPr>
        <w:jc w:val="both"/>
        <w:rPr>
          <w:rFonts w:ascii="Arial" w:hAnsi="Arial" w:cs="Arial"/>
          <w:sz w:val="24"/>
          <w:szCs w:val="24"/>
        </w:rPr>
      </w:pPr>
    </w:p>
    <w:tbl>
      <w:tblPr>
        <w:tblW w:w="8820" w:type="dxa"/>
        <w:tblCellMar>
          <w:left w:w="70" w:type="dxa"/>
          <w:right w:w="70" w:type="dxa"/>
        </w:tblCellMar>
        <w:tblLook w:val="04A0" w:firstRow="1" w:lastRow="0" w:firstColumn="1" w:lastColumn="0" w:noHBand="0" w:noVBand="1"/>
      </w:tblPr>
      <w:tblGrid>
        <w:gridCol w:w="4836"/>
        <w:gridCol w:w="3984"/>
      </w:tblGrid>
      <w:tr w:rsidR="00D9350E" w:rsidRPr="00D9350E" w14:paraId="6AE16EE0" w14:textId="77777777" w:rsidTr="00D9350E">
        <w:trPr>
          <w:trHeight w:val="159"/>
        </w:trPr>
        <w:tc>
          <w:tcPr>
            <w:tcW w:w="4836"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14:paraId="6F442F23" w14:textId="77777777" w:rsidR="00D9350E" w:rsidRPr="00D9350E" w:rsidRDefault="00D9350E" w:rsidP="00D9350E">
            <w:pPr>
              <w:spacing w:after="0" w:line="240" w:lineRule="auto"/>
              <w:jc w:val="center"/>
              <w:rPr>
                <w:rFonts w:ascii="Arial" w:eastAsia="Times New Roman" w:hAnsi="Arial" w:cs="Arial"/>
                <w:b/>
                <w:bCs/>
                <w:color w:val="000000"/>
                <w:sz w:val="20"/>
                <w:szCs w:val="20"/>
                <w:lang w:val="es-US" w:eastAsia="es-US"/>
              </w:rPr>
            </w:pPr>
            <w:r w:rsidRPr="00D9350E">
              <w:rPr>
                <w:rFonts w:ascii="Arial" w:eastAsia="Times New Roman" w:hAnsi="Arial" w:cs="Arial"/>
                <w:b/>
                <w:bCs/>
                <w:color w:val="000000"/>
                <w:sz w:val="20"/>
                <w:szCs w:val="20"/>
                <w:lang w:val="es-US" w:eastAsia="es-US"/>
              </w:rPr>
              <w:t>Detalle</w:t>
            </w:r>
          </w:p>
        </w:tc>
        <w:tc>
          <w:tcPr>
            <w:tcW w:w="3984" w:type="dxa"/>
            <w:tcBorders>
              <w:top w:val="single" w:sz="4" w:space="0" w:color="auto"/>
              <w:left w:val="nil"/>
              <w:bottom w:val="single" w:sz="4" w:space="0" w:color="auto"/>
              <w:right w:val="single" w:sz="4" w:space="0" w:color="auto"/>
            </w:tcBorders>
            <w:shd w:val="clear" w:color="auto" w:fill="00B050"/>
            <w:noWrap/>
            <w:vAlign w:val="bottom"/>
            <w:hideMark/>
          </w:tcPr>
          <w:p w14:paraId="25D1561D" w14:textId="77777777" w:rsidR="00D9350E" w:rsidRPr="00D9350E" w:rsidRDefault="00D9350E" w:rsidP="00D9350E">
            <w:pPr>
              <w:spacing w:after="0" w:line="240" w:lineRule="auto"/>
              <w:jc w:val="center"/>
              <w:rPr>
                <w:rFonts w:ascii="Arial" w:eastAsia="Times New Roman" w:hAnsi="Arial" w:cs="Arial"/>
                <w:b/>
                <w:bCs/>
                <w:color w:val="000000"/>
                <w:sz w:val="20"/>
                <w:szCs w:val="20"/>
                <w:lang w:val="es-US" w:eastAsia="es-US"/>
              </w:rPr>
            </w:pPr>
            <w:r w:rsidRPr="00D9350E">
              <w:rPr>
                <w:rFonts w:ascii="Arial" w:eastAsia="Times New Roman" w:hAnsi="Arial" w:cs="Arial"/>
                <w:b/>
                <w:bCs/>
                <w:color w:val="000000"/>
                <w:sz w:val="20"/>
                <w:szCs w:val="20"/>
                <w:lang w:val="es-US" w:eastAsia="es-US"/>
              </w:rPr>
              <w:t>Monto</w:t>
            </w:r>
          </w:p>
        </w:tc>
      </w:tr>
      <w:tr w:rsidR="00D9350E" w:rsidRPr="00D9350E" w14:paraId="698EE929" w14:textId="77777777" w:rsidTr="00D9350E">
        <w:trPr>
          <w:trHeight w:val="159"/>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65676722" w14:textId="77777777" w:rsidR="00D9350E" w:rsidRPr="00D9350E" w:rsidRDefault="00D9350E" w:rsidP="00D9350E">
            <w:pPr>
              <w:spacing w:after="0" w:line="240" w:lineRule="auto"/>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Ingreso convenio Bac Credomatic</w:t>
            </w:r>
          </w:p>
        </w:tc>
        <w:tc>
          <w:tcPr>
            <w:tcW w:w="3984" w:type="dxa"/>
            <w:tcBorders>
              <w:top w:val="nil"/>
              <w:left w:val="nil"/>
              <w:bottom w:val="single" w:sz="4" w:space="0" w:color="auto"/>
              <w:right w:val="single" w:sz="4" w:space="0" w:color="auto"/>
            </w:tcBorders>
            <w:shd w:val="clear" w:color="auto" w:fill="auto"/>
            <w:noWrap/>
            <w:vAlign w:val="bottom"/>
            <w:hideMark/>
          </w:tcPr>
          <w:p w14:paraId="4AEC6296" w14:textId="77777777" w:rsidR="00D9350E" w:rsidRPr="00D9350E" w:rsidRDefault="00D9350E" w:rsidP="00D9350E">
            <w:pPr>
              <w:spacing w:after="0" w:line="240" w:lineRule="auto"/>
              <w:jc w:val="right"/>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 xml:space="preserve">                                           63,477,844.47 </w:t>
            </w:r>
          </w:p>
        </w:tc>
      </w:tr>
      <w:tr w:rsidR="00D9350E" w:rsidRPr="00D9350E" w14:paraId="18A7AD46" w14:textId="77777777" w:rsidTr="00D9350E">
        <w:trPr>
          <w:trHeight w:val="159"/>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2A93AD7A" w14:textId="14B36A16" w:rsidR="00D9350E" w:rsidRPr="00D9350E" w:rsidRDefault="00D9350E" w:rsidP="00D9350E">
            <w:pPr>
              <w:spacing w:after="0" w:line="240" w:lineRule="auto"/>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 xml:space="preserve">Ingreso del convenio </w:t>
            </w:r>
            <w:proofErr w:type="spellStart"/>
            <w:r w:rsidRPr="00D9350E">
              <w:rPr>
                <w:rFonts w:ascii="Arial" w:eastAsia="Times New Roman" w:hAnsi="Arial" w:cs="Arial"/>
                <w:color w:val="000000"/>
                <w:sz w:val="20"/>
                <w:szCs w:val="20"/>
                <w:lang w:val="es-US" w:eastAsia="es-US"/>
              </w:rPr>
              <w:t>Proquinal</w:t>
            </w:r>
            <w:proofErr w:type="spellEnd"/>
            <w:r w:rsidRPr="00D9350E">
              <w:rPr>
                <w:rFonts w:ascii="Arial" w:eastAsia="Times New Roman" w:hAnsi="Arial" w:cs="Arial"/>
                <w:color w:val="000000"/>
                <w:sz w:val="20"/>
                <w:szCs w:val="20"/>
                <w:lang w:val="es-US" w:eastAsia="es-US"/>
              </w:rPr>
              <w:t xml:space="preserve"> </w:t>
            </w:r>
          </w:p>
        </w:tc>
        <w:tc>
          <w:tcPr>
            <w:tcW w:w="3984" w:type="dxa"/>
            <w:tcBorders>
              <w:top w:val="nil"/>
              <w:left w:val="nil"/>
              <w:bottom w:val="single" w:sz="4" w:space="0" w:color="auto"/>
              <w:right w:val="single" w:sz="4" w:space="0" w:color="auto"/>
            </w:tcBorders>
            <w:shd w:val="clear" w:color="auto" w:fill="auto"/>
            <w:noWrap/>
            <w:vAlign w:val="bottom"/>
            <w:hideMark/>
          </w:tcPr>
          <w:p w14:paraId="7E72E427" w14:textId="77777777" w:rsidR="00D9350E" w:rsidRPr="00D9350E" w:rsidRDefault="00D9350E" w:rsidP="00D9350E">
            <w:pPr>
              <w:spacing w:after="0" w:line="240" w:lineRule="auto"/>
              <w:jc w:val="right"/>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 xml:space="preserve">                                           25,889,040.12 </w:t>
            </w:r>
          </w:p>
        </w:tc>
      </w:tr>
      <w:tr w:rsidR="00D9350E" w:rsidRPr="00D9350E" w14:paraId="6C44FDED" w14:textId="77777777" w:rsidTr="00D9350E">
        <w:trPr>
          <w:trHeight w:val="159"/>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73AF08B4" w14:textId="1D4D1A3B" w:rsidR="00D9350E" w:rsidRPr="00D9350E" w:rsidRDefault="00D9350E" w:rsidP="00D9350E">
            <w:pPr>
              <w:spacing w:after="0" w:line="240" w:lineRule="auto"/>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Ingreso por Convenio FONAFIFO Coneléctricas</w:t>
            </w:r>
          </w:p>
        </w:tc>
        <w:tc>
          <w:tcPr>
            <w:tcW w:w="3984" w:type="dxa"/>
            <w:tcBorders>
              <w:top w:val="nil"/>
              <w:left w:val="nil"/>
              <w:bottom w:val="single" w:sz="4" w:space="0" w:color="auto"/>
              <w:right w:val="single" w:sz="4" w:space="0" w:color="auto"/>
            </w:tcBorders>
            <w:shd w:val="clear" w:color="auto" w:fill="auto"/>
            <w:noWrap/>
            <w:vAlign w:val="bottom"/>
            <w:hideMark/>
          </w:tcPr>
          <w:p w14:paraId="1CEDDD06" w14:textId="77777777" w:rsidR="00D9350E" w:rsidRPr="00D9350E" w:rsidRDefault="00D9350E" w:rsidP="00D9350E">
            <w:pPr>
              <w:spacing w:after="0" w:line="240" w:lineRule="auto"/>
              <w:jc w:val="right"/>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 xml:space="preserve">                                           29,024,334.00 </w:t>
            </w:r>
          </w:p>
        </w:tc>
      </w:tr>
      <w:tr w:rsidR="00D9350E" w:rsidRPr="00D9350E" w14:paraId="2598B26F" w14:textId="77777777" w:rsidTr="00D9350E">
        <w:trPr>
          <w:trHeight w:val="159"/>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2DCE69A1" w14:textId="77777777" w:rsidR="00D9350E" w:rsidRPr="00D9350E" w:rsidRDefault="00D9350E" w:rsidP="00D9350E">
            <w:pPr>
              <w:spacing w:after="0" w:line="240" w:lineRule="auto"/>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Ingresos convenio CANAECO</w:t>
            </w:r>
          </w:p>
        </w:tc>
        <w:tc>
          <w:tcPr>
            <w:tcW w:w="3984" w:type="dxa"/>
            <w:tcBorders>
              <w:top w:val="nil"/>
              <w:left w:val="nil"/>
              <w:bottom w:val="single" w:sz="4" w:space="0" w:color="auto"/>
              <w:right w:val="single" w:sz="4" w:space="0" w:color="auto"/>
            </w:tcBorders>
            <w:shd w:val="clear" w:color="auto" w:fill="auto"/>
            <w:noWrap/>
            <w:vAlign w:val="bottom"/>
            <w:hideMark/>
          </w:tcPr>
          <w:p w14:paraId="62B71B21" w14:textId="77777777" w:rsidR="00D9350E" w:rsidRPr="00D9350E" w:rsidRDefault="00D9350E" w:rsidP="00D9350E">
            <w:pPr>
              <w:spacing w:after="0" w:line="240" w:lineRule="auto"/>
              <w:jc w:val="right"/>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 xml:space="preserve">                                                     7,114.27 </w:t>
            </w:r>
          </w:p>
        </w:tc>
      </w:tr>
      <w:tr w:rsidR="00D9350E" w:rsidRPr="00D9350E" w14:paraId="66C0919C" w14:textId="77777777" w:rsidTr="00D9350E">
        <w:trPr>
          <w:trHeight w:val="159"/>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6E01FFF3" w14:textId="77777777" w:rsidR="00D9350E" w:rsidRPr="00D9350E" w:rsidRDefault="00D9350E" w:rsidP="00D9350E">
            <w:pPr>
              <w:spacing w:after="0" w:line="240" w:lineRule="auto"/>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 xml:space="preserve">Ingresos Convenio </w:t>
            </w:r>
            <w:proofErr w:type="spellStart"/>
            <w:r w:rsidRPr="00D9350E">
              <w:rPr>
                <w:rFonts w:ascii="Arial" w:eastAsia="Times New Roman" w:hAnsi="Arial" w:cs="Arial"/>
                <w:color w:val="000000"/>
                <w:sz w:val="20"/>
                <w:szCs w:val="20"/>
                <w:lang w:val="es-US" w:eastAsia="es-US"/>
              </w:rPr>
              <w:t>Gilded</w:t>
            </w:r>
            <w:proofErr w:type="spellEnd"/>
            <w:r w:rsidRPr="00D9350E">
              <w:rPr>
                <w:rFonts w:ascii="Arial" w:eastAsia="Times New Roman" w:hAnsi="Arial" w:cs="Arial"/>
                <w:color w:val="000000"/>
                <w:sz w:val="20"/>
                <w:szCs w:val="20"/>
                <w:lang w:val="es-US" w:eastAsia="es-US"/>
              </w:rPr>
              <w:t xml:space="preserve"> Iguana</w:t>
            </w:r>
          </w:p>
        </w:tc>
        <w:tc>
          <w:tcPr>
            <w:tcW w:w="3984" w:type="dxa"/>
            <w:tcBorders>
              <w:top w:val="nil"/>
              <w:left w:val="nil"/>
              <w:bottom w:val="single" w:sz="4" w:space="0" w:color="auto"/>
              <w:right w:val="single" w:sz="4" w:space="0" w:color="auto"/>
            </w:tcBorders>
            <w:shd w:val="clear" w:color="auto" w:fill="auto"/>
            <w:noWrap/>
            <w:vAlign w:val="bottom"/>
            <w:hideMark/>
          </w:tcPr>
          <w:p w14:paraId="5DC4ECE2" w14:textId="77777777" w:rsidR="00D9350E" w:rsidRPr="00D9350E" w:rsidRDefault="00D9350E" w:rsidP="00D9350E">
            <w:pPr>
              <w:spacing w:after="0" w:line="240" w:lineRule="auto"/>
              <w:jc w:val="right"/>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 xml:space="preserve">                                             4,215,111.90 </w:t>
            </w:r>
          </w:p>
        </w:tc>
      </w:tr>
      <w:tr w:rsidR="00D9350E" w:rsidRPr="00D9350E" w14:paraId="2832D79B" w14:textId="77777777" w:rsidTr="00D9350E">
        <w:trPr>
          <w:trHeight w:val="159"/>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049F0303" w14:textId="77777777" w:rsidR="00D9350E" w:rsidRPr="00D9350E" w:rsidRDefault="00D9350E" w:rsidP="00D9350E">
            <w:pPr>
              <w:spacing w:after="0" w:line="240" w:lineRule="auto"/>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Ingresos por afectaciones -PSA</w:t>
            </w:r>
          </w:p>
        </w:tc>
        <w:tc>
          <w:tcPr>
            <w:tcW w:w="3984" w:type="dxa"/>
            <w:tcBorders>
              <w:top w:val="nil"/>
              <w:left w:val="nil"/>
              <w:bottom w:val="single" w:sz="4" w:space="0" w:color="auto"/>
              <w:right w:val="single" w:sz="4" w:space="0" w:color="auto"/>
            </w:tcBorders>
            <w:shd w:val="clear" w:color="auto" w:fill="auto"/>
            <w:noWrap/>
            <w:vAlign w:val="bottom"/>
            <w:hideMark/>
          </w:tcPr>
          <w:p w14:paraId="63434ECC" w14:textId="77777777" w:rsidR="00D9350E" w:rsidRPr="00D9350E" w:rsidRDefault="00D9350E" w:rsidP="00D9350E">
            <w:pPr>
              <w:spacing w:after="0" w:line="240" w:lineRule="auto"/>
              <w:jc w:val="right"/>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 xml:space="preserve">                                           12,725,574.41 </w:t>
            </w:r>
          </w:p>
        </w:tc>
      </w:tr>
      <w:tr w:rsidR="00D9350E" w:rsidRPr="00D9350E" w14:paraId="3F2067F2" w14:textId="77777777" w:rsidTr="00D9350E">
        <w:trPr>
          <w:trHeight w:val="159"/>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41861393" w14:textId="77777777" w:rsidR="00D9350E" w:rsidRPr="00D9350E" w:rsidRDefault="00D9350E" w:rsidP="00D9350E">
            <w:pPr>
              <w:spacing w:after="0" w:line="240" w:lineRule="auto"/>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Ingresos por Venta Créditos de Carbono</w:t>
            </w:r>
          </w:p>
        </w:tc>
        <w:tc>
          <w:tcPr>
            <w:tcW w:w="3984" w:type="dxa"/>
            <w:tcBorders>
              <w:top w:val="nil"/>
              <w:left w:val="nil"/>
              <w:bottom w:val="single" w:sz="4" w:space="0" w:color="auto"/>
              <w:right w:val="single" w:sz="4" w:space="0" w:color="auto"/>
            </w:tcBorders>
            <w:shd w:val="clear" w:color="auto" w:fill="auto"/>
            <w:noWrap/>
            <w:vAlign w:val="bottom"/>
            <w:hideMark/>
          </w:tcPr>
          <w:p w14:paraId="4FA9C611" w14:textId="77777777" w:rsidR="00D9350E" w:rsidRPr="00D9350E" w:rsidRDefault="00D9350E" w:rsidP="00D9350E">
            <w:pPr>
              <w:spacing w:after="0" w:line="240" w:lineRule="auto"/>
              <w:jc w:val="right"/>
              <w:rPr>
                <w:rFonts w:ascii="Arial" w:eastAsia="Times New Roman" w:hAnsi="Arial" w:cs="Arial"/>
                <w:color w:val="000000"/>
                <w:sz w:val="20"/>
                <w:szCs w:val="20"/>
                <w:lang w:val="es-US" w:eastAsia="es-US"/>
              </w:rPr>
            </w:pPr>
            <w:r w:rsidRPr="00D9350E">
              <w:rPr>
                <w:rFonts w:ascii="Arial" w:eastAsia="Times New Roman" w:hAnsi="Arial" w:cs="Arial"/>
                <w:color w:val="000000"/>
                <w:sz w:val="20"/>
                <w:szCs w:val="20"/>
                <w:lang w:val="es-US" w:eastAsia="es-US"/>
              </w:rPr>
              <w:t xml:space="preserve">                                             7,469,772.78 </w:t>
            </w:r>
          </w:p>
        </w:tc>
      </w:tr>
      <w:tr w:rsidR="00D9350E" w:rsidRPr="00D9350E" w14:paraId="3009559E" w14:textId="77777777" w:rsidTr="00D9350E">
        <w:trPr>
          <w:trHeight w:val="159"/>
        </w:trPr>
        <w:tc>
          <w:tcPr>
            <w:tcW w:w="4836" w:type="dxa"/>
            <w:tcBorders>
              <w:top w:val="nil"/>
              <w:left w:val="single" w:sz="4" w:space="0" w:color="auto"/>
              <w:bottom w:val="single" w:sz="4" w:space="0" w:color="auto"/>
              <w:right w:val="single" w:sz="4" w:space="0" w:color="auto"/>
            </w:tcBorders>
            <w:shd w:val="clear" w:color="auto" w:fill="00B050"/>
            <w:noWrap/>
            <w:vAlign w:val="bottom"/>
            <w:hideMark/>
          </w:tcPr>
          <w:p w14:paraId="59408CB9" w14:textId="77777777" w:rsidR="00D9350E" w:rsidRPr="00D9350E" w:rsidRDefault="00D9350E" w:rsidP="00D9350E">
            <w:pPr>
              <w:spacing w:after="0" w:line="240" w:lineRule="auto"/>
              <w:rPr>
                <w:rFonts w:ascii="Arial" w:eastAsia="Times New Roman" w:hAnsi="Arial" w:cs="Arial"/>
                <w:b/>
                <w:bCs/>
                <w:color w:val="000000"/>
                <w:sz w:val="20"/>
                <w:szCs w:val="20"/>
                <w:lang w:val="es-US" w:eastAsia="es-US"/>
              </w:rPr>
            </w:pPr>
            <w:r w:rsidRPr="00D9350E">
              <w:rPr>
                <w:rFonts w:ascii="Arial" w:eastAsia="Times New Roman" w:hAnsi="Arial" w:cs="Arial"/>
                <w:b/>
                <w:bCs/>
                <w:color w:val="000000"/>
                <w:sz w:val="20"/>
                <w:szCs w:val="20"/>
                <w:lang w:val="es-US" w:eastAsia="es-US"/>
              </w:rPr>
              <w:t>Total</w:t>
            </w:r>
          </w:p>
        </w:tc>
        <w:tc>
          <w:tcPr>
            <w:tcW w:w="3984" w:type="dxa"/>
            <w:tcBorders>
              <w:top w:val="nil"/>
              <w:left w:val="nil"/>
              <w:bottom w:val="single" w:sz="4" w:space="0" w:color="auto"/>
              <w:right w:val="single" w:sz="4" w:space="0" w:color="auto"/>
            </w:tcBorders>
            <w:shd w:val="clear" w:color="auto" w:fill="00B050"/>
            <w:noWrap/>
            <w:vAlign w:val="bottom"/>
            <w:hideMark/>
          </w:tcPr>
          <w:p w14:paraId="1C637EEF" w14:textId="77777777" w:rsidR="00D9350E" w:rsidRPr="00D9350E" w:rsidRDefault="00D9350E" w:rsidP="00D9350E">
            <w:pPr>
              <w:spacing w:after="0" w:line="240" w:lineRule="auto"/>
              <w:jc w:val="right"/>
              <w:rPr>
                <w:rFonts w:ascii="Arial" w:eastAsia="Times New Roman" w:hAnsi="Arial" w:cs="Arial"/>
                <w:b/>
                <w:bCs/>
                <w:color w:val="000000"/>
                <w:sz w:val="20"/>
                <w:szCs w:val="20"/>
                <w:lang w:val="es-US" w:eastAsia="es-US"/>
              </w:rPr>
            </w:pPr>
            <w:r w:rsidRPr="00D9350E">
              <w:rPr>
                <w:rFonts w:ascii="Arial" w:eastAsia="Times New Roman" w:hAnsi="Arial" w:cs="Arial"/>
                <w:b/>
                <w:bCs/>
                <w:color w:val="000000"/>
                <w:sz w:val="20"/>
                <w:szCs w:val="20"/>
                <w:lang w:val="es-US" w:eastAsia="es-US"/>
              </w:rPr>
              <w:t xml:space="preserve">                                        142,808,791.95 </w:t>
            </w:r>
          </w:p>
        </w:tc>
      </w:tr>
    </w:tbl>
    <w:p w14:paraId="21B88B12" w14:textId="77777777" w:rsidR="00A524AA" w:rsidRPr="009E6DA6" w:rsidRDefault="00A524AA" w:rsidP="009E6DA6">
      <w:pPr>
        <w:spacing w:after="0" w:line="240" w:lineRule="auto"/>
        <w:jc w:val="both"/>
        <w:rPr>
          <w:rFonts w:ascii="Arial" w:hAnsi="Arial" w:cs="Arial"/>
          <w:b/>
          <w:sz w:val="24"/>
          <w:szCs w:val="24"/>
          <w:highlight w:val="lightGray"/>
        </w:rPr>
      </w:pPr>
    </w:p>
    <w:p w14:paraId="49390DD0" w14:textId="77777777" w:rsidR="009E6DA6" w:rsidRPr="009E6DA6" w:rsidRDefault="009E6DA6" w:rsidP="009E6DA6">
      <w:pPr>
        <w:spacing w:after="0" w:line="240" w:lineRule="auto"/>
        <w:jc w:val="both"/>
        <w:rPr>
          <w:rFonts w:ascii="Arial" w:hAnsi="Arial" w:cs="Arial"/>
          <w:b/>
          <w:sz w:val="24"/>
          <w:szCs w:val="24"/>
        </w:rPr>
      </w:pPr>
    </w:p>
    <w:p w14:paraId="3FBBE816" w14:textId="2B82851A" w:rsidR="00BB12A9" w:rsidRPr="009E6DA6" w:rsidRDefault="00974523" w:rsidP="009E6DA6">
      <w:pPr>
        <w:spacing w:after="0" w:line="240" w:lineRule="auto"/>
        <w:jc w:val="both"/>
        <w:rPr>
          <w:rFonts w:ascii="Arial" w:hAnsi="Arial" w:cs="Arial"/>
          <w:b/>
          <w:sz w:val="24"/>
          <w:szCs w:val="24"/>
        </w:rPr>
      </w:pPr>
      <w:r w:rsidRPr="009E6DA6">
        <w:rPr>
          <w:rFonts w:ascii="Arial" w:hAnsi="Arial" w:cs="Arial"/>
          <w:b/>
          <w:sz w:val="24"/>
          <w:szCs w:val="24"/>
        </w:rPr>
        <w:t>1.3.2</w:t>
      </w:r>
      <w:r w:rsidR="00150A7B" w:rsidRPr="009E6DA6">
        <w:rPr>
          <w:rFonts w:ascii="Arial" w:hAnsi="Arial" w:cs="Arial"/>
          <w:b/>
          <w:sz w:val="24"/>
          <w:szCs w:val="24"/>
        </w:rPr>
        <w:t xml:space="preserve">.0.00.00.0.0.000 Ingresos de la propiedad </w:t>
      </w:r>
    </w:p>
    <w:p w14:paraId="26C376D3" w14:textId="77777777" w:rsidR="0069687B" w:rsidRPr="009E6DA6" w:rsidRDefault="0069687B" w:rsidP="009E6DA6">
      <w:pPr>
        <w:spacing w:after="0" w:line="240" w:lineRule="auto"/>
        <w:jc w:val="both"/>
        <w:rPr>
          <w:rFonts w:ascii="Arial" w:hAnsi="Arial" w:cs="Arial"/>
          <w:b/>
          <w:sz w:val="24"/>
          <w:szCs w:val="24"/>
        </w:rPr>
      </w:pPr>
      <w:r w:rsidRPr="009E6DA6">
        <w:rPr>
          <w:rFonts w:ascii="Arial" w:hAnsi="Arial" w:cs="Arial"/>
          <w:b/>
          <w:sz w:val="24"/>
          <w:szCs w:val="24"/>
        </w:rPr>
        <w:t>1.3.2.3.02.0</w:t>
      </w:r>
      <w:r w:rsidR="000566F6" w:rsidRPr="009E6DA6">
        <w:rPr>
          <w:rFonts w:ascii="Arial" w:hAnsi="Arial" w:cs="Arial"/>
          <w:b/>
          <w:sz w:val="24"/>
          <w:szCs w:val="24"/>
        </w:rPr>
        <w:t>7</w:t>
      </w:r>
      <w:r w:rsidRPr="009E6DA6">
        <w:rPr>
          <w:rFonts w:ascii="Arial" w:hAnsi="Arial" w:cs="Arial"/>
          <w:b/>
          <w:sz w:val="24"/>
          <w:szCs w:val="24"/>
        </w:rPr>
        <w:t>.0.0.000 Intereses y comisiones sobre préstamos</w:t>
      </w:r>
      <w:r w:rsidR="000566F6" w:rsidRPr="009E6DA6">
        <w:rPr>
          <w:rFonts w:ascii="Arial" w:hAnsi="Arial" w:cs="Arial"/>
          <w:b/>
          <w:sz w:val="24"/>
          <w:szCs w:val="24"/>
        </w:rPr>
        <w:t xml:space="preserve"> al sector privado</w:t>
      </w:r>
    </w:p>
    <w:p w14:paraId="33B24688" w14:textId="77777777" w:rsidR="0069687B" w:rsidRPr="009E6DA6" w:rsidRDefault="0069687B" w:rsidP="009E6DA6">
      <w:pPr>
        <w:spacing w:after="0" w:line="240" w:lineRule="auto"/>
        <w:jc w:val="both"/>
        <w:rPr>
          <w:rFonts w:ascii="Arial" w:hAnsi="Arial" w:cs="Arial"/>
          <w:b/>
          <w:color w:val="FF0000"/>
          <w:sz w:val="24"/>
          <w:szCs w:val="24"/>
          <w:highlight w:val="lightGray"/>
        </w:rPr>
      </w:pPr>
    </w:p>
    <w:p w14:paraId="5948ACFE" w14:textId="74FEA121" w:rsidR="0069687B" w:rsidRPr="009E6DA6" w:rsidRDefault="000566F6" w:rsidP="009E6DA6">
      <w:pPr>
        <w:spacing w:after="0" w:line="240" w:lineRule="auto"/>
        <w:jc w:val="both"/>
        <w:rPr>
          <w:rFonts w:ascii="Arial" w:hAnsi="Arial" w:cs="Arial"/>
          <w:sz w:val="24"/>
          <w:szCs w:val="24"/>
        </w:rPr>
      </w:pPr>
      <w:r w:rsidRPr="009E6DA6">
        <w:rPr>
          <w:rFonts w:ascii="Arial" w:hAnsi="Arial" w:cs="Arial"/>
          <w:sz w:val="24"/>
          <w:szCs w:val="24"/>
        </w:rPr>
        <w:t xml:space="preserve">En esta subpartida se presupuestó la suma </w:t>
      </w:r>
      <w:r w:rsidR="00AF08C6" w:rsidRPr="009E6DA6">
        <w:rPr>
          <w:rFonts w:ascii="Arial" w:hAnsi="Arial" w:cs="Arial"/>
          <w:sz w:val="24"/>
          <w:szCs w:val="24"/>
        </w:rPr>
        <w:t xml:space="preserve">de </w:t>
      </w:r>
      <w:r w:rsidR="00AF08C6" w:rsidRPr="009E6DA6">
        <w:rPr>
          <w:rFonts w:ascii="Arial" w:hAnsi="Arial" w:cs="Arial"/>
          <w:b/>
          <w:sz w:val="24"/>
          <w:szCs w:val="24"/>
        </w:rPr>
        <w:t>¢</w:t>
      </w:r>
      <w:r w:rsidR="00CC3C92" w:rsidRPr="009E6DA6">
        <w:rPr>
          <w:rFonts w:ascii="Arial" w:hAnsi="Arial" w:cs="Arial"/>
          <w:b/>
          <w:sz w:val="24"/>
          <w:szCs w:val="24"/>
        </w:rPr>
        <w:t>144.788.732</w:t>
      </w:r>
      <w:r w:rsidR="00D95ADF" w:rsidRPr="009E6DA6">
        <w:rPr>
          <w:rFonts w:ascii="Arial" w:hAnsi="Arial" w:cs="Arial"/>
          <w:sz w:val="24"/>
          <w:szCs w:val="24"/>
        </w:rPr>
        <w:t>,</w:t>
      </w:r>
      <w:r w:rsidR="007D7007" w:rsidRPr="009E6DA6">
        <w:rPr>
          <w:rFonts w:ascii="Arial" w:hAnsi="Arial" w:cs="Arial"/>
          <w:sz w:val="24"/>
          <w:szCs w:val="24"/>
        </w:rPr>
        <w:t xml:space="preserve"> al cierre del </w:t>
      </w:r>
      <w:r w:rsidR="00CC3C92" w:rsidRPr="009E6DA6">
        <w:rPr>
          <w:rFonts w:ascii="Arial" w:hAnsi="Arial" w:cs="Arial"/>
          <w:sz w:val="24"/>
          <w:szCs w:val="24"/>
        </w:rPr>
        <w:t>semestre</w:t>
      </w:r>
      <w:r w:rsidR="007D7007" w:rsidRPr="009E6DA6">
        <w:rPr>
          <w:rFonts w:ascii="Arial" w:hAnsi="Arial" w:cs="Arial"/>
          <w:sz w:val="24"/>
          <w:szCs w:val="24"/>
        </w:rPr>
        <w:t xml:space="preserve"> se percibió la suma de </w:t>
      </w:r>
      <w:r w:rsidR="007D7007" w:rsidRPr="00D04519">
        <w:rPr>
          <w:rFonts w:ascii="Arial" w:hAnsi="Arial" w:cs="Arial"/>
          <w:b/>
          <w:bCs/>
          <w:sz w:val="24"/>
          <w:szCs w:val="24"/>
        </w:rPr>
        <w:t>¢</w:t>
      </w:r>
      <w:r w:rsidR="00466E0B" w:rsidRPr="00D04519">
        <w:rPr>
          <w:rFonts w:ascii="Arial" w:hAnsi="Arial" w:cs="Arial"/>
          <w:b/>
          <w:bCs/>
          <w:sz w:val="24"/>
          <w:szCs w:val="24"/>
        </w:rPr>
        <w:t>96.791.768</w:t>
      </w:r>
      <w:r w:rsidR="007D7007" w:rsidRPr="009E6DA6">
        <w:rPr>
          <w:rFonts w:ascii="Arial" w:hAnsi="Arial" w:cs="Arial"/>
          <w:sz w:val="24"/>
          <w:szCs w:val="24"/>
        </w:rPr>
        <w:t xml:space="preserve"> equivalentes a un </w:t>
      </w:r>
      <w:r w:rsidR="00466E0B">
        <w:rPr>
          <w:rFonts w:ascii="Arial" w:hAnsi="Arial" w:cs="Arial"/>
          <w:sz w:val="24"/>
          <w:szCs w:val="24"/>
        </w:rPr>
        <w:t>67</w:t>
      </w:r>
      <w:r w:rsidR="007D7007" w:rsidRPr="009E6DA6">
        <w:rPr>
          <w:rFonts w:ascii="Arial" w:hAnsi="Arial" w:cs="Arial"/>
          <w:sz w:val="24"/>
          <w:szCs w:val="24"/>
        </w:rPr>
        <w:t>% de ejecución.</w:t>
      </w:r>
      <w:r w:rsidR="00D06E8A" w:rsidRPr="009E6DA6">
        <w:rPr>
          <w:rFonts w:ascii="Arial" w:hAnsi="Arial" w:cs="Arial"/>
          <w:sz w:val="24"/>
          <w:szCs w:val="24"/>
        </w:rPr>
        <w:t xml:space="preserve"> E</w:t>
      </w:r>
      <w:r w:rsidR="00D95ADF" w:rsidRPr="009E6DA6">
        <w:rPr>
          <w:rFonts w:ascii="Arial" w:hAnsi="Arial" w:cs="Arial"/>
          <w:sz w:val="24"/>
          <w:szCs w:val="24"/>
        </w:rPr>
        <w:t xml:space="preserve">stos recursos corresponden a intereses </w:t>
      </w:r>
      <w:r w:rsidR="00A524AA" w:rsidRPr="009E6DA6">
        <w:rPr>
          <w:rFonts w:ascii="Arial" w:hAnsi="Arial" w:cs="Arial"/>
          <w:sz w:val="24"/>
          <w:szCs w:val="24"/>
        </w:rPr>
        <w:t xml:space="preserve">generados </w:t>
      </w:r>
      <w:r w:rsidR="00D95ADF" w:rsidRPr="009E6DA6">
        <w:rPr>
          <w:rFonts w:ascii="Arial" w:hAnsi="Arial" w:cs="Arial"/>
          <w:sz w:val="24"/>
          <w:szCs w:val="24"/>
        </w:rPr>
        <w:t>por la cartera de crédito</w:t>
      </w:r>
      <w:r w:rsidR="0069687B" w:rsidRPr="009E6DA6">
        <w:rPr>
          <w:rFonts w:ascii="Arial" w:hAnsi="Arial" w:cs="Arial"/>
          <w:sz w:val="24"/>
          <w:szCs w:val="24"/>
        </w:rPr>
        <w:t>.</w:t>
      </w:r>
    </w:p>
    <w:p w14:paraId="54216117" w14:textId="77777777" w:rsidR="0069687B" w:rsidRPr="009E6DA6" w:rsidRDefault="0069687B" w:rsidP="009E6DA6">
      <w:pPr>
        <w:spacing w:after="0" w:line="240" w:lineRule="auto"/>
        <w:jc w:val="both"/>
        <w:rPr>
          <w:rFonts w:ascii="Arial" w:hAnsi="Arial" w:cs="Arial"/>
          <w:b/>
          <w:sz w:val="24"/>
          <w:szCs w:val="24"/>
          <w:highlight w:val="lightGray"/>
        </w:rPr>
      </w:pPr>
    </w:p>
    <w:p w14:paraId="1F96A0E0" w14:textId="77777777" w:rsidR="00780FD0" w:rsidRPr="009E6DA6" w:rsidRDefault="00780FD0" w:rsidP="009E6DA6">
      <w:pPr>
        <w:spacing w:after="0" w:line="240" w:lineRule="auto"/>
        <w:jc w:val="both"/>
        <w:rPr>
          <w:rFonts w:ascii="Arial" w:hAnsi="Arial" w:cs="Arial"/>
          <w:b/>
          <w:sz w:val="24"/>
          <w:szCs w:val="24"/>
          <w:highlight w:val="lightGray"/>
        </w:rPr>
      </w:pPr>
    </w:p>
    <w:p w14:paraId="70A66BF7" w14:textId="77777777" w:rsidR="0063117F" w:rsidRPr="009E6DA6" w:rsidRDefault="0063117F" w:rsidP="009E6DA6">
      <w:pPr>
        <w:spacing w:after="0" w:line="240" w:lineRule="auto"/>
        <w:jc w:val="both"/>
        <w:rPr>
          <w:rFonts w:ascii="Arial" w:hAnsi="Arial" w:cs="Arial"/>
          <w:b/>
          <w:sz w:val="24"/>
          <w:szCs w:val="24"/>
        </w:rPr>
      </w:pPr>
      <w:r w:rsidRPr="009E6DA6">
        <w:rPr>
          <w:rFonts w:ascii="Arial" w:hAnsi="Arial" w:cs="Arial"/>
          <w:b/>
          <w:sz w:val="24"/>
          <w:szCs w:val="24"/>
        </w:rPr>
        <w:t>1.3.2.3.03.00.0.0.000 Otras Rentas de Activos Financieros</w:t>
      </w:r>
    </w:p>
    <w:p w14:paraId="3B88E495" w14:textId="77777777" w:rsidR="00553739" w:rsidRPr="009E6DA6" w:rsidRDefault="00553739" w:rsidP="009E6DA6">
      <w:pPr>
        <w:spacing w:after="0" w:line="240" w:lineRule="auto"/>
        <w:jc w:val="both"/>
        <w:rPr>
          <w:rFonts w:ascii="Arial" w:hAnsi="Arial" w:cs="Arial"/>
          <w:b/>
          <w:sz w:val="24"/>
          <w:szCs w:val="24"/>
        </w:rPr>
      </w:pPr>
      <w:r w:rsidRPr="009E6DA6">
        <w:rPr>
          <w:rFonts w:ascii="Arial" w:hAnsi="Arial" w:cs="Arial"/>
          <w:b/>
          <w:sz w:val="24"/>
          <w:szCs w:val="24"/>
        </w:rPr>
        <w:t>1.3.2.3.03.04.0.0.000 Diferencias por tipo de cambio</w:t>
      </w:r>
    </w:p>
    <w:p w14:paraId="0DB5F9BB" w14:textId="77777777" w:rsidR="009701F5" w:rsidRPr="009E6DA6" w:rsidRDefault="009701F5" w:rsidP="009E6DA6">
      <w:pPr>
        <w:spacing w:after="0" w:line="240" w:lineRule="auto"/>
        <w:jc w:val="both"/>
        <w:rPr>
          <w:rFonts w:ascii="Arial" w:hAnsi="Arial" w:cs="Arial"/>
          <w:b/>
          <w:sz w:val="24"/>
          <w:szCs w:val="24"/>
          <w:highlight w:val="lightGray"/>
        </w:rPr>
      </w:pPr>
    </w:p>
    <w:p w14:paraId="60E0533A" w14:textId="1DD09F60" w:rsidR="00BC6B9F" w:rsidRPr="009E6DA6" w:rsidRDefault="009701F5" w:rsidP="009E6DA6">
      <w:pPr>
        <w:pStyle w:val="Default"/>
        <w:jc w:val="both"/>
        <w:rPr>
          <w:rFonts w:eastAsia="Batang"/>
          <w:color w:val="auto"/>
          <w:lang w:val="es-US"/>
        </w:rPr>
      </w:pPr>
      <w:r w:rsidRPr="009E6DA6">
        <w:rPr>
          <w:color w:val="auto"/>
        </w:rPr>
        <w:t>En e</w:t>
      </w:r>
      <w:r w:rsidR="00150A7B" w:rsidRPr="009E6DA6">
        <w:rPr>
          <w:color w:val="auto"/>
        </w:rPr>
        <w:t>st</w:t>
      </w:r>
      <w:r w:rsidR="00553739" w:rsidRPr="009E6DA6">
        <w:rPr>
          <w:color w:val="auto"/>
        </w:rPr>
        <w:t>a</w:t>
      </w:r>
      <w:r w:rsidR="00150A7B" w:rsidRPr="009E6DA6">
        <w:rPr>
          <w:color w:val="auto"/>
        </w:rPr>
        <w:t xml:space="preserve"> </w:t>
      </w:r>
      <w:r w:rsidR="00553739" w:rsidRPr="009E6DA6">
        <w:rPr>
          <w:color w:val="auto"/>
        </w:rPr>
        <w:t xml:space="preserve">subpartida </w:t>
      </w:r>
      <w:r w:rsidRPr="009E6DA6">
        <w:rPr>
          <w:color w:val="auto"/>
        </w:rPr>
        <w:t xml:space="preserve">no se </w:t>
      </w:r>
      <w:r w:rsidR="00553739" w:rsidRPr="009E6DA6">
        <w:rPr>
          <w:color w:val="auto"/>
        </w:rPr>
        <w:t>presupuestó, s</w:t>
      </w:r>
      <w:r w:rsidRPr="009E6DA6">
        <w:rPr>
          <w:color w:val="auto"/>
        </w:rPr>
        <w:t xml:space="preserve">in </w:t>
      </w:r>
      <w:r w:rsidR="00D428C0" w:rsidRPr="009E6DA6">
        <w:rPr>
          <w:color w:val="auto"/>
        </w:rPr>
        <w:t>embargo,</w:t>
      </w:r>
      <w:r w:rsidR="00E24195" w:rsidRPr="009E6DA6">
        <w:rPr>
          <w:color w:val="auto"/>
        </w:rPr>
        <w:t xml:space="preserve"> </w:t>
      </w:r>
      <w:r w:rsidR="00553739" w:rsidRPr="009E6DA6">
        <w:rPr>
          <w:color w:val="auto"/>
        </w:rPr>
        <w:t>al</w:t>
      </w:r>
      <w:r w:rsidR="003068B7" w:rsidRPr="009E6DA6">
        <w:rPr>
          <w:color w:val="auto"/>
        </w:rPr>
        <w:t xml:space="preserve"> cierre del </w:t>
      </w:r>
      <w:r w:rsidR="00CC3C92" w:rsidRPr="009E6DA6">
        <w:rPr>
          <w:color w:val="auto"/>
        </w:rPr>
        <w:t>semestre</w:t>
      </w:r>
      <w:r w:rsidR="00E24195" w:rsidRPr="009E6DA6">
        <w:rPr>
          <w:color w:val="auto"/>
        </w:rPr>
        <w:t xml:space="preserve"> ingresó un monto total de </w:t>
      </w:r>
      <w:r w:rsidR="00E24195" w:rsidRPr="009E6DA6">
        <w:rPr>
          <w:b/>
          <w:color w:val="auto"/>
        </w:rPr>
        <w:t>¢</w:t>
      </w:r>
      <w:r w:rsidR="00CC3C92" w:rsidRPr="009E6DA6">
        <w:rPr>
          <w:b/>
          <w:color w:val="auto"/>
        </w:rPr>
        <w:t>1.130.654.734,81</w:t>
      </w:r>
      <w:r w:rsidR="00553739" w:rsidRPr="009E6DA6">
        <w:rPr>
          <w:color w:val="auto"/>
        </w:rPr>
        <w:t xml:space="preserve">, </w:t>
      </w:r>
      <w:r w:rsidR="00780FD0" w:rsidRPr="009E6DA6">
        <w:rPr>
          <w:color w:val="auto"/>
        </w:rPr>
        <w:t xml:space="preserve">estos </w:t>
      </w:r>
      <w:r w:rsidR="003068B7" w:rsidRPr="009E6DA6">
        <w:rPr>
          <w:color w:val="auto"/>
        </w:rPr>
        <w:t>ingresos</w:t>
      </w:r>
      <w:r w:rsidR="00553739" w:rsidRPr="009E6DA6">
        <w:rPr>
          <w:color w:val="auto"/>
        </w:rPr>
        <w:t xml:space="preserve"> se origina</w:t>
      </w:r>
      <w:r w:rsidR="00BC6B9F" w:rsidRPr="009E6DA6">
        <w:rPr>
          <w:color w:val="auto"/>
        </w:rPr>
        <w:t>ron</w:t>
      </w:r>
      <w:r w:rsidR="00553739" w:rsidRPr="009E6DA6">
        <w:rPr>
          <w:color w:val="auto"/>
        </w:rPr>
        <w:t xml:space="preserve"> a través de las</w:t>
      </w:r>
      <w:r w:rsidR="00DC38C9" w:rsidRPr="009E6DA6">
        <w:rPr>
          <w:color w:val="auto"/>
        </w:rPr>
        <w:t xml:space="preserve"> fluctuaciones positivas </w:t>
      </w:r>
      <w:r w:rsidR="00A524AA" w:rsidRPr="009E6DA6">
        <w:rPr>
          <w:color w:val="auto"/>
        </w:rPr>
        <w:t xml:space="preserve">por tipo de cambio </w:t>
      </w:r>
      <w:r w:rsidR="00DC38C9" w:rsidRPr="009E6DA6">
        <w:rPr>
          <w:color w:val="auto"/>
        </w:rPr>
        <w:t>presentadas durante el período</w:t>
      </w:r>
      <w:r w:rsidR="00CC3C92" w:rsidRPr="009E6DA6">
        <w:rPr>
          <w:color w:val="auto"/>
        </w:rPr>
        <w:t>.</w:t>
      </w:r>
    </w:p>
    <w:p w14:paraId="1E58F168" w14:textId="5531E731" w:rsidR="00A90F69" w:rsidRPr="009E6DA6" w:rsidRDefault="00A90F69" w:rsidP="009E6DA6">
      <w:pPr>
        <w:spacing w:after="0" w:line="240" w:lineRule="auto"/>
        <w:jc w:val="both"/>
        <w:rPr>
          <w:rFonts w:ascii="Arial" w:hAnsi="Arial" w:cs="Arial"/>
          <w:sz w:val="24"/>
          <w:szCs w:val="24"/>
          <w:highlight w:val="lightGray"/>
        </w:rPr>
      </w:pPr>
    </w:p>
    <w:p w14:paraId="359C9ED0" w14:textId="77777777" w:rsidR="00A90F69" w:rsidRPr="009E6DA6" w:rsidRDefault="00A90F69" w:rsidP="009E6DA6">
      <w:pPr>
        <w:spacing w:after="0" w:line="240" w:lineRule="auto"/>
        <w:jc w:val="both"/>
        <w:rPr>
          <w:rFonts w:ascii="Arial" w:hAnsi="Arial" w:cs="Arial"/>
          <w:sz w:val="24"/>
          <w:szCs w:val="24"/>
          <w:highlight w:val="lightGray"/>
        </w:rPr>
      </w:pPr>
    </w:p>
    <w:p w14:paraId="20E28F24" w14:textId="77777777" w:rsidR="00150A7B" w:rsidRPr="009E6DA6" w:rsidRDefault="00150A7B" w:rsidP="009E6DA6">
      <w:pPr>
        <w:spacing w:after="0" w:line="240" w:lineRule="auto"/>
        <w:jc w:val="both"/>
        <w:rPr>
          <w:rFonts w:ascii="Arial" w:hAnsi="Arial" w:cs="Arial"/>
          <w:b/>
          <w:sz w:val="24"/>
          <w:szCs w:val="24"/>
        </w:rPr>
      </w:pPr>
      <w:r w:rsidRPr="009E6DA6">
        <w:rPr>
          <w:rFonts w:ascii="Arial" w:hAnsi="Arial" w:cs="Arial"/>
          <w:b/>
          <w:sz w:val="24"/>
          <w:szCs w:val="24"/>
        </w:rPr>
        <w:t xml:space="preserve">1.3.3.1.00.00.0.0.000 Multas y sanciones </w:t>
      </w:r>
    </w:p>
    <w:p w14:paraId="2E9A2794" w14:textId="77777777" w:rsidR="00150A7B" w:rsidRPr="009E6DA6" w:rsidRDefault="00150A7B" w:rsidP="009E6DA6">
      <w:pPr>
        <w:spacing w:after="0" w:line="240" w:lineRule="auto"/>
        <w:jc w:val="both"/>
        <w:rPr>
          <w:rFonts w:ascii="Arial" w:hAnsi="Arial" w:cs="Arial"/>
          <w:b/>
          <w:sz w:val="24"/>
          <w:szCs w:val="24"/>
        </w:rPr>
      </w:pPr>
      <w:r w:rsidRPr="009E6DA6">
        <w:rPr>
          <w:rFonts w:ascii="Arial" w:hAnsi="Arial" w:cs="Arial"/>
          <w:b/>
          <w:sz w:val="24"/>
          <w:szCs w:val="24"/>
        </w:rPr>
        <w:t>1.3.3.1.09.00.0.0.000 Otras multas</w:t>
      </w:r>
      <w:r w:rsidR="00A524AA" w:rsidRPr="009E6DA6">
        <w:rPr>
          <w:rFonts w:ascii="Arial" w:hAnsi="Arial" w:cs="Arial"/>
          <w:b/>
          <w:sz w:val="24"/>
          <w:szCs w:val="24"/>
        </w:rPr>
        <w:t xml:space="preserve"> y sanciones</w:t>
      </w:r>
    </w:p>
    <w:p w14:paraId="6AED27E3" w14:textId="77777777" w:rsidR="00150A7B" w:rsidRPr="009E6DA6" w:rsidRDefault="00150A7B" w:rsidP="009E6DA6">
      <w:pPr>
        <w:spacing w:after="0" w:line="240" w:lineRule="auto"/>
        <w:jc w:val="both"/>
        <w:rPr>
          <w:rFonts w:ascii="Arial" w:hAnsi="Arial" w:cs="Arial"/>
          <w:sz w:val="24"/>
          <w:szCs w:val="24"/>
          <w:highlight w:val="lightGray"/>
        </w:rPr>
      </w:pPr>
    </w:p>
    <w:p w14:paraId="2720287A" w14:textId="473B5C23" w:rsidR="00EA10B9" w:rsidRPr="009E6DA6" w:rsidRDefault="0038223A" w:rsidP="009E6DA6">
      <w:pPr>
        <w:spacing w:after="0" w:line="240" w:lineRule="auto"/>
        <w:jc w:val="both"/>
        <w:rPr>
          <w:rFonts w:ascii="Arial" w:hAnsi="Arial" w:cs="Arial"/>
          <w:b/>
          <w:sz w:val="24"/>
          <w:szCs w:val="24"/>
        </w:rPr>
      </w:pPr>
      <w:r w:rsidRPr="009E6DA6">
        <w:rPr>
          <w:rFonts w:ascii="Arial" w:hAnsi="Arial" w:cs="Arial"/>
          <w:sz w:val="24"/>
          <w:szCs w:val="24"/>
        </w:rPr>
        <w:t xml:space="preserve">En esta subpartida no se presupuestó, sin </w:t>
      </w:r>
      <w:r w:rsidR="00D428C0" w:rsidRPr="009E6DA6">
        <w:rPr>
          <w:rFonts w:ascii="Arial" w:hAnsi="Arial" w:cs="Arial"/>
          <w:sz w:val="24"/>
          <w:szCs w:val="24"/>
        </w:rPr>
        <w:t>embargo,</w:t>
      </w:r>
      <w:r w:rsidRPr="009E6DA6">
        <w:rPr>
          <w:rFonts w:ascii="Arial" w:hAnsi="Arial" w:cs="Arial"/>
          <w:sz w:val="24"/>
          <w:szCs w:val="24"/>
        </w:rPr>
        <w:t xml:space="preserve"> al cierre</w:t>
      </w:r>
      <w:r w:rsidR="00D428C0" w:rsidRPr="009E6DA6">
        <w:rPr>
          <w:rFonts w:ascii="Arial" w:hAnsi="Arial" w:cs="Arial"/>
          <w:sz w:val="24"/>
          <w:szCs w:val="24"/>
        </w:rPr>
        <w:t xml:space="preserve"> al cierre del </w:t>
      </w:r>
      <w:r w:rsidR="0027640C" w:rsidRPr="009E6DA6">
        <w:rPr>
          <w:rFonts w:ascii="Arial" w:hAnsi="Arial" w:cs="Arial"/>
          <w:sz w:val="24"/>
          <w:szCs w:val="24"/>
        </w:rPr>
        <w:t>semestre</w:t>
      </w:r>
      <w:r w:rsidR="00D428C0" w:rsidRPr="009E6DA6">
        <w:rPr>
          <w:rFonts w:ascii="Arial" w:hAnsi="Arial" w:cs="Arial"/>
          <w:sz w:val="24"/>
          <w:szCs w:val="24"/>
        </w:rPr>
        <w:t xml:space="preserve"> ingresó un monto total de </w:t>
      </w:r>
      <w:r w:rsidR="00D428C0" w:rsidRPr="00D04519">
        <w:rPr>
          <w:rFonts w:ascii="Arial" w:hAnsi="Arial" w:cs="Arial"/>
          <w:b/>
          <w:bCs/>
          <w:sz w:val="24"/>
          <w:szCs w:val="24"/>
        </w:rPr>
        <w:t>¢</w:t>
      </w:r>
      <w:r w:rsidR="0080296D" w:rsidRPr="00D04519">
        <w:rPr>
          <w:rFonts w:ascii="Arial" w:hAnsi="Arial" w:cs="Arial"/>
          <w:b/>
          <w:bCs/>
          <w:sz w:val="24"/>
          <w:szCs w:val="24"/>
        </w:rPr>
        <w:t>61.</w:t>
      </w:r>
      <w:r w:rsidR="0027640C" w:rsidRPr="00D04519">
        <w:rPr>
          <w:rFonts w:ascii="Arial" w:hAnsi="Arial" w:cs="Arial"/>
          <w:b/>
          <w:bCs/>
          <w:sz w:val="24"/>
          <w:szCs w:val="24"/>
        </w:rPr>
        <w:t>09</w:t>
      </w:r>
      <w:r w:rsidR="0080296D" w:rsidRPr="00D04519">
        <w:rPr>
          <w:rFonts w:ascii="Arial" w:hAnsi="Arial" w:cs="Arial"/>
          <w:b/>
          <w:bCs/>
          <w:sz w:val="24"/>
          <w:szCs w:val="24"/>
        </w:rPr>
        <w:t>5</w:t>
      </w:r>
      <w:r w:rsidR="00D428C0" w:rsidRPr="009E6DA6">
        <w:rPr>
          <w:rFonts w:ascii="Arial" w:hAnsi="Arial" w:cs="Arial"/>
          <w:sz w:val="24"/>
          <w:szCs w:val="24"/>
        </w:rPr>
        <w:t xml:space="preserve">, </w:t>
      </w:r>
      <w:r w:rsidR="000A3486" w:rsidRPr="009E6DA6">
        <w:rPr>
          <w:rFonts w:ascii="Arial" w:hAnsi="Arial" w:cs="Arial"/>
          <w:sz w:val="24"/>
          <w:szCs w:val="24"/>
        </w:rPr>
        <w:t xml:space="preserve">estos recursos corresponden a </w:t>
      </w:r>
      <w:r w:rsidR="00A524AA" w:rsidRPr="009E6DA6">
        <w:rPr>
          <w:rFonts w:ascii="Arial" w:hAnsi="Arial" w:cs="Arial"/>
          <w:sz w:val="24"/>
          <w:szCs w:val="24"/>
        </w:rPr>
        <w:t xml:space="preserve">comisiones por morosidad de </w:t>
      </w:r>
      <w:r w:rsidR="000A3486" w:rsidRPr="009E6DA6">
        <w:rPr>
          <w:rFonts w:ascii="Arial" w:hAnsi="Arial" w:cs="Arial"/>
          <w:sz w:val="24"/>
          <w:szCs w:val="24"/>
        </w:rPr>
        <w:t>la cartera de crédito.</w:t>
      </w:r>
    </w:p>
    <w:p w14:paraId="7B59E5A2" w14:textId="77777777" w:rsidR="009C73C2" w:rsidRDefault="009C73C2" w:rsidP="009C73C2">
      <w:pPr>
        <w:jc w:val="both"/>
        <w:rPr>
          <w:rFonts w:ascii="Arial" w:hAnsi="Arial" w:cs="Arial"/>
          <w:sz w:val="24"/>
          <w:szCs w:val="24"/>
          <w:highlight w:val="yellow"/>
        </w:rPr>
      </w:pPr>
    </w:p>
    <w:p w14:paraId="3EA5185E" w14:textId="7F6D6AC1" w:rsidR="00DC38C9" w:rsidRPr="009E6DA6" w:rsidRDefault="005170A2" w:rsidP="009E6DA6">
      <w:pPr>
        <w:spacing w:after="0" w:line="240" w:lineRule="auto"/>
        <w:jc w:val="both"/>
        <w:rPr>
          <w:rFonts w:ascii="Arial" w:hAnsi="Arial" w:cs="Arial"/>
          <w:b/>
          <w:sz w:val="24"/>
          <w:szCs w:val="24"/>
        </w:rPr>
      </w:pPr>
      <w:r w:rsidRPr="009E6DA6">
        <w:rPr>
          <w:rFonts w:ascii="Arial" w:hAnsi="Arial" w:cs="Arial"/>
          <w:b/>
          <w:sz w:val="24"/>
          <w:szCs w:val="24"/>
        </w:rPr>
        <w:t>1.3.4.0.00.00.0.0.000 Intereses</w:t>
      </w:r>
      <w:r w:rsidR="003A24BA" w:rsidRPr="009E6DA6">
        <w:rPr>
          <w:rFonts w:ascii="Arial" w:hAnsi="Arial" w:cs="Arial"/>
          <w:b/>
          <w:sz w:val="24"/>
          <w:szCs w:val="24"/>
        </w:rPr>
        <w:t xml:space="preserve"> </w:t>
      </w:r>
      <w:r w:rsidR="00DC38C9" w:rsidRPr="009E6DA6">
        <w:rPr>
          <w:rFonts w:ascii="Arial" w:hAnsi="Arial" w:cs="Arial"/>
          <w:b/>
          <w:sz w:val="24"/>
          <w:szCs w:val="24"/>
        </w:rPr>
        <w:t>M</w:t>
      </w:r>
      <w:r w:rsidR="003A24BA" w:rsidRPr="009E6DA6">
        <w:rPr>
          <w:rFonts w:ascii="Arial" w:hAnsi="Arial" w:cs="Arial"/>
          <w:b/>
          <w:sz w:val="24"/>
          <w:szCs w:val="24"/>
        </w:rPr>
        <w:t>oratorios</w:t>
      </w:r>
    </w:p>
    <w:p w14:paraId="5EA49315" w14:textId="77777777" w:rsidR="00DC38C9" w:rsidRPr="009E6DA6" w:rsidRDefault="00DC38C9" w:rsidP="009E6DA6">
      <w:pPr>
        <w:spacing w:after="0" w:line="240" w:lineRule="auto"/>
        <w:jc w:val="both"/>
        <w:rPr>
          <w:rFonts w:ascii="Arial" w:hAnsi="Arial" w:cs="Arial"/>
          <w:b/>
          <w:sz w:val="24"/>
          <w:szCs w:val="24"/>
        </w:rPr>
      </w:pPr>
      <w:r w:rsidRPr="009E6DA6">
        <w:rPr>
          <w:rFonts w:ascii="Arial" w:hAnsi="Arial" w:cs="Arial"/>
          <w:b/>
          <w:sz w:val="24"/>
          <w:szCs w:val="24"/>
        </w:rPr>
        <w:t xml:space="preserve">1.3.4.9.00.00.0.0.000 </w:t>
      </w:r>
      <w:r w:rsidR="003A24BA" w:rsidRPr="009E6DA6">
        <w:rPr>
          <w:rFonts w:ascii="Arial" w:hAnsi="Arial" w:cs="Arial"/>
          <w:b/>
          <w:sz w:val="24"/>
          <w:szCs w:val="24"/>
        </w:rPr>
        <w:t>Otros Intereses Moratorios</w:t>
      </w:r>
    </w:p>
    <w:p w14:paraId="6AAB6AA9" w14:textId="77777777" w:rsidR="006C602B" w:rsidRPr="009E6DA6" w:rsidRDefault="006C602B" w:rsidP="009E6DA6">
      <w:pPr>
        <w:spacing w:after="0"/>
        <w:jc w:val="both"/>
        <w:rPr>
          <w:rFonts w:ascii="Arial" w:hAnsi="Arial" w:cs="Arial"/>
          <w:sz w:val="24"/>
          <w:szCs w:val="24"/>
          <w:highlight w:val="lightGray"/>
        </w:rPr>
      </w:pPr>
    </w:p>
    <w:p w14:paraId="4D27D406" w14:textId="073CE982" w:rsidR="00C10E8D" w:rsidRPr="009E6DA6" w:rsidRDefault="00F025F5" w:rsidP="009E6DA6">
      <w:pPr>
        <w:spacing w:after="0"/>
        <w:jc w:val="both"/>
        <w:rPr>
          <w:rFonts w:ascii="Arial" w:eastAsia="Times New Roman" w:hAnsi="Arial" w:cs="Arial"/>
          <w:color w:val="FF0000"/>
          <w:sz w:val="24"/>
          <w:szCs w:val="24"/>
          <w:lang w:eastAsia="es-CR"/>
        </w:rPr>
      </w:pPr>
      <w:r w:rsidRPr="009E6DA6">
        <w:rPr>
          <w:rFonts w:ascii="Arial" w:hAnsi="Arial" w:cs="Arial"/>
          <w:sz w:val="24"/>
          <w:szCs w:val="24"/>
        </w:rPr>
        <w:t>En esta subpartida no se presupuestó, sin embargo</w:t>
      </w:r>
      <w:r w:rsidR="00C466B0" w:rsidRPr="009E6DA6">
        <w:rPr>
          <w:rFonts w:ascii="Arial" w:hAnsi="Arial" w:cs="Arial"/>
          <w:sz w:val="24"/>
          <w:szCs w:val="24"/>
        </w:rPr>
        <w:t xml:space="preserve">, al cierre al cierre del </w:t>
      </w:r>
      <w:r w:rsidR="00B76B26" w:rsidRPr="009E6DA6">
        <w:rPr>
          <w:rFonts w:ascii="Arial" w:hAnsi="Arial" w:cs="Arial"/>
          <w:sz w:val="24"/>
          <w:szCs w:val="24"/>
        </w:rPr>
        <w:t>semestre</w:t>
      </w:r>
      <w:r w:rsidR="00C466B0" w:rsidRPr="009E6DA6">
        <w:rPr>
          <w:rFonts w:ascii="Arial" w:hAnsi="Arial" w:cs="Arial"/>
          <w:sz w:val="24"/>
          <w:szCs w:val="24"/>
        </w:rPr>
        <w:t xml:space="preserve"> ingresó un monto total de </w:t>
      </w:r>
      <w:r w:rsidR="00C466B0" w:rsidRPr="00D04519">
        <w:rPr>
          <w:rFonts w:ascii="Arial" w:hAnsi="Arial" w:cs="Arial"/>
          <w:b/>
          <w:bCs/>
          <w:sz w:val="24"/>
          <w:szCs w:val="24"/>
        </w:rPr>
        <w:t>¢</w:t>
      </w:r>
      <w:r w:rsidR="00B76B26" w:rsidRPr="00D04519">
        <w:rPr>
          <w:rFonts w:ascii="Arial" w:hAnsi="Arial" w:cs="Arial"/>
          <w:b/>
          <w:bCs/>
          <w:sz w:val="24"/>
          <w:szCs w:val="24"/>
        </w:rPr>
        <w:t>321.908,70</w:t>
      </w:r>
      <w:r w:rsidR="00B76B26" w:rsidRPr="009E6DA6">
        <w:rPr>
          <w:rFonts w:ascii="Arial" w:hAnsi="Arial" w:cs="Arial"/>
          <w:sz w:val="24"/>
          <w:szCs w:val="24"/>
        </w:rPr>
        <w:t xml:space="preserve">, </w:t>
      </w:r>
      <w:r w:rsidR="0098670D" w:rsidRPr="009E6DA6">
        <w:rPr>
          <w:rFonts w:ascii="Arial" w:hAnsi="Arial" w:cs="Arial"/>
          <w:sz w:val="24"/>
          <w:szCs w:val="24"/>
        </w:rPr>
        <w:t>estos recursos se originan a través del</w:t>
      </w:r>
      <w:r w:rsidR="00DC38C9" w:rsidRPr="009E6DA6">
        <w:rPr>
          <w:rFonts w:ascii="Arial" w:hAnsi="Arial" w:cs="Arial"/>
          <w:sz w:val="24"/>
          <w:szCs w:val="24"/>
        </w:rPr>
        <w:t xml:space="preserve"> cobro </w:t>
      </w:r>
      <w:r w:rsidR="001601FB" w:rsidRPr="009E6DA6">
        <w:rPr>
          <w:rFonts w:ascii="Arial" w:hAnsi="Arial" w:cs="Arial"/>
          <w:sz w:val="24"/>
          <w:szCs w:val="24"/>
        </w:rPr>
        <w:t>de intereses</w:t>
      </w:r>
      <w:r w:rsidR="00DC38C9" w:rsidRPr="009E6DA6">
        <w:rPr>
          <w:rFonts w:ascii="Arial" w:hAnsi="Arial" w:cs="Arial"/>
          <w:sz w:val="24"/>
          <w:szCs w:val="24"/>
        </w:rPr>
        <w:t xml:space="preserve"> </w:t>
      </w:r>
      <w:r w:rsidR="001601FB" w:rsidRPr="009E6DA6">
        <w:rPr>
          <w:rFonts w:ascii="Arial" w:hAnsi="Arial" w:cs="Arial"/>
          <w:sz w:val="24"/>
          <w:szCs w:val="24"/>
        </w:rPr>
        <w:t xml:space="preserve">moratorios </w:t>
      </w:r>
      <w:r w:rsidR="0069687B" w:rsidRPr="009E6DA6">
        <w:rPr>
          <w:rFonts w:ascii="Arial" w:hAnsi="Arial" w:cs="Arial"/>
          <w:sz w:val="24"/>
          <w:szCs w:val="24"/>
        </w:rPr>
        <w:t xml:space="preserve">en la </w:t>
      </w:r>
      <w:r w:rsidR="00DC38C9" w:rsidRPr="009E6DA6">
        <w:rPr>
          <w:rFonts w:ascii="Arial" w:hAnsi="Arial" w:cs="Arial"/>
          <w:sz w:val="24"/>
          <w:szCs w:val="24"/>
        </w:rPr>
        <w:t>cartera de crédito.</w:t>
      </w:r>
    </w:p>
    <w:p w14:paraId="54E19259" w14:textId="097B93BD" w:rsidR="009C73C2" w:rsidRDefault="009C73C2" w:rsidP="009E6DA6">
      <w:pPr>
        <w:spacing w:after="0" w:line="240" w:lineRule="auto"/>
        <w:jc w:val="both"/>
        <w:rPr>
          <w:rFonts w:ascii="Arial" w:hAnsi="Arial" w:cs="Arial"/>
          <w:b/>
          <w:sz w:val="24"/>
          <w:szCs w:val="24"/>
          <w:highlight w:val="lightGray"/>
        </w:rPr>
      </w:pPr>
    </w:p>
    <w:p w14:paraId="64DF7500" w14:textId="6B987BCE" w:rsidR="00D9350E" w:rsidRDefault="00D9350E" w:rsidP="009E6DA6">
      <w:pPr>
        <w:spacing w:after="0" w:line="240" w:lineRule="auto"/>
        <w:jc w:val="both"/>
        <w:rPr>
          <w:rFonts w:ascii="Arial" w:hAnsi="Arial" w:cs="Arial"/>
          <w:b/>
          <w:sz w:val="24"/>
          <w:szCs w:val="24"/>
          <w:highlight w:val="lightGray"/>
        </w:rPr>
      </w:pPr>
    </w:p>
    <w:p w14:paraId="53D282E0" w14:textId="77777777" w:rsidR="00D9350E" w:rsidRPr="009E6DA6" w:rsidRDefault="00D9350E" w:rsidP="009E6DA6">
      <w:pPr>
        <w:spacing w:after="0" w:line="240" w:lineRule="auto"/>
        <w:jc w:val="both"/>
        <w:rPr>
          <w:rFonts w:ascii="Arial" w:hAnsi="Arial" w:cs="Arial"/>
          <w:b/>
          <w:sz w:val="24"/>
          <w:szCs w:val="24"/>
          <w:highlight w:val="lightGray"/>
        </w:rPr>
      </w:pPr>
    </w:p>
    <w:p w14:paraId="212D874D" w14:textId="77777777" w:rsidR="00150A7B" w:rsidRPr="009E6DA6" w:rsidRDefault="00150A7B" w:rsidP="009E6DA6">
      <w:pPr>
        <w:spacing w:after="0" w:line="240" w:lineRule="auto"/>
        <w:jc w:val="both"/>
        <w:rPr>
          <w:rFonts w:ascii="Arial" w:hAnsi="Arial" w:cs="Arial"/>
          <w:b/>
          <w:sz w:val="24"/>
          <w:szCs w:val="24"/>
        </w:rPr>
      </w:pPr>
      <w:r w:rsidRPr="009E6DA6">
        <w:rPr>
          <w:rFonts w:ascii="Arial" w:hAnsi="Arial" w:cs="Arial"/>
          <w:b/>
          <w:sz w:val="24"/>
          <w:szCs w:val="24"/>
        </w:rPr>
        <w:t xml:space="preserve">1.3.9.0.00.00.0.0.000 Otros ingresos no tributarios </w:t>
      </w:r>
    </w:p>
    <w:p w14:paraId="6AAC5B54" w14:textId="77777777" w:rsidR="00150A7B" w:rsidRPr="009E6DA6" w:rsidRDefault="00150A7B" w:rsidP="009E6DA6">
      <w:pPr>
        <w:spacing w:after="0" w:line="240" w:lineRule="auto"/>
        <w:jc w:val="both"/>
        <w:rPr>
          <w:rFonts w:ascii="Arial" w:hAnsi="Arial" w:cs="Arial"/>
          <w:b/>
          <w:sz w:val="24"/>
          <w:szCs w:val="24"/>
        </w:rPr>
      </w:pPr>
      <w:r w:rsidRPr="009E6DA6">
        <w:rPr>
          <w:rFonts w:ascii="Arial" w:hAnsi="Arial" w:cs="Arial"/>
          <w:b/>
          <w:sz w:val="24"/>
          <w:szCs w:val="24"/>
        </w:rPr>
        <w:t xml:space="preserve">1.3.9.1.00.00.0.0.000 Reintegro </w:t>
      </w:r>
      <w:r w:rsidR="00AF075C" w:rsidRPr="009E6DA6">
        <w:rPr>
          <w:rFonts w:ascii="Arial" w:hAnsi="Arial" w:cs="Arial"/>
          <w:b/>
          <w:sz w:val="24"/>
          <w:szCs w:val="24"/>
        </w:rPr>
        <w:t>y devoluciones</w:t>
      </w:r>
    </w:p>
    <w:p w14:paraId="713894DB" w14:textId="77777777" w:rsidR="00B42EE8" w:rsidRPr="009E6DA6" w:rsidRDefault="00B42EE8" w:rsidP="009E6DA6">
      <w:pPr>
        <w:spacing w:after="0" w:line="240" w:lineRule="auto"/>
        <w:jc w:val="both"/>
        <w:rPr>
          <w:rFonts w:ascii="Arial" w:hAnsi="Arial" w:cs="Arial"/>
          <w:b/>
          <w:sz w:val="24"/>
          <w:szCs w:val="24"/>
          <w:highlight w:val="lightGray"/>
        </w:rPr>
      </w:pPr>
    </w:p>
    <w:p w14:paraId="22B3929E" w14:textId="269B607A" w:rsidR="00BE73A1" w:rsidRPr="009E6DA6" w:rsidRDefault="00381518" w:rsidP="009E6DA6">
      <w:pPr>
        <w:jc w:val="both"/>
        <w:rPr>
          <w:rFonts w:ascii="Arial" w:hAnsi="Arial" w:cs="Arial"/>
          <w:b/>
          <w:sz w:val="24"/>
          <w:szCs w:val="24"/>
        </w:rPr>
      </w:pPr>
      <w:r w:rsidRPr="009E6DA6">
        <w:rPr>
          <w:rFonts w:ascii="Arial" w:hAnsi="Arial" w:cs="Arial"/>
          <w:sz w:val="24"/>
          <w:szCs w:val="24"/>
        </w:rPr>
        <w:t xml:space="preserve">En esta subpartida </w:t>
      </w:r>
      <w:r w:rsidR="000B1B60" w:rsidRPr="009E6DA6">
        <w:rPr>
          <w:rFonts w:ascii="Arial" w:hAnsi="Arial" w:cs="Arial"/>
          <w:sz w:val="24"/>
          <w:szCs w:val="24"/>
        </w:rPr>
        <w:t xml:space="preserve">no se presupuestó contenido, </w:t>
      </w:r>
      <w:r w:rsidR="00C466B0" w:rsidRPr="009E6DA6">
        <w:rPr>
          <w:rFonts w:ascii="Arial" w:hAnsi="Arial" w:cs="Arial"/>
          <w:sz w:val="24"/>
          <w:szCs w:val="24"/>
        </w:rPr>
        <w:t xml:space="preserve">sin embargo, al cierre del </w:t>
      </w:r>
      <w:r w:rsidR="00920E28" w:rsidRPr="009E6DA6">
        <w:rPr>
          <w:rFonts w:ascii="Arial" w:hAnsi="Arial" w:cs="Arial"/>
          <w:sz w:val="24"/>
          <w:szCs w:val="24"/>
        </w:rPr>
        <w:t>semestre</w:t>
      </w:r>
      <w:r w:rsidR="00C466B0" w:rsidRPr="009E6DA6">
        <w:rPr>
          <w:rFonts w:ascii="Arial" w:hAnsi="Arial" w:cs="Arial"/>
          <w:sz w:val="24"/>
          <w:szCs w:val="24"/>
        </w:rPr>
        <w:t xml:space="preserve"> ingresó un monto total de ¢</w:t>
      </w:r>
      <w:r w:rsidR="00920E28" w:rsidRPr="009E6DA6">
        <w:rPr>
          <w:rFonts w:ascii="Arial" w:hAnsi="Arial" w:cs="Arial"/>
          <w:sz w:val="24"/>
          <w:szCs w:val="24"/>
        </w:rPr>
        <w:t>1.046.242,39</w:t>
      </w:r>
      <w:r w:rsidR="00C466B0" w:rsidRPr="009E6DA6">
        <w:rPr>
          <w:rFonts w:ascii="Arial" w:hAnsi="Arial" w:cs="Arial"/>
          <w:sz w:val="24"/>
          <w:szCs w:val="24"/>
        </w:rPr>
        <w:t xml:space="preserve">, </w:t>
      </w:r>
      <w:r w:rsidR="007E53AD" w:rsidRPr="009E6DA6">
        <w:rPr>
          <w:rFonts w:ascii="Arial" w:hAnsi="Arial" w:cs="Arial"/>
          <w:sz w:val="24"/>
          <w:szCs w:val="24"/>
        </w:rPr>
        <w:t>estos ingresos se origina</w:t>
      </w:r>
      <w:r w:rsidR="00AF075C" w:rsidRPr="009E6DA6">
        <w:rPr>
          <w:rFonts w:ascii="Arial" w:hAnsi="Arial" w:cs="Arial"/>
          <w:sz w:val="24"/>
          <w:szCs w:val="24"/>
        </w:rPr>
        <w:t xml:space="preserve">ron principalmente por el pago </w:t>
      </w:r>
      <w:r w:rsidR="002E47D3" w:rsidRPr="009E6DA6">
        <w:rPr>
          <w:rFonts w:ascii="Arial" w:hAnsi="Arial" w:cs="Arial"/>
          <w:sz w:val="24"/>
          <w:szCs w:val="24"/>
        </w:rPr>
        <w:t xml:space="preserve">que realizaran los deudores, por </w:t>
      </w:r>
      <w:r w:rsidR="00AF075C" w:rsidRPr="009E6DA6">
        <w:rPr>
          <w:rFonts w:ascii="Arial" w:hAnsi="Arial" w:cs="Arial"/>
          <w:sz w:val="24"/>
          <w:szCs w:val="24"/>
        </w:rPr>
        <w:t xml:space="preserve">gastos </w:t>
      </w:r>
      <w:r w:rsidR="002E47D3" w:rsidRPr="009E6DA6">
        <w:rPr>
          <w:rFonts w:ascii="Arial" w:hAnsi="Arial" w:cs="Arial"/>
          <w:sz w:val="24"/>
          <w:szCs w:val="24"/>
        </w:rPr>
        <w:t xml:space="preserve">de gestiones </w:t>
      </w:r>
      <w:r w:rsidR="00875FBB" w:rsidRPr="009E6DA6">
        <w:rPr>
          <w:rFonts w:ascii="Arial" w:hAnsi="Arial" w:cs="Arial"/>
          <w:sz w:val="24"/>
          <w:szCs w:val="24"/>
        </w:rPr>
        <w:t xml:space="preserve">de créditos </w:t>
      </w:r>
      <w:r w:rsidR="00AF075C" w:rsidRPr="009E6DA6">
        <w:rPr>
          <w:rFonts w:ascii="Arial" w:hAnsi="Arial" w:cs="Arial"/>
          <w:sz w:val="24"/>
          <w:szCs w:val="24"/>
        </w:rPr>
        <w:t>en c</w:t>
      </w:r>
      <w:r w:rsidR="0069687B" w:rsidRPr="009E6DA6">
        <w:rPr>
          <w:rFonts w:ascii="Arial" w:hAnsi="Arial" w:cs="Arial"/>
          <w:sz w:val="24"/>
          <w:szCs w:val="24"/>
        </w:rPr>
        <w:t>obro judicial.</w:t>
      </w:r>
    </w:p>
    <w:p w14:paraId="58E6CDA1" w14:textId="1FB5B606" w:rsidR="00195C0C" w:rsidRPr="009E6DA6" w:rsidRDefault="00195C0C" w:rsidP="00D9350E">
      <w:pPr>
        <w:jc w:val="both"/>
        <w:rPr>
          <w:rFonts w:ascii="Arial" w:hAnsi="Arial" w:cs="Arial"/>
          <w:b/>
          <w:sz w:val="24"/>
          <w:szCs w:val="24"/>
        </w:rPr>
      </w:pPr>
      <w:r w:rsidRPr="009E6DA6">
        <w:rPr>
          <w:rFonts w:ascii="Arial" w:hAnsi="Arial" w:cs="Arial"/>
          <w:b/>
          <w:sz w:val="24"/>
          <w:szCs w:val="24"/>
        </w:rPr>
        <w:t xml:space="preserve">1.4.0.0.00.00.0.0.000 Transferencias Corrientes </w:t>
      </w:r>
    </w:p>
    <w:p w14:paraId="296B7D4B" w14:textId="77777777" w:rsidR="00195C0C" w:rsidRPr="009E6DA6" w:rsidRDefault="00195C0C" w:rsidP="009E6DA6">
      <w:pPr>
        <w:spacing w:after="0" w:line="240" w:lineRule="auto"/>
        <w:jc w:val="both"/>
        <w:rPr>
          <w:rFonts w:ascii="Arial" w:hAnsi="Arial" w:cs="Arial"/>
          <w:b/>
          <w:sz w:val="24"/>
          <w:szCs w:val="24"/>
        </w:rPr>
      </w:pPr>
      <w:r w:rsidRPr="009E6DA6">
        <w:rPr>
          <w:rFonts w:ascii="Arial" w:hAnsi="Arial" w:cs="Arial"/>
          <w:b/>
          <w:sz w:val="24"/>
          <w:szCs w:val="24"/>
        </w:rPr>
        <w:t>1.4.1.0.00.00.0.0.000 Transferencias Corrientes del Sector Público</w:t>
      </w:r>
    </w:p>
    <w:p w14:paraId="1BB27DFD" w14:textId="66C784F2" w:rsidR="00195C0C" w:rsidRPr="009E6DA6" w:rsidRDefault="00195C0C" w:rsidP="009E6DA6">
      <w:pPr>
        <w:spacing w:after="0" w:line="240" w:lineRule="auto"/>
        <w:jc w:val="both"/>
        <w:rPr>
          <w:rFonts w:ascii="Arial" w:hAnsi="Arial" w:cs="Arial"/>
          <w:b/>
          <w:sz w:val="24"/>
          <w:szCs w:val="24"/>
        </w:rPr>
      </w:pPr>
      <w:r w:rsidRPr="009E6DA6">
        <w:rPr>
          <w:rFonts w:ascii="Arial" w:hAnsi="Arial" w:cs="Arial"/>
          <w:b/>
          <w:sz w:val="24"/>
          <w:szCs w:val="24"/>
        </w:rPr>
        <w:t xml:space="preserve">1.4.1.1.00.00.0.0.000Transferencias Corrientes del Gobierno Central  </w:t>
      </w:r>
    </w:p>
    <w:p w14:paraId="4829C1C8" w14:textId="77777777" w:rsidR="005B7D78" w:rsidRPr="009E6DA6" w:rsidRDefault="005B7D78" w:rsidP="009E6DA6">
      <w:pPr>
        <w:spacing w:after="0" w:line="240" w:lineRule="auto"/>
        <w:jc w:val="both"/>
        <w:rPr>
          <w:rFonts w:ascii="Arial" w:hAnsi="Arial" w:cs="Arial"/>
          <w:b/>
          <w:sz w:val="24"/>
          <w:szCs w:val="24"/>
          <w:highlight w:val="lightGray"/>
        </w:rPr>
      </w:pPr>
    </w:p>
    <w:p w14:paraId="0FDCE51C" w14:textId="255E6046" w:rsidR="008B528C" w:rsidRPr="009E6DA6" w:rsidRDefault="005B7D78" w:rsidP="009E6DA6">
      <w:pPr>
        <w:pStyle w:val="Default"/>
        <w:jc w:val="both"/>
        <w:rPr>
          <w:color w:val="auto"/>
        </w:rPr>
      </w:pPr>
      <w:r w:rsidRPr="009E6DA6">
        <w:t xml:space="preserve">En esta subpartida se presupuestó la suma de </w:t>
      </w:r>
      <w:r w:rsidRPr="009E6DA6">
        <w:rPr>
          <w:b/>
        </w:rPr>
        <w:t>¢</w:t>
      </w:r>
      <w:r w:rsidR="00AD7FB3" w:rsidRPr="009E6DA6">
        <w:rPr>
          <w:b/>
        </w:rPr>
        <w:t>71.744.692</w:t>
      </w:r>
      <w:r w:rsidRPr="009E6DA6">
        <w:t xml:space="preserve">, de los cuales </w:t>
      </w:r>
      <w:r w:rsidR="000E49D3" w:rsidRPr="009E6DA6">
        <w:t xml:space="preserve">se logró </w:t>
      </w:r>
      <w:r w:rsidR="00DB2EE1" w:rsidRPr="009E6DA6">
        <w:t>percibir la</w:t>
      </w:r>
      <w:r w:rsidRPr="009E6DA6">
        <w:t xml:space="preserve"> suma </w:t>
      </w:r>
      <w:r w:rsidR="00DB2EE1" w:rsidRPr="009E6DA6">
        <w:t xml:space="preserve">total </w:t>
      </w:r>
      <w:r w:rsidRPr="009E6DA6">
        <w:t xml:space="preserve">de </w:t>
      </w:r>
      <w:r w:rsidR="00D05E55" w:rsidRPr="009E6DA6">
        <w:rPr>
          <w:b/>
        </w:rPr>
        <w:t>¢</w:t>
      </w:r>
      <w:r w:rsidR="00AD7FB3" w:rsidRPr="009E6DA6">
        <w:rPr>
          <w:b/>
        </w:rPr>
        <w:t>17.943.673</w:t>
      </w:r>
      <w:r w:rsidR="00D05E55" w:rsidRPr="009E6DA6">
        <w:t xml:space="preserve"> equivale</w:t>
      </w:r>
      <w:r w:rsidR="000E49D3" w:rsidRPr="009E6DA6">
        <w:t>nte</w:t>
      </w:r>
      <w:r w:rsidR="00A306F5" w:rsidRPr="009E6DA6">
        <w:t>s</w:t>
      </w:r>
      <w:r w:rsidR="000E49D3" w:rsidRPr="009E6DA6">
        <w:t xml:space="preserve"> </w:t>
      </w:r>
      <w:r w:rsidR="00D05E55" w:rsidRPr="009E6DA6">
        <w:t xml:space="preserve">a una ejecución del </w:t>
      </w:r>
      <w:r w:rsidR="00AD7FB3" w:rsidRPr="009E6DA6">
        <w:rPr>
          <w:b/>
          <w:bCs/>
        </w:rPr>
        <w:t>25</w:t>
      </w:r>
      <w:r w:rsidR="008B528C" w:rsidRPr="009E6DA6">
        <w:rPr>
          <w:b/>
          <w:bCs/>
        </w:rPr>
        <w:t>%</w:t>
      </w:r>
      <w:r w:rsidR="008B528C" w:rsidRPr="009E6DA6">
        <w:t>.</w:t>
      </w:r>
      <w:r w:rsidR="008B528C" w:rsidRPr="009E6DA6">
        <w:rPr>
          <w:color w:val="auto"/>
        </w:rPr>
        <w:t xml:space="preserve"> Estos recursos corresponden a la transferencia para gastos operativos en el fideicomiso.</w:t>
      </w:r>
    </w:p>
    <w:p w14:paraId="4A751589" w14:textId="77777777" w:rsidR="00875FBB" w:rsidRPr="009E6DA6" w:rsidRDefault="00875FBB" w:rsidP="009E6DA6">
      <w:pPr>
        <w:spacing w:after="0" w:line="240" w:lineRule="auto"/>
        <w:jc w:val="both"/>
        <w:rPr>
          <w:rFonts w:ascii="Arial" w:hAnsi="Arial" w:cs="Arial"/>
          <w:b/>
          <w:sz w:val="24"/>
          <w:szCs w:val="24"/>
          <w:highlight w:val="lightGray"/>
        </w:rPr>
      </w:pPr>
    </w:p>
    <w:p w14:paraId="08C7F6C6" w14:textId="3DAD4D83" w:rsidR="00253C48" w:rsidRDefault="00253C48" w:rsidP="009E6DA6">
      <w:pPr>
        <w:spacing w:after="0" w:line="240" w:lineRule="auto"/>
        <w:jc w:val="both"/>
        <w:rPr>
          <w:rFonts w:ascii="Arial" w:hAnsi="Arial" w:cs="Arial"/>
          <w:b/>
          <w:sz w:val="24"/>
          <w:szCs w:val="24"/>
        </w:rPr>
      </w:pPr>
      <w:r w:rsidRPr="009E6DA6">
        <w:rPr>
          <w:rFonts w:ascii="Arial" w:hAnsi="Arial" w:cs="Arial"/>
          <w:b/>
          <w:sz w:val="24"/>
          <w:szCs w:val="24"/>
        </w:rPr>
        <w:t xml:space="preserve">2.0.0.0.00.00.0.0.000 </w:t>
      </w:r>
      <w:r w:rsidR="00447D5F" w:rsidRPr="009E6DA6">
        <w:rPr>
          <w:rFonts w:ascii="Arial" w:hAnsi="Arial" w:cs="Arial"/>
          <w:b/>
          <w:sz w:val="24"/>
          <w:szCs w:val="24"/>
        </w:rPr>
        <w:t>Ingresos de</w:t>
      </w:r>
      <w:r w:rsidR="00C047BE" w:rsidRPr="009E6DA6">
        <w:rPr>
          <w:rFonts w:ascii="Arial" w:hAnsi="Arial" w:cs="Arial"/>
          <w:b/>
          <w:sz w:val="24"/>
          <w:szCs w:val="24"/>
        </w:rPr>
        <w:t xml:space="preserve"> Capital</w:t>
      </w:r>
    </w:p>
    <w:p w14:paraId="2D63F2B6" w14:textId="77777777" w:rsidR="006A462C" w:rsidRDefault="006A462C" w:rsidP="006A462C">
      <w:pPr>
        <w:spacing w:after="0" w:line="240" w:lineRule="auto"/>
        <w:jc w:val="both"/>
        <w:rPr>
          <w:rFonts w:ascii="Arial" w:hAnsi="Arial" w:cs="Arial"/>
          <w:b/>
          <w:sz w:val="24"/>
          <w:szCs w:val="24"/>
        </w:rPr>
      </w:pPr>
      <w:r>
        <w:rPr>
          <w:rFonts w:ascii="Arial" w:hAnsi="Arial" w:cs="Arial"/>
          <w:b/>
          <w:sz w:val="24"/>
          <w:szCs w:val="24"/>
        </w:rPr>
        <w:t>2.1.0.0.00.00.0.0.000 Ventas de Activos</w:t>
      </w:r>
    </w:p>
    <w:p w14:paraId="1C71CF91" w14:textId="42F93CF3" w:rsidR="00901BD5" w:rsidRDefault="00901BD5" w:rsidP="00901BD5">
      <w:pPr>
        <w:spacing w:after="0" w:line="240" w:lineRule="auto"/>
        <w:jc w:val="both"/>
        <w:rPr>
          <w:rFonts w:ascii="Arial" w:hAnsi="Arial" w:cs="Arial"/>
          <w:b/>
          <w:sz w:val="24"/>
          <w:szCs w:val="24"/>
        </w:rPr>
      </w:pPr>
      <w:r>
        <w:rPr>
          <w:rFonts w:ascii="Arial" w:hAnsi="Arial" w:cs="Arial"/>
          <w:b/>
          <w:sz w:val="24"/>
          <w:szCs w:val="24"/>
        </w:rPr>
        <w:t>2.1.1.0.00.00.0.0.000 Ventas de Activos fijos</w:t>
      </w:r>
    </w:p>
    <w:p w14:paraId="3C8372DB" w14:textId="64856113" w:rsidR="006A462C" w:rsidRDefault="006A462C" w:rsidP="009E6DA6">
      <w:pPr>
        <w:spacing w:after="0" w:line="240" w:lineRule="auto"/>
        <w:jc w:val="both"/>
        <w:rPr>
          <w:rFonts w:ascii="Arial" w:hAnsi="Arial" w:cs="Arial"/>
          <w:b/>
          <w:sz w:val="24"/>
          <w:szCs w:val="24"/>
        </w:rPr>
      </w:pPr>
    </w:p>
    <w:p w14:paraId="6BE9FECD" w14:textId="60D4C9C1" w:rsidR="006A462C" w:rsidRDefault="00901BD5" w:rsidP="00901BD5">
      <w:pPr>
        <w:spacing w:after="0" w:line="240" w:lineRule="auto"/>
        <w:jc w:val="both"/>
        <w:rPr>
          <w:rFonts w:ascii="Arial" w:hAnsi="Arial" w:cs="Arial"/>
          <w:sz w:val="24"/>
          <w:szCs w:val="24"/>
        </w:rPr>
      </w:pPr>
      <w:r w:rsidRPr="009E6DA6">
        <w:rPr>
          <w:rFonts w:ascii="Arial" w:hAnsi="Arial" w:cs="Arial"/>
          <w:sz w:val="24"/>
          <w:szCs w:val="24"/>
        </w:rPr>
        <w:t xml:space="preserve">En esta subpartida </w:t>
      </w:r>
      <w:r w:rsidR="00242DB8">
        <w:rPr>
          <w:rFonts w:ascii="Arial" w:hAnsi="Arial" w:cs="Arial"/>
          <w:sz w:val="24"/>
          <w:szCs w:val="24"/>
        </w:rPr>
        <w:t xml:space="preserve">no </w:t>
      </w:r>
      <w:r w:rsidRPr="009E6DA6">
        <w:rPr>
          <w:rFonts w:ascii="Arial" w:hAnsi="Arial" w:cs="Arial"/>
          <w:sz w:val="24"/>
          <w:szCs w:val="24"/>
        </w:rPr>
        <w:t xml:space="preserve">se </w:t>
      </w:r>
      <w:r w:rsidR="00242DB8" w:rsidRPr="009E6DA6">
        <w:rPr>
          <w:rFonts w:ascii="Arial" w:hAnsi="Arial" w:cs="Arial"/>
          <w:sz w:val="24"/>
          <w:szCs w:val="24"/>
        </w:rPr>
        <w:t>presupuestó,</w:t>
      </w:r>
      <w:r w:rsidRPr="009E6DA6">
        <w:rPr>
          <w:rFonts w:ascii="Arial" w:hAnsi="Arial" w:cs="Arial"/>
          <w:sz w:val="24"/>
          <w:szCs w:val="24"/>
        </w:rPr>
        <w:t xml:space="preserve"> </w:t>
      </w:r>
      <w:r w:rsidR="00242DB8">
        <w:rPr>
          <w:rFonts w:ascii="Arial" w:hAnsi="Arial" w:cs="Arial"/>
          <w:sz w:val="24"/>
          <w:szCs w:val="24"/>
        </w:rPr>
        <w:t xml:space="preserve">pero </w:t>
      </w:r>
      <w:r w:rsidRPr="009E6DA6">
        <w:rPr>
          <w:rFonts w:ascii="Arial" w:hAnsi="Arial" w:cs="Arial"/>
          <w:sz w:val="24"/>
          <w:szCs w:val="24"/>
        </w:rPr>
        <w:t xml:space="preserve">al cierre del semestre se percibió la suma total de total de </w:t>
      </w:r>
      <w:r w:rsidRPr="009E6DA6">
        <w:rPr>
          <w:rFonts w:ascii="Arial" w:hAnsi="Arial" w:cs="Arial"/>
          <w:b/>
          <w:sz w:val="24"/>
          <w:szCs w:val="24"/>
        </w:rPr>
        <w:t>¢</w:t>
      </w:r>
      <w:r w:rsidR="007A67E6">
        <w:rPr>
          <w:rFonts w:ascii="Arial" w:hAnsi="Arial" w:cs="Arial"/>
          <w:b/>
          <w:sz w:val="24"/>
          <w:szCs w:val="24"/>
        </w:rPr>
        <w:t>4.599.267</w:t>
      </w:r>
      <w:r w:rsidRPr="009E6DA6">
        <w:rPr>
          <w:rFonts w:ascii="Arial" w:hAnsi="Arial" w:cs="Arial"/>
          <w:sz w:val="24"/>
          <w:szCs w:val="24"/>
        </w:rPr>
        <w:t>. Estos ingresos corresponden a la</w:t>
      </w:r>
      <w:r w:rsidR="00504EB3">
        <w:rPr>
          <w:rFonts w:ascii="Arial" w:hAnsi="Arial" w:cs="Arial"/>
          <w:sz w:val="24"/>
          <w:szCs w:val="24"/>
        </w:rPr>
        <w:t xml:space="preserve"> venta de </w:t>
      </w:r>
      <w:r w:rsidR="00326BEF">
        <w:rPr>
          <w:rFonts w:ascii="Arial" w:hAnsi="Arial" w:cs="Arial"/>
          <w:sz w:val="24"/>
          <w:szCs w:val="24"/>
        </w:rPr>
        <w:t>dos vehículos institucionales.</w:t>
      </w:r>
    </w:p>
    <w:p w14:paraId="1140FCD4" w14:textId="77777777" w:rsidR="009C73C2" w:rsidRDefault="009C73C2" w:rsidP="00901BD5">
      <w:pPr>
        <w:spacing w:after="0" w:line="240" w:lineRule="auto"/>
        <w:jc w:val="both"/>
        <w:rPr>
          <w:rFonts w:ascii="Arial" w:hAnsi="Arial" w:cs="Arial"/>
          <w:sz w:val="24"/>
          <w:szCs w:val="24"/>
        </w:rPr>
      </w:pPr>
    </w:p>
    <w:p w14:paraId="7A50F504" w14:textId="57A89955" w:rsidR="00242DB8" w:rsidRDefault="00242DB8" w:rsidP="00901BD5">
      <w:pPr>
        <w:spacing w:after="0" w:line="240" w:lineRule="auto"/>
        <w:jc w:val="both"/>
        <w:rPr>
          <w:rFonts w:ascii="Arial" w:hAnsi="Arial" w:cs="Arial"/>
          <w:sz w:val="24"/>
          <w:szCs w:val="24"/>
        </w:rPr>
      </w:pPr>
    </w:p>
    <w:p w14:paraId="7A0F29B1" w14:textId="6792AC99" w:rsidR="00242DB8" w:rsidRDefault="00242DB8" w:rsidP="00242DB8">
      <w:pPr>
        <w:spacing w:after="0" w:line="240" w:lineRule="auto"/>
        <w:jc w:val="both"/>
        <w:rPr>
          <w:rFonts w:ascii="Arial" w:hAnsi="Arial" w:cs="Arial"/>
          <w:b/>
          <w:sz w:val="24"/>
          <w:szCs w:val="24"/>
        </w:rPr>
      </w:pPr>
      <w:r>
        <w:rPr>
          <w:rFonts w:ascii="Arial" w:hAnsi="Arial" w:cs="Arial"/>
          <w:b/>
          <w:sz w:val="24"/>
          <w:szCs w:val="24"/>
        </w:rPr>
        <w:t>2.1.1.2.00.00.0.0.000 Venta de Edificios e</w:t>
      </w:r>
      <w:r w:rsidRPr="00242DB8">
        <w:rPr>
          <w:rFonts w:ascii="Arial" w:hAnsi="Arial" w:cs="Arial"/>
          <w:b/>
          <w:sz w:val="24"/>
          <w:szCs w:val="24"/>
        </w:rPr>
        <w:t xml:space="preserve"> Instalaciones</w:t>
      </w:r>
    </w:p>
    <w:p w14:paraId="5A708A99" w14:textId="011818D9" w:rsidR="006A462C" w:rsidRDefault="006A462C" w:rsidP="009E6DA6">
      <w:pPr>
        <w:spacing w:after="0" w:line="240" w:lineRule="auto"/>
        <w:jc w:val="both"/>
        <w:rPr>
          <w:rFonts w:ascii="Arial" w:hAnsi="Arial" w:cs="Arial"/>
          <w:b/>
          <w:sz w:val="24"/>
          <w:szCs w:val="24"/>
        </w:rPr>
      </w:pPr>
    </w:p>
    <w:p w14:paraId="2D6C8A8C" w14:textId="33316DE8" w:rsidR="00242DB8" w:rsidRDefault="00326BEF" w:rsidP="00242DB8">
      <w:pPr>
        <w:spacing w:after="0" w:line="240" w:lineRule="auto"/>
        <w:jc w:val="both"/>
        <w:rPr>
          <w:rFonts w:ascii="Arial" w:hAnsi="Arial" w:cs="Arial"/>
          <w:sz w:val="24"/>
          <w:szCs w:val="24"/>
        </w:rPr>
      </w:pPr>
      <w:r w:rsidRPr="009E6DA6">
        <w:rPr>
          <w:rFonts w:ascii="Arial" w:hAnsi="Arial" w:cs="Arial"/>
          <w:sz w:val="24"/>
          <w:szCs w:val="24"/>
        </w:rPr>
        <w:t xml:space="preserve">En esta subpartida </w:t>
      </w:r>
      <w:r>
        <w:rPr>
          <w:rFonts w:ascii="Arial" w:hAnsi="Arial" w:cs="Arial"/>
          <w:sz w:val="24"/>
          <w:szCs w:val="24"/>
        </w:rPr>
        <w:t xml:space="preserve">no </w:t>
      </w:r>
      <w:r w:rsidRPr="009E6DA6">
        <w:rPr>
          <w:rFonts w:ascii="Arial" w:hAnsi="Arial" w:cs="Arial"/>
          <w:sz w:val="24"/>
          <w:szCs w:val="24"/>
        </w:rPr>
        <w:t>se presupuestó</w:t>
      </w:r>
      <w:r>
        <w:rPr>
          <w:rFonts w:ascii="Arial" w:hAnsi="Arial" w:cs="Arial"/>
          <w:sz w:val="24"/>
          <w:szCs w:val="24"/>
        </w:rPr>
        <w:t xml:space="preserve">, sin </w:t>
      </w:r>
      <w:r w:rsidR="00641E15">
        <w:rPr>
          <w:rFonts w:ascii="Arial" w:hAnsi="Arial" w:cs="Arial"/>
          <w:sz w:val="24"/>
          <w:szCs w:val="24"/>
        </w:rPr>
        <w:t>embargo,</w:t>
      </w:r>
      <w:r>
        <w:rPr>
          <w:rFonts w:ascii="Arial" w:hAnsi="Arial" w:cs="Arial"/>
          <w:sz w:val="24"/>
          <w:szCs w:val="24"/>
        </w:rPr>
        <w:t xml:space="preserve"> </w:t>
      </w:r>
      <w:r w:rsidR="00242DB8" w:rsidRPr="009E6DA6">
        <w:rPr>
          <w:rFonts w:ascii="Arial" w:hAnsi="Arial" w:cs="Arial"/>
          <w:sz w:val="24"/>
          <w:szCs w:val="24"/>
        </w:rPr>
        <w:t xml:space="preserve">se percibió la suma total de </w:t>
      </w:r>
      <w:r w:rsidR="00242DB8" w:rsidRPr="009E6DA6">
        <w:rPr>
          <w:rFonts w:ascii="Arial" w:hAnsi="Arial" w:cs="Arial"/>
          <w:b/>
          <w:sz w:val="24"/>
          <w:szCs w:val="24"/>
        </w:rPr>
        <w:t>¢</w:t>
      </w:r>
      <w:r w:rsidR="00242DB8">
        <w:rPr>
          <w:rFonts w:ascii="Arial" w:hAnsi="Arial" w:cs="Arial"/>
          <w:b/>
          <w:sz w:val="24"/>
          <w:szCs w:val="24"/>
        </w:rPr>
        <w:t>4</w:t>
      </w:r>
      <w:r>
        <w:rPr>
          <w:rFonts w:ascii="Arial" w:hAnsi="Arial" w:cs="Arial"/>
          <w:b/>
          <w:sz w:val="24"/>
          <w:szCs w:val="24"/>
        </w:rPr>
        <w:t>6</w:t>
      </w:r>
      <w:r w:rsidR="00242DB8">
        <w:rPr>
          <w:rFonts w:ascii="Arial" w:hAnsi="Arial" w:cs="Arial"/>
          <w:b/>
          <w:sz w:val="24"/>
          <w:szCs w:val="24"/>
        </w:rPr>
        <w:t>.</w:t>
      </w:r>
      <w:r>
        <w:rPr>
          <w:rFonts w:ascii="Arial" w:hAnsi="Arial" w:cs="Arial"/>
          <w:b/>
          <w:sz w:val="24"/>
          <w:szCs w:val="24"/>
        </w:rPr>
        <w:t>796.409</w:t>
      </w:r>
      <w:r w:rsidR="00242DB8" w:rsidRPr="009E6DA6">
        <w:rPr>
          <w:rFonts w:ascii="Arial" w:hAnsi="Arial" w:cs="Arial"/>
          <w:sz w:val="24"/>
          <w:szCs w:val="24"/>
        </w:rPr>
        <w:t>. Estos ingresos corresponden a la</w:t>
      </w:r>
      <w:r w:rsidR="00242DB8">
        <w:rPr>
          <w:rFonts w:ascii="Arial" w:hAnsi="Arial" w:cs="Arial"/>
          <w:sz w:val="24"/>
          <w:szCs w:val="24"/>
        </w:rPr>
        <w:t xml:space="preserve"> venta de activos recuperados por cuentas en cobro judicial.</w:t>
      </w:r>
    </w:p>
    <w:p w14:paraId="79E98703" w14:textId="77777777" w:rsidR="009C73C2" w:rsidRDefault="009C73C2" w:rsidP="00242DB8">
      <w:pPr>
        <w:spacing w:after="0" w:line="240" w:lineRule="auto"/>
        <w:jc w:val="both"/>
        <w:rPr>
          <w:rFonts w:ascii="Arial" w:hAnsi="Arial" w:cs="Arial"/>
          <w:sz w:val="24"/>
          <w:szCs w:val="24"/>
        </w:rPr>
      </w:pPr>
    </w:p>
    <w:p w14:paraId="147DF76E" w14:textId="77777777" w:rsidR="00242DB8" w:rsidRPr="009E6DA6" w:rsidRDefault="00242DB8" w:rsidP="009E6DA6">
      <w:pPr>
        <w:spacing w:after="0" w:line="240" w:lineRule="auto"/>
        <w:jc w:val="both"/>
        <w:rPr>
          <w:rFonts w:ascii="Arial" w:hAnsi="Arial" w:cs="Arial"/>
          <w:b/>
          <w:sz w:val="24"/>
          <w:szCs w:val="24"/>
        </w:rPr>
      </w:pPr>
    </w:p>
    <w:p w14:paraId="7A52C0C6" w14:textId="77777777" w:rsidR="00253C48" w:rsidRPr="009E6DA6" w:rsidRDefault="00253C48" w:rsidP="009E6DA6">
      <w:pPr>
        <w:spacing w:after="0" w:line="240" w:lineRule="auto"/>
        <w:jc w:val="both"/>
        <w:rPr>
          <w:rFonts w:ascii="Arial" w:hAnsi="Arial" w:cs="Arial"/>
          <w:b/>
          <w:sz w:val="24"/>
          <w:szCs w:val="24"/>
        </w:rPr>
      </w:pPr>
      <w:r w:rsidRPr="009E6DA6">
        <w:rPr>
          <w:rFonts w:ascii="Arial" w:hAnsi="Arial" w:cs="Arial"/>
          <w:b/>
          <w:sz w:val="24"/>
          <w:szCs w:val="24"/>
        </w:rPr>
        <w:t xml:space="preserve">2.3.2.0.00.00.0.0.000 </w:t>
      </w:r>
      <w:r w:rsidR="00C047BE" w:rsidRPr="009E6DA6">
        <w:rPr>
          <w:rFonts w:ascii="Arial" w:hAnsi="Arial" w:cs="Arial"/>
          <w:b/>
          <w:sz w:val="24"/>
          <w:szCs w:val="24"/>
        </w:rPr>
        <w:t xml:space="preserve">Recuperación de Préstamos </w:t>
      </w:r>
    </w:p>
    <w:p w14:paraId="53BA6AA2" w14:textId="77777777" w:rsidR="00253C48" w:rsidRPr="009E6DA6" w:rsidRDefault="00253C48" w:rsidP="009E6DA6">
      <w:pPr>
        <w:spacing w:after="0" w:line="240" w:lineRule="auto"/>
        <w:jc w:val="both"/>
        <w:rPr>
          <w:rFonts w:ascii="Arial" w:hAnsi="Arial" w:cs="Arial"/>
          <w:b/>
          <w:sz w:val="24"/>
          <w:szCs w:val="24"/>
          <w:highlight w:val="lightGray"/>
        </w:rPr>
      </w:pPr>
    </w:p>
    <w:p w14:paraId="3199A8B0" w14:textId="7AFF8309" w:rsidR="00803A99" w:rsidRDefault="00B97CAE" w:rsidP="009E6DA6">
      <w:pPr>
        <w:spacing w:after="0"/>
        <w:jc w:val="both"/>
        <w:rPr>
          <w:rFonts w:ascii="Arial" w:hAnsi="Arial" w:cs="Arial"/>
          <w:sz w:val="24"/>
          <w:szCs w:val="24"/>
        </w:rPr>
      </w:pPr>
      <w:r w:rsidRPr="009E6DA6">
        <w:rPr>
          <w:rFonts w:ascii="Arial" w:hAnsi="Arial" w:cs="Arial"/>
          <w:sz w:val="24"/>
          <w:szCs w:val="24"/>
        </w:rPr>
        <w:t xml:space="preserve">En esta subpartida se presupuestó la suma de </w:t>
      </w:r>
      <w:r w:rsidRPr="009E6DA6">
        <w:rPr>
          <w:rFonts w:ascii="Arial" w:hAnsi="Arial" w:cs="Arial"/>
          <w:b/>
          <w:sz w:val="24"/>
          <w:szCs w:val="24"/>
        </w:rPr>
        <w:t>¢</w:t>
      </w:r>
      <w:r w:rsidR="006840DD" w:rsidRPr="009E6DA6">
        <w:rPr>
          <w:rFonts w:ascii="Arial" w:hAnsi="Arial" w:cs="Arial"/>
          <w:b/>
          <w:sz w:val="24"/>
          <w:szCs w:val="24"/>
        </w:rPr>
        <w:t>453.296.333</w:t>
      </w:r>
      <w:r w:rsidRPr="009E6DA6">
        <w:rPr>
          <w:rFonts w:ascii="Arial" w:hAnsi="Arial" w:cs="Arial"/>
          <w:sz w:val="24"/>
          <w:szCs w:val="24"/>
        </w:rPr>
        <w:t xml:space="preserve"> de los cuales </w:t>
      </w:r>
      <w:r w:rsidR="00BF19CE" w:rsidRPr="009E6DA6">
        <w:rPr>
          <w:rFonts w:ascii="Arial" w:hAnsi="Arial" w:cs="Arial"/>
          <w:sz w:val="24"/>
          <w:szCs w:val="24"/>
        </w:rPr>
        <w:t xml:space="preserve">se </w:t>
      </w:r>
      <w:r w:rsidR="00460C87" w:rsidRPr="009E6DA6">
        <w:rPr>
          <w:rFonts w:ascii="Arial" w:hAnsi="Arial" w:cs="Arial"/>
          <w:sz w:val="24"/>
          <w:szCs w:val="24"/>
        </w:rPr>
        <w:t xml:space="preserve">al cierre del </w:t>
      </w:r>
      <w:r w:rsidR="006840DD" w:rsidRPr="009E6DA6">
        <w:rPr>
          <w:rFonts w:ascii="Arial" w:hAnsi="Arial" w:cs="Arial"/>
          <w:sz w:val="24"/>
          <w:szCs w:val="24"/>
        </w:rPr>
        <w:t>semestre</w:t>
      </w:r>
      <w:r w:rsidR="00460C87" w:rsidRPr="009E6DA6">
        <w:rPr>
          <w:rFonts w:ascii="Arial" w:hAnsi="Arial" w:cs="Arial"/>
          <w:sz w:val="24"/>
          <w:szCs w:val="24"/>
        </w:rPr>
        <w:t xml:space="preserve"> se percibió la suma total de</w:t>
      </w:r>
      <w:r w:rsidR="00BF19CE" w:rsidRPr="009E6DA6">
        <w:rPr>
          <w:rFonts w:ascii="Arial" w:hAnsi="Arial" w:cs="Arial"/>
          <w:sz w:val="24"/>
          <w:szCs w:val="24"/>
        </w:rPr>
        <w:t xml:space="preserve"> total de </w:t>
      </w:r>
      <w:r w:rsidRPr="009E6DA6">
        <w:rPr>
          <w:rFonts w:ascii="Arial" w:hAnsi="Arial" w:cs="Arial"/>
          <w:b/>
          <w:sz w:val="24"/>
          <w:szCs w:val="24"/>
        </w:rPr>
        <w:t>¢</w:t>
      </w:r>
      <w:r w:rsidR="006840DD" w:rsidRPr="009E6DA6">
        <w:rPr>
          <w:rFonts w:ascii="Arial" w:hAnsi="Arial" w:cs="Arial"/>
          <w:b/>
          <w:sz w:val="24"/>
          <w:szCs w:val="24"/>
        </w:rPr>
        <w:t>173.075.858</w:t>
      </w:r>
      <w:r w:rsidRPr="009E6DA6">
        <w:rPr>
          <w:rFonts w:ascii="Arial" w:hAnsi="Arial" w:cs="Arial"/>
          <w:sz w:val="24"/>
          <w:szCs w:val="24"/>
        </w:rPr>
        <w:t xml:space="preserve"> equivalentes a un </w:t>
      </w:r>
      <w:r w:rsidR="006840DD" w:rsidRPr="009E6DA6">
        <w:rPr>
          <w:rFonts w:ascii="Arial" w:hAnsi="Arial" w:cs="Arial"/>
          <w:sz w:val="24"/>
          <w:szCs w:val="24"/>
        </w:rPr>
        <w:t>38</w:t>
      </w:r>
      <w:r w:rsidRPr="009E6DA6">
        <w:rPr>
          <w:rFonts w:ascii="Arial" w:hAnsi="Arial" w:cs="Arial"/>
          <w:b/>
          <w:sz w:val="24"/>
          <w:szCs w:val="24"/>
        </w:rPr>
        <w:t>%</w:t>
      </w:r>
      <w:r w:rsidR="00A811C3" w:rsidRPr="009E6DA6">
        <w:rPr>
          <w:rFonts w:ascii="Arial" w:hAnsi="Arial" w:cs="Arial"/>
          <w:sz w:val="24"/>
          <w:szCs w:val="24"/>
        </w:rPr>
        <w:t xml:space="preserve"> de ejecución</w:t>
      </w:r>
      <w:r w:rsidR="006840DD" w:rsidRPr="009E6DA6">
        <w:rPr>
          <w:rFonts w:ascii="Arial" w:hAnsi="Arial" w:cs="Arial"/>
          <w:sz w:val="24"/>
          <w:szCs w:val="24"/>
        </w:rPr>
        <w:t xml:space="preserve">. </w:t>
      </w:r>
      <w:r w:rsidR="00BF19CE" w:rsidRPr="009E6DA6">
        <w:rPr>
          <w:rFonts w:ascii="Arial" w:hAnsi="Arial" w:cs="Arial"/>
          <w:sz w:val="24"/>
          <w:szCs w:val="24"/>
        </w:rPr>
        <w:t>E</w:t>
      </w:r>
      <w:r w:rsidRPr="009E6DA6">
        <w:rPr>
          <w:rFonts w:ascii="Arial" w:hAnsi="Arial" w:cs="Arial"/>
          <w:sz w:val="24"/>
          <w:szCs w:val="24"/>
        </w:rPr>
        <w:t>stos ingresos corresponden a la recuperación del capital de la cartera de crédito.</w:t>
      </w:r>
    </w:p>
    <w:p w14:paraId="3752E96E" w14:textId="4CD622AF" w:rsidR="009C73C2" w:rsidRDefault="009C73C2" w:rsidP="009E6DA6">
      <w:pPr>
        <w:spacing w:after="0"/>
        <w:jc w:val="both"/>
        <w:rPr>
          <w:rFonts w:ascii="Arial" w:hAnsi="Arial" w:cs="Arial"/>
          <w:sz w:val="24"/>
          <w:szCs w:val="24"/>
        </w:rPr>
      </w:pPr>
    </w:p>
    <w:p w14:paraId="4DFD6851" w14:textId="0D97D5FA" w:rsidR="00D9350E" w:rsidRDefault="00D9350E" w:rsidP="009E6DA6">
      <w:pPr>
        <w:spacing w:after="0"/>
        <w:jc w:val="both"/>
        <w:rPr>
          <w:rFonts w:ascii="Arial" w:hAnsi="Arial" w:cs="Arial"/>
          <w:sz w:val="24"/>
          <w:szCs w:val="24"/>
        </w:rPr>
      </w:pPr>
    </w:p>
    <w:p w14:paraId="14F8968A" w14:textId="1FB3E0E2" w:rsidR="00D9350E" w:rsidRDefault="00D9350E" w:rsidP="009E6DA6">
      <w:pPr>
        <w:spacing w:after="0"/>
        <w:jc w:val="both"/>
        <w:rPr>
          <w:rFonts w:ascii="Arial" w:hAnsi="Arial" w:cs="Arial"/>
          <w:sz w:val="24"/>
          <w:szCs w:val="24"/>
        </w:rPr>
      </w:pPr>
    </w:p>
    <w:p w14:paraId="0A60CEB6" w14:textId="77777777" w:rsidR="00376D1A" w:rsidRPr="009E6DA6" w:rsidRDefault="00376D1A" w:rsidP="009E6DA6">
      <w:pPr>
        <w:spacing w:after="0"/>
        <w:jc w:val="both"/>
        <w:rPr>
          <w:rFonts w:ascii="Arial" w:hAnsi="Arial" w:cs="Arial"/>
          <w:b/>
          <w:bCs/>
          <w:sz w:val="24"/>
          <w:szCs w:val="24"/>
        </w:rPr>
      </w:pPr>
    </w:p>
    <w:p w14:paraId="02BE2397" w14:textId="0596EF23" w:rsidR="00027772" w:rsidRPr="009E6DA6" w:rsidRDefault="00027772" w:rsidP="009E6DA6">
      <w:pPr>
        <w:spacing w:after="0"/>
        <w:jc w:val="both"/>
        <w:rPr>
          <w:rFonts w:ascii="Arial" w:hAnsi="Arial" w:cs="Arial"/>
          <w:b/>
          <w:bCs/>
          <w:sz w:val="24"/>
          <w:szCs w:val="24"/>
        </w:rPr>
      </w:pPr>
      <w:r w:rsidRPr="009E6DA6">
        <w:rPr>
          <w:rFonts w:ascii="Arial" w:hAnsi="Arial" w:cs="Arial"/>
          <w:b/>
          <w:bCs/>
          <w:sz w:val="24"/>
          <w:szCs w:val="24"/>
        </w:rPr>
        <w:t>2.4.0.0.00.00.0.0.000</w:t>
      </w:r>
      <w:r w:rsidRPr="009E6DA6">
        <w:rPr>
          <w:rFonts w:ascii="Arial" w:hAnsi="Arial" w:cs="Arial"/>
          <w:b/>
          <w:bCs/>
          <w:sz w:val="24"/>
          <w:szCs w:val="24"/>
        </w:rPr>
        <w:tab/>
        <w:t>Transferencias de Capital</w:t>
      </w:r>
    </w:p>
    <w:p w14:paraId="53680F4D" w14:textId="77777777" w:rsidR="00027772" w:rsidRPr="009E6DA6" w:rsidRDefault="00027772" w:rsidP="009E6DA6">
      <w:pPr>
        <w:spacing w:after="0"/>
        <w:jc w:val="both"/>
        <w:rPr>
          <w:rFonts w:ascii="Arial" w:hAnsi="Arial" w:cs="Arial"/>
          <w:b/>
          <w:bCs/>
          <w:sz w:val="24"/>
          <w:szCs w:val="24"/>
        </w:rPr>
      </w:pPr>
      <w:r w:rsidRPr="009E6DA6">
        <w:rPr>
          <w:rFonts w:ascii="Arial" w:hAnsi="Arial" w:cs="Arial"/>
          <w:b/>
          <w:bCs/>
          <w:sz w:val="24"/>
          <w:szCs w:val="24"/>
        </w:rPr>
        <w:t>2.4.1.1.00.00.0.0.000</w:t>
      </w:r>
      <w:r w:rsidRPr="009E6DA6">
        <w:rPr>
          <w:rFonts w:ascii="Arial" w:hAnsi="Arial" w:cs="Arial"/>
          <w:b/>
          <w:bCs/>
          <w:sz w:val="24"/>
          <w:szCs w:val="24"/>
        </w:rPr>
        <w:tab/>
        <w:t>Transferencias de Capital del Gobierno Central</w:t>
      </w:r>
    </w:p>
    <w:p w14:paraId="5A1FE6B3" w14:textId="77777777" w:rsidR="00027772" w:rsidRPr="009E6DA6" w:rsidRDefault="00027772" w:rsidP="009E6DA6">
      <w:pPr>
        <w:spacing w:after="0"/>
        <w:jc w:val="both"/>
        <w:rPr>
          <w:rFonts w:ascii="Arial" w:hAnsi="Arial" w:cs="Arial"/>
          <w:sz w:val="24"/>
          <w:szCs w:val="24"/>
          <w:highlight w:val="lightGray"/>
        </w:rPr>
      </w:pPr>
    </w:p>
    <w:p w14:paraId="3776E6FD" w14:textId="38412F3C" w:rsidR="00027772" w:rsidRPr="00F755A7" w:rsidRDefault="00027772" w:rsidP="009E6DA6">
      <w:pPr>
        <w:spacing w:after="0"/>
        <w:jc w:val="both"/>
        <w:rPr>
          <w:rFonts w:ascii="Arial" w:hAnsi="Arial" w:cs="Arial"/>
          <w:b/>
          <w:bCs/>
          <w:sz w:val="24"/>
          <w:szCs w:val="24"/>
        </w:rPr>
      </w:pPr>
      <w:r w:rsidRPr="009E6DA6">
        <w:rPr>
          <w:rFonts w:ascii="Arial" w:hAnsi="Arial" w:cs="Arial"/>
          <w:sz w:val="24"/>
          <w:szCs w:val="24"/>
        </w:rPr>
        <w:t xml:space="preserve">En esta subpartida se presupuestó la suma de </w:t>
      </w:r>
      <w:r w:rsidRPr="009E6DA6">
        <w:rPr>
          <w:rFonts w:ascii="Arial" w:hAnsi="Arial" w:cs="Arial"/>
          <w:b/>
          <w:sz w:val="24"/>
          <w:szCs w:val="24"/>
        </w:rPr>
        <w:t>¢</w:t>
      </w:r>
      <w:r w:rsidR="006840DD" w:rsidRPr="009E6DA6">
        <w:rPr>
          <w:rFonts w:ascii="Arial" w:hAnsi="Arial" w:cs="Arial"/>
          <w:b/>
          <w:sz w:val="24"/>
          <w:szCs w:val="24"/>
        </w:rPr>
        <w:t>10.894.391.334</w:t>
      </w:r>
      <w:r w:rsidRPr="009E6DA6">
        <w:rPr>
          <w:rFonts w:ascii="Arial" w:hAnsi="Arial" w:cs="Arial"/>
          <w:sz w:val="24"/>
          <w:szCs w:val="24"/>
        </w:rPr>
        <w:t xml:space="preserve"> de los cuales al cierre del primer semestre 202</w:t>
      </w:r>
      <w:r w:rsidR="006840DD" w:rsidRPr="009E6DA6">
        <w:rPr>
          <w:rFonts w:ascii="Arial" w:hAnsi="Arial" w:cs="Arial"/>
          <w:sz w:val="24"/>
          <w:szCs w:val="24"/>
        </w:rPr>
        <w:t>2</w:t>
      </w:r>
      <w:r w:rsidRPr="009E6DA6">
        <w:rPr>
          <w:rFonts w:ascii="Arial" w:hAnsi="Arial" w:cs="Arial"/>
          <w:sz w:val="24"/>
          <w:szCs w:val="24"/>
        </w:rPr>
        <w:t xml:space="preserve"> se percibió la suma total de </w:t>
      </w:r>
      <w:r w:rsidRPr="009E6DA6">
        <w:rPr>
          <w:rFonts w:ascii="Arial" w:hAnsi="Arial" w:cs="Arial"/>
          <w:b/>
          <w:sz w:val="24"/>
          <w:szCs w:val="24"/>
        </w:rPr>
        <w:t>¢</w:t>
      </w:r>
      <w:r w:rsidR="006840DD" w:rsidRPr="009E6DA6">
        <w:rPr>
          <w:rFonts w:ascii="Arial" w:hAnsi="Arial" w:cs="Arial"/>
          <w:b/>
          <w:sz w:val="24"/>
          <w:szCs w:val="24"/>
        </w:rPr>
        <w:t>5.123.597.833</w:t>
      </w:r>
      <w:r w:rsidRPr="009E6DA6">
        <w:rPr>
          <w:rFonts w:ascii="Arial" w:hAnsi="Arial" w:cs="Arial"/>
          <w:sz w:val="24"/>
          <w:szCs w:val="24"/>
        </w:rPr>
        <w:t xml:space="preserve"> equivalentes a un </w:t>
      </w:r>
      <w:r w:rsidR="006840DD" w:rsidRPr="009E6DA6">
        <w:rPr>
          <w:rFonts w:ascii="Arial" w:hAnsi="Arial" w:cs="Arial"/>
          <w:sz w:val="24"/>
          <w:szCs w:val="24"/>
        </w:rPr>
        <w:t>47%</w:t>
      </w:r>
      <w:r w:rsidRPr="009E6DA6">
        <w:rPr>
          <w:rFonts w:ascii="Arial" w:hAnsi="Arial" w:cs="Arial"/>
          <w:sz w:val="24"/>
          <w:szCs w:val="24"/>
        </w:rPr>
        <w:t xml:space="preserve"> de ejecución. Estos ingresos corresponden a la transferencia de recursos para el pago de contratos del Programa por Servicios Ambientales.</w:t>
      </w:r>
    </w:p>
    <w:p w14:paraId="1C287281" w14:textId="77777777" w:rsidR="009C73C2" w:rsidRPr="009E6DA6" w:rsidRDefault="009C73C2" w:rsidP="009E6DA6">
      <w:pPr>
        <w:spacing w:after="0"/>
        <w:jc w:val="both"/>
        <w:rPr>
          <w:rFonts w:ascii="Arial" w:hAnsi="Arial" w:cs="Arial"/>
          <w:sz w:val="24"/>
          <w:szCs w:val="24"/>
          <w:highlight w:val="lightGray"/>
        </w:rPr>
      </w:pPr>
    </w:p>
    <w:p w14:paraId="01A20E1B" w14:textId="77777777" w:rsidR="0064010E" w:rsidRPr="009E6DA6" w:rsidRDefault="00F95D7D" w:rsidP="009E6DA6">
      <w:pPr>
        <w:pStyle w:val="Ttulo2"/>
        <w:jc w:val="both"/>
        <w:rPr>
          <w:rFonts w:ascii="Arial" w:hAnsi="Arial" w:cs="Arial"/>
          <w:color w:val="auto"/>
          <w:sz w:val="24"/>
          <w:szCs w:val="24"/>
        </w:rPr>
      </w:pPr>
      <w:bookmarkStart w:id="19" w:name="_Toc109980604"/>
      <w:r w:rsidRPr="009E6DA6">
        <w:rPr>
          <w:rFonts w:ascii="Arial" w:hAnsi="Arial" w:cs="Arial"/>
          <w:color w:val="auto"/>
          <w:sz w:val="24"/>
          <w:szCs w:val="24"/>
        </w:rPr>
        <w:t>5</w:t>
      </w:r>
      <w:r w:rsidR="00E674A5" w:rsidRPr="009E6DA6">
        <w:rPr>
          <w:rFonts w:ascii="Arial" w:hAnsi="Arial" w:cs="Arial"/>
          <w:color w:val="auto"/>
          <w:sz w:val="24"/>
          <w:szCs w:val="24"/>
        </w:rPr>
        <w:t xml:space="preserve">. </w:t>
      </w:r>
      <w:r w:rsidR="0064010E" w:rsidRPr="009E6DA6">
        <w:rPr>
          <w:rFonts w:ascii="Arial" w:hAnsi="Arial" w:cs="Arial"/>
          <w:color w:val="auto"/>
          <w:sz w:val="24"/>
          <w:szCs w:val="24"/>
        </w:rPr>
        <w:t>C</w:t>
      </w:r>
      <w:r w:rsidR="007962AF" w:rsidRPr="009E6DA6">
        <w:rPr>
          <w:rFonts w:ascii="Arial" w:hAnsi="Arial" w:cs="Arial"/>
          <w:color w:val="auto"/>
          <w:sz w:val="24"/>
          <w:szCs w:val="24"/>
        </w:rPr>
        <w:t>OMENTARIOS DE EGRESOS</w:t>
      </w:r>
      <w:bookmarkEnd w:id="19"/>
    </w:p>
    <w:p w14:paraId="4103C15B" w14:textId="77777777" w:rsidR="0064010E" w:rsidRPr="009E6DA6" w:rsidRDefault="0064010E" w:rsidP="009E6DA6">
      <w:pPr>
        <w:spacing w:after="0" w:line="240" w:lineRule="auto"/>
        <w:jc w:val="both"/>
        <w:rPr>
          <w:rFonts w:ascii="Arial" w:hAnsi="Arial" w:cs="Arial"/>
          <w:sz w:val="24"/>
          <w:szCs w:val="24"/>
        </w:rPr>
      </w:pPr>
    </w:p>
    <w:p w14:paraId="481D8598" w14:textId="4C5E7BFD" w:rsidR="0064010E" w:rsidRDefault="0064010E" w:rsidP="009E6DA6">
      <w:pPr>
        <w:jc w:val="both"/>
        <w:rPr>
          <w:rFonts w:ascii="Arial" w:hAnsi="Arial" w:cs="Arial"/>
          <w:sz w:val="24"/>
          <w:szCs w:val="24"/>
        </w:rPr>
      </w:pPr>
      <w:r w:rsidRPr="009E6DA6">
        <w:rPr>
          <w:rFonts w:ascii="Arial" w:hAnsi="Arial" w:cs="Arial"/>
          <w:sz w:val="24"/>
          <w:szCs w:val="24"/>
        </w:rPr>
        <w:t xml:space="preserve">La institución presupuestó egresos por la suma de </w:t>
      </w:r>
      <w:r w:rsidRPr="009E6DA6">
        <w:rPr>
          <w:rFonts w:ascii="Arial" w:hAnsi="Arial" w:cs="Arial"/>
          <w:b/>
          <w:sz w:val="24"/>
          <w:szCs w:val="24"/>
        </w:rPr>
        <w:t>¢</w:t>
      </w:r>
      <w:r w:rsidR="00641E15">
        <w:rPr>
          <w:rFonts w:ascii="Arial" w:hAnsi="Arial" w:cs="Arial"/>
          <w:b/>
          <w:sz w:val="24"/>
          <w:szCs w:val="24"/>
        </w:rPr>
        <w:t>26.099.135.618</w:t>
      </w:r>
      <w:r w:rsidRPr="009E6DA6">
        <w:rPr>
          <w:rFonts w:ascii="Arial" w:hAnsi="Arial" w:cs="Arial"/>
          <w:b/>
          <w:sz w:val="24"/>
          <w:szCs w:val="24"/>
        </w:rPr>
        <w:t>,</w:t>
      </w:r>
      <w:r w:rsidRPr="009E6DA6">
        <w:rPr>
          <w:rFonts w:ascii="Arial" w:hAnsi="Arial" w:cs="Arial"/>
          <w:sz w:val="24"/>
          <w:szCs w:val="24"/>
        </w:rPr>
        <w:t xml:space="preserve"> </w:t>
      </w:r>
      <w:r w:rsidR="00491343" w:rsidRPr="009E6DA6">
        <w:rPr>
          <w:rFonts w:ascii="Arial" w:hAnsi="Arial" w:cs="Arial"/>
          <w:sz w:val="24"/>
          <w:szCs w:val="24"/>
        </w:rPr>
        <w:t xml:space="preserve">de los </w:t>
      </w:r>
      <w:r w:rsidR="00315DAD" w:rsidRPr="009E6DA6">
        <w:rPr>
          <w:rFonts w:ascii="Arial" w:hAnsi="Arial" w:cs="Arial"/>
          <w:sz w:val="24"/>
          <w:szCs w:val="24"/>
        </w:rPr>
        <w:t xml:space="preserve">al cierre del </w:t>
      </w:r>
      <w:r w:rsidR="00641E15">
        <w:rPr>
          <w:rFonts w:ascii="Arial" w:hAnsi="Arial" w:cs="Arial"/>
          <w:sz w:val="24"/>
          <w:szCs w:val="24"/>
        </w:rPr>
        <w:t xml:space="preserve">primer </w:t>
      </w:r>
      <w:r w:rsidR="006840DD" w:rsidRPr="009E6DA6">
        <w:rPr>
          <w:rFonts w:ascii="Arial" w:hAnsi="Arial" w:cs="Arial"/>
          <w:sz w:val="24"/>
          <w:szCs w:val="24"/>
        </w:rPr>
        <w:t>semestre</w:t>
      </w:r>
      <w:r w:rsidR="00315DAD" w:rsidRPr="009E6DA6">
        <w:rPr>
          <w:rFonts w:ascii="Arial" w:hAnsi="Arial" w:cs="Arial"/>
          <w:sz w:val="24"/>
          <w:szCs w:val="24"/>
        </w:rPr>
        <w:t xml:space="preserve"> </w:t>
      </w:r>
      <w:r w:rsidR="00641E15">
        <w:rPr>
          <w:rFonts w:ascii="Arial" w:hAnsi="Arial" w:cs="Arial"/>
          <w:sz w:val="24"/>
          <w:szCs w:val="24"/>
        </w:rPr>
        <w:t xml:space="preserve">se </w:t>
      </w:r>
      <w:r w:rsidR="00315DAD" w:rsidRPr="009E6DA6">
        <w:rPr>
          <w:rFonts w:ascii="Arial" w:hAnsi="Arial" w:cs="Arial"/>
          <w:sz w:val="24"/>
          <w:szCs w:val="24"/>
        </w:rPr>
        <w:t>ejecut</w:t>
      </w:r>
      <w:r w:rsidR="006840DD" w:rsidRPr="009E6DA6">
        <w:rPr>
          <w:rFonts w:ascii="Arial" w:hAnsi="Arial" w:cs="Arial"/>
          <w:sz w:val="24"/>
          <w:szCs w:val="24"/>
        </w:rPr>
        <w:t>ó</w:t>
      </w:r>
      <w:r w:rsidR="00315DAD" w:rsidRPr="009E6DA6">
        <w:rPr>
          <w:rFonts w:ascii="Arial" w:hAnsi="Arial" w:cs="Arial"/>
          <w:sz w:val="24"/>
          <w:szCs w:val="24"/>
        </w:rPr>
        <w:t xml:space="preserve"> </w:t>
      </w:r>
      <w:r w:rsidR="000F5737" w:rsidRPr="009E6DA6">
        <w:rPr>
          <w:rFonts w:ascii="Arial" w:hAnsi="Arial" w:cs="Arial"/>
          <w:sz w:val="24"/>
          <w:szCs w:val="24"/>
        </w:rPr>
        <w:t xml:space="preserve">la suma </w:t>
      </w:r>
      <w:r w:rsidR="00315DAD" w:rsidRPr="009E6DA6">
        <w:rPr>
          <w:rFonts w:ascii="Arial" w:hAnsi="Arial" w:cs="Arial"/>
          <w:sz w:val="24"/>
          <w:szCs w:val="24"/>
        </w:rPr>
        <w:t xml:space="preserve">total </w:t>
      </w:r>
      <w:r w:rsidR="000F5737" w:rsidRPr="009E6DA6">
        <w:rPr>
          <w:rFonts w:ascii="Arial" w:hAnsi="Arial" w:cs="Arial"/>
          <w:sz w:val="24"/>
          <w:szCs w:val="24"/>
        </w:rPr>
        <w:t xml:space="preserve">de </w:t>
      </w:r>
      <w:r w:rsidRPr="009E6DA6">
        <w:rPr>
          <w:rFonts w:ascii="Arial" w:hAnsi="Arial" w:cs="Arial"/>
          <w:b/>
          <w:sz w:val="24"/>
          <w:szCs w:val="24"/>
        </w:rPr>
        <w:t>¢</w:t>
      </w:r>
      <w:r w:rsidR="006840DD" w:rsidRPr="009E6DA6">
        <w:rPr>
          <w:rFonts w:ascii="Arial" w:hAnsi="Arial" w:cs="Arial"/>
          <w:b/>
          <w:sz w:val="24"/>
          <w:szCs w:val="24"/>
        </w:rPr>
        <w:t>3.696.908.675,56</w:t>
      </w:r>
      <w:r w:rsidR="006F6123" w:rsidRPr="009E6DA6">
        <w:rPr>
          <w:rFonts w:ascii="Arial" w:hAnsi="Arial" w:cs="Arial"/>
          <w:b/>
          <w:sz w:val="24"/>
          <w:szCs w:val="24"/>
        </w:rPr>
        <w:t xml:space="preserve">, </w:t>
      </w:r>
      <w:r w:rsidRPr="009E6DA6">
        <w:rPr>
          <w:rFonts w:ascii="Arial" w:hAnsi="Arial" w:cs="Arial"/>
          <w:sz w:val="24"/>
          <w:szCs w:val="24"/>
        </w:rPr>
        <w:t>lo que equivale a un</w:t>
      </w:r>
      <w:r w:rsidR="000F5737" w:rsidRPr="009E6DA6">
        <w:rPr>
          <w:rFonts w:ascii="Arial" w:hAnsi="Arial" w:cs="Arial"/>
          <w:sz w:val="24"/>
          <w:szCs w:val="24"/>
        </w:rPr>
        <w:t xml:space="preserve"> </w:t>
      </w:r>
      <w:r w:rsidR="006840DD" w:rsidRPr="00641E15">
        <w:rPr>
          <w:rFonts w:ascii="Arial" w:hAnsi="Arial" w:cs="Arial"/>
          <w:b/>
          <w:bCs/>
          <w:sz w:val="24"/>
          <w:szCs w:val="24"/>
        </w:rPr>
        <w:t>93.48</w:t>
      </w:r>
      <w:r w:rsidRPr="00641E15">
        <w:rPr>
          <w:rFonts w:ascii="Arial" w:hAnsi="Arial" w:cs="Arial"/>
          <w:b/>
          <w:bCs/>
          <w:sz w:val="24"/>
          <w:szCs w:val="24"/>
        </w:rPr>
        <w:t>%</w:t>
      </w:r>
      <w:r w:rsidR="006840DD" w:rsidRPr="00641E15">
        <w:rPr>
          <w:rFonts w:ascii="Arial" w:hAnsi="Arial" w:cs="Arial"/>
          <w:b/>
          <w:bCs/>
          <w:sz w:val="24"/>
          <w:szCs w:val="24"/>
        </w:rPr>
        <w:t>.</w:t>
      </w:r>
      <w:r w:rsidR="006840DD" w:rsidRPr="009E6DA6">
        <w:rPr>
          <w:rFonts w:ascii="Arial" w:hAnsi="Arial" w:cs="Arial"/>
          <w:b/>
          <w:bCs/>
          <w:sz w:val="24"/>
          <w:szCs w:val="24"/>
        </w:rPr>
        <w:t xml:space="preserve"> </w:t>
      </w:r>
      <w:r w:rsidRPr="009E6DA6">
        <w:rPr>
          <w:rFonts w:ascii="Arial" w:hAnsi="Arial" w:cs="Arial"/>
          <w:sz w:val="24"/>
          <w:szCs w:val="24"/>
        </w:rPr>
        <w:t xml:space="preserve">A </w:t>
      </w:r>
      <w:r w:rsidR="001742AA" w:rsidRPr="009E6DA6">
        <w:rPr>
          <w:rFonts w:ascii="Arial" w:hAnsi="Arial" w:cs="Arial"/>
          <w:sz w:val="24"/>
          <w:szCs w:val="24"/>
        </w:rPr>
        <w:t>continuación,</w:t>
      </w:r>
      <w:r w:rsidRPr="009E6DA6">
        <w:rPr>
          <w:rFonts w:ascii="Arial" w:hAnsi="Arial" w:cs="Arial"/>
          <w:sz w:val="24"/>
          <w:szCs w:val="24"/>
        </w:rPr>
        <w:t xml:space="preserve"> se detallan algunos aspectos relevantes en los diferentes grupos de egresos.</w:t>
      </w:r>
    </w:p>
    <w:p w14:paraId="47259D9A" w14:textId="77777777" w:rsidR="009C73C2" w:rsidRPr="009E6DA6" w:rsidRDefault="009C73C2" w:rsidP="009E6DA6">
      <w:pPr>
        <w:jc w:val="both"/>
        <w:rPr>
          <w:rFonts w:ascii="Arial" w:hAnsi="Arial" w:cs="Arial"/>
          <w:sz w:val="24"/>
          <w:szCs w:val="24"/>
        </w:rPr>
      </w:pPr>
    </w:p>
    <w:p w14:paraId="6578E44D" w14:textId="77777777" w:rsidR="0064010E" w:rsidRPr="009E6DA6" w:rsidRDefault="0064010E" w:rsidP="009E6DA6">
      <w:pPr>
        <w:spacing w:after="0" w:line="240" w:lineRule="auto"/>
        <w:jc w:val="both"/>
        <w:rPr>
          <w:rFonts w:ascii="Arial" w:hAnsi="Arial" w:cs="Arial"/>
          <w:b/>
          <w:color w:val="FF0000"/>
          <w:sz w:val="24"/>
          <w:szCs w:val="24"/>
        </w:rPr>
      </w:pPr>
      <w:bookmarkStart w:id="20" w:name="_Hlk94519688"/>
      <w:bookmarkStart w:id="21" w:name="_Hlk109987521"/>
      <w:r w:rsidRPr="009E6DA6">
        <w:rPr>
          <w:rFonts w:ascii="Arial" w:hAnsi="Arial" w:cs="Arial"/>
          <w:b/>
          <w:sz w:val="24"/>
          <w:szCs w:val="24"/>
        </w:rPr>
        <w:t>REMUNERACIONES</w:t>
      </w:r>
    </w:p>
    <w:p w14:paraId="69DB4F69" w14:textId="77777777" w:rsidR="0064010E" w:rsidRPr="009E6DA6" w:rsidRDefault="0064010E" w:rsidP="009E6DA6">
      <w:pPr>
        <w:spacing w:after="0" w:line="240" w:lineRule="auto"/>
        <w:jc w:val="both"/>
        <w:rPr>
          <w:rFonts w:ascii="Arial" w:hAnsi="Arial" w:cs="Arial"/>
          <w:b/>
          <w:sz w:val="24"/>
          <w:szCs w:val="24"/>
        </w:rPr>
      </w:pPr>
    </w:p>
    <w:p w14:paraId="09E2C0A6" w14:textId="747DFE11" w:rsidR="00140558" w:rsidRPr="009E6DA6" w:rsidRDefault="0064010E" w:rsidP="009E6DA6">
      <w:pPr>
        <w:jc w:val="both"/>
        <w:rPr>
          <w:rFonts w:ascii="Arial" w:hAnsi="Arial" w:cs="Arial"/>
          <w:sz w:val="24"/>
          <w:szCs w:val="24"/>
        </w:rPr>
      </w:pPr>
      <w:r w:rsidRPr="009E6DA6">
        <w:rPr>
          <w:rFonts w:ascii="Arial" w:hAnsi="Arial" w:cs="Arial"/>
          <w:sz w:val="24"/>
          <w:szCs w:val="24"/>
        </w:rPr>
        <w:t>En est</w:t>
      </w:r>
      <w:r w:rsidR="00FE17A9" w:rsidRPr="009E6DA6">
        <w:rPr>
          <w:rFonts w:ascii="Arial" w:hAnsi="Arial" w:cs="Arial"/>
          <w:sz w:val="24"/>
          <w:szCs w:val="24"/>
        </w:rPr>
        <w:t xml:space="preserve">a partida </w:t>
      </w:r>
      <w:r w:rsidRPr="009E6DA6">
        <w:rPr>
          <w:rFonts w:ascii="Arial" w:hAnsi="Arial" w:cs="Arial"/>
          <w:sz w:val="24"/>
          <w:szCs w:val="24"/>
        </w:rPr>
        <w:t xml:space="preserve">se presupuestó la suma de </w:t>
      </w:r>
      <w:r w:rsidRPr="009E6DA6">
        <w:rPr>
          <w:rFonts w:ascii="Arial" w:hAnsi="Arial" w:cs="Arial"/>
          <w:b/>
          <w:sz w:val="24"/>
          <w:szCs w:val="24"/>
        </w:rPr>
        <w:t>¢</w:t>
      </w:r>
      <w:r w:rsidR="006840DD" w:rsidRPr="009E6DA6">
        <w:rPr>
          <w:rFonts w:ascii="Arial" w:hAnsi="Arial" w:cs="Arial"/>
          <w:b/>
          <w:sz w:val="24"/>
          <w:szCs w:val="24"/>
        </w:rPr>
        <w:t>432.380.453</w:t>
      </w:r>
      <w:r w:rsidR="00E61E5A" w:rsidRPr="009E6DA6">
        <w:rPr>
          <w:rFonts w:ascii="Arial" w:hAnsi="Arial" w:cs="Arial"/>
          <w:b/>
          <w:sz w:val="24"/>
          <w:szCs w:val="24"/>
        </w:rPr>
        <w:t xml:space="preserve">, </w:t>
      </w:r>
      <w:r w:rsidR="00315DAD" w:rsidRPr="009E6DA6">
        <w:rPr>
          <w:rFonts w:ascii="Arial" w:hAnsi="Arial" w:cs="Arial"/>
          <w:sz w:val="24"/>
          <w:szCs w:val="24"/>
        </w:rPr>
        <w:t xml:space="preserve">de los cuales al cierre del </w:t>
      </w:r>
      <w:r w:rsidR="006840DD" w:rsidRPr="009E6DA6">
        <w:rPr>
          <w:rFonts w:ascii="Arial" w:hAnsi="Arial" w:cs="Arial"/>
          <w:sz w:val="24"/>
          <w:szCs w:val="24"/>
        </w:rPr>
        <w:t>semestre</w:t>
      </w:r>
      <w:r w:rsidR="00315DAD" w:rsidRPr="009E6DA6">
        <w:rPr>
          <w:rFonts w:ascii="Arial" w:hAnsi="Arial" w:cs="Arial"/>
          <w:sz w:val="24"/>
          <w:szCs w:val="24"/>
        </w:rPr>
        <w:t xml:space="preserve"> se ejecutaron</w:t>
      </w:r>
      <w:r w:rsidR="00315DAD" w:rsidRPr="009E6DA6">
        <w:rPr>
          <w:rFonts w:ascii="Arial" w:hAnsi="Arial" w:cs="Arial"/>
          <w:b/>
          <w:sz w:val="24"/>
          <w:szCs w:val="24"/>
        </w:rPr>
        <w:t xml:space="preserve"> ¢</w:t>
      </w:r>
      <w:r w:rsidR="00376D1A" w:rsidRPr="009E6DA6">
        <w:rPr>
          <w:rFonts w:ascii="Arial" w:hAnsi="Arial" w:cs="Arial"/>
          <w:b/>
          <w:sz w:val="24"/>
          <w:szCs w:val="24"/>
        </w:rPr>
        <w:t>85.799.510</w:t>
      </w:r>
      <w:r w:rsidR="00776626" w:rsidRPr="009E6DA6">
        <w:rPr>
          <w:rFonts w:ascii="Arial" w:hAnsi="Arial" w:cs="Arial"/>
          <w:sz w:val="24"/>
          <w:szCs w:val="24"/>
        </w:rPr>
        <w:t xml:space="preserve"> </w:t>
      </w:r>
      <w:r w:rsidR="00B511AA" w:rsidRPr="009E6DA6">
        <w:rPr>
          <w:rFonts w:ascii="Arial" w:hAnsi="Arial" w:cs="Arial"/>
          <w:sz w:val="24"/>
          <w:szCs w:val="24"/>
        </w:rPr>
        <w:t>equivale</w:t>
      </w:r>
      <w:r w:rsidR="00C11843" w:rsidRPr="009E6DA6">
        <w:rPr>
          <w:rFonts w:ascii="Arial" w:hAnsi="Arial" w:cs="Arial"/>
          <w:sz w:val="24"/>
          <w:szCs w:val="24"/>
        </w:rPr>
        <w:t xml:space="preserve">nte </w:t>
      </w:r>
      <w:r w:rsidR="00F217EE" w:rsidRPr="009E6DA6">
        <w:rPr>
          <w:rFonts w:ascii="Arial" w:hAnsi="Arial" w:cs="Arial"/>
          <w:sz w:val="24"/>
          <w:szCs w:val="24"/>
        </w:rPr>
        <w:t xml:space="preserve">a un </w:t>
      </w:r>
      <w:r w:rsidR="00E865FC" w:rsidRPr="00E865FC">
        <w:rPr>
          <w:rFonts w:ascii="Arial" w:hAnsi="Arial" w:cs="Arial"/>
          <w:b/>
          <w:bCs/>
          <w:sz w:val="24"/>
          <w:szCs w:val="24"/>
        </w:rPr>
        <w:t>0.33</w:t>
      </w:r>
      <w:r w:rsidR="00776626" w:rsidRPr="00E865FC">
        <w:rPr>
          <w:rFonts w:ascii="Arial" w:hAnsi="Arial" w:cs="Arial"/>
          <w:b/>
          <w:bCs/>
          <w:sz w:val="24"/>
          <w:szCs w:val="24"/>
        </w:rPr>
        <w:t>%</w:t>
      </w:r>
      <w:r w:rsidR="00315DAD" w:rsidRPr="00E865FC">
        <w:rPr>
          <w:rFonts w:ascii="Arial" w:hAnsi="Arial" w:cs="Arial"/>
          <w:b/>
          <w:bCs/>
          <w:sz w:val="24"/>
          <w:szCs w:val="24"/>
        </w:rPr>
        <w:t>,</w:t>
      </w:r>
      <w:r w:rsidR="00315DAD" w:rsidRPr="009E6DA6">
        <w:rPr>
          <w:rFonts w:ascii="Arial" w:hAnsi="Arial" w:cs="Arial"/>
          <w:b/>
          <w:sz w:val="24"/>
          <w:szCs w:val="24"/>
        </w:rPr>
        <w:t xml:space="preserve"> </w:t>
      </w:r>
      <w:r w:rsidR="00140558" w:rsidRPr="009E6DA6">
        <w:rPr>
          <w:rFonts w:ascii="Arial" w:hAnsi="Arial" w:cs="Arial"/>
          <w:sz w:val="24"/>
          <w:szCs w:val="24"/>
        </w:rPr>
        <w:t xml:space="preserve">correspondiente al pago de 15 plazas que incluye personal contratado por medio del Proyecto Ecomercados II. Su base legal se sustenta en la aprobación del contrato de préstamo No. 7388-CR y sus anexos entre la </w:t>
      </w:r>
      <w:r w:rsidR="00641E15">
        <w:rPr>
          <w:rFonts w:ascii="Arial" w:hAnsi="Arial" w:cs="Arial"/>
          <w:sz w:val="24"/>
          <w:szCs w:val="24"/>
        </w:rPr>
        <w:t>R</w:t>
      </w:r>
      <w:r w:rsidR="00140558" w:rsidRPr="009E6DA6">
        <w:rPr>
          <w:rFonts w:ascii="Arial" w:hAnsi="Arial" w:cs="Arial"/>
          <w:sz w:val="24"/>
          <w:szCs w:val="24"/>
        </w:rPr>
        <w:t xml:space="preserve">epública de Costa Rica y el Banco Internacional de Reconstrucción y Fomento (BIRF). Adicionalmente también incluye el pago de </w:t>
      </w:r>
      <w:r w:rsidR="00B608B3">
        <w:rPr>
          <w:rFonts w:ascii="Arial" w:hAnsi="Arial" w:cs="Arial"/>
          <w:sz w:val="24"/>
          <w:szCs w:val="24"/>
        </w:rPr>
        <w:t>17 plazas</w:t>
      </w:r>
      <w:r w:rsidR="00140558" w:rsidRPr="009E6DA6">
        <w:rPr>
          <w:rFonts w:ascii="Arial" w:hAnsi="Arial" w:cs="Arial"/>
          <w:sz w:val="24"/>
          <w:szCs w:val="24"/>
        </w:rPr>
        <w:t xml:space="preserve"> </w:t>
      </w:r>
      <w:r w:rsidR="00B608B3">
        <w:rPr>
          <w:rFonts w:ascii="Arial" w:hAnsi="Arial" w:cs="Arial"/>
          <w:sz w:val="24"/>
          <w:szCs w:val="24"/>
        </w:rPr>
        <w:t>p</w:t>
      </w:r>
      <w:r w:rsidR="00B608B3" w:rsidRPr="00B608B3">
        <w:rPr>
          <w:rFonts w:ascii="Arial" w:hAnsi="Arial" w:cs="Arial"/>
          <w:sz w:val="24"/>
          <w:szCs w:val="24"/>
        </w:rPr>
        <w:t>ara la implementación del Acuerdo de Pagos Basados en Desempeño</w:t>
      </w:r>
      <w:r w:rsidR="00B608B3">
        <w:rPr>
          <w:rFonts w:ascii="Arial" w:hAnsi="Arial" w:cs="Arial"/>
          <w:sz w:val="24"/>
          <w:szCs w:val="24"/>
        </w:rPr>
        <w:t xml:space="preserve"> y </w:t>
      </w:r>
      <w:r w:rsidR="00B608B3" w:rsidRPr="00B608B3">
        <w:rPr>
          <w:rFonts w:ascii="Arial" w:hAnsi="Arial" w:cs="Arial"/>
          <w:sz w:val="24"/>
          <w:szCs w:val="24"/>
        </w:rPr>
        <w:t>el fortalecimiento de la Estrategia Nacional de Manejo del Fuego</w:t>
      </w:r>
      <w:r w:rsidR="00B608B3">
        <w:rPr>
          <w:rFonts w:ascii="Arial" w:hAnsi="Arial" w:cs="Arial"/>
          <w:sz w:val="24"/>
          <w:szCs w:val="24"/>
        </w:rPr>
        <w:t>.</w:t>
      </w:r>
    </w:p>
    <w:p w14:paraId="24C9E5CE" w14:textId="3A365280" w:rsidR="00E63382" w:rsidRDefault="00C11843" w:rsidP="00B608B3">
      <w:pPr>
        <w:jc w:val="both"/>
        <w:rPr>
          <w:rFonts w:ascii="Arial" w:hAnsi="Arial" w:cs="Arial"/>
          <w:sz w:val="24"/>
          <w:szCs w:val="24"/>
        </w:rPr>
      </w:pPr>
      <w:r w:rsidRPr="009E6DA6">
        <w:rPr>
          <w:rFonts w:ascii="Arial" w:hAnsi="Arial" w:cs="Arial"/>
          <w:sz w:val="24"/>
          <w:szCs w:val="24"/>
        </w:rPr>
        <w:t xml:space="preserve">A </w:t>
      </w:r>
      <w:r w:rsidR="00A7630D" w:rsidRPr="009E6DA6">
        <w:rPr>
          <w:rFonts w:ascii="Arial" w:hAnsi="Arial" w:cs="Arial"/>
          <w:sz w:val="24"/>
          <w:szCs w:val="24"/>
        </w:rPr>
        <w:t>continuación,</w:t>
      </w:r>
      <w:r w:rsidRPr="009E6DA6">
        <w:rPr>
          <w:rFonts w:ascii="Arial" w:hAnsi="Arial" w:cs="Arial"/>
          <w:sz w:val="24"/>
          <w:szCs w:val="24"/>
        </w:rPr>
        <w:t xml:space="preserve"> s</w:t>
      </w:r>
      <w:r w:rsidR="008B1FAC" w:rsidRPr="009E6DA6">
        <w:rPr>
          <w:rFonts w:ascii="Arial" w:hAnsi="Arial" w:cs="Arial"/>
          <w:sz w:val="24"/>
          <w:szCs w:val="24"/>
        </w:rPr>
        <w:t xml:space="preserve">e </w:t>
      </w:r>
      <w:r w:rsidR="00D76A0A" w:rsidRPr="009E6DA6">
        <w:rPr>
          <w:rFonts w:ascii="Arial" w:hAnsi="Arial" w:cs="Arial"/>
          <w:sz w:val="24"/>
          <w:szCs w:val="24"/>
        </w:rPr>
        <w:t xml:space="preserve">distribuye </w:t>
      </w:r>
      <w:r w:rsidRPr="009E6DA6">
        <w:rPr>
          <w:rFonts w:ascii="Arial" w:hAnsi="Arial" w:cs="Arial"/>
          <w:sz w:val="24"/>
          <w:szCs w:val="24"/>
        </w:rPr>
        <w:t>de acuerdo a las siguientes</w:t>
      </w:r>
      <w:r w:rsidR="0064010E" w:rsidRPr="009E6DA6">
        <w:rPr>
          <w:rFonts w:ascii="Arial" w:hAnsi="Arial" w:cs="Arial"/>
          <w:sz w:val="24"/>
          <w:szCs w:val="24"/>
        </w:rPr>
        <w:t xml:space="preserve"> subpartidas presupuestarias:</w:t>
      </w:r>
      <w:bookmarkEnd w:id="20"/>
    </w:p>
    <w:p w14:paraId="5107CD18" w14:textId="3353EE55" w:rsidR="00D9350E" w:rsidRDefault="00D9350E" w:rsidP="00B608B3">
      <w:pPr>
        <w:jc w:val="both"/>
        <w:rPr>
          <w:rFonts w:ascii="Arial" w:hAnsi="Arial" w:cs="Arial"/>
          <w:sz w:val="24"/>
          <w:szCs w:val="24"/>
        </w:rPr>
      </w:pPr>
    </w:p>
    <w:p w14:paraId="35EAF9D6" w14:textId="127F611C" w:rsidR="00D9350E" w:rsidRDefault="00D9350E" w:rsidP="00B608B3">
      <w:pPr>
        <w:jc w:val="both"/>
        <w:rPr>
          <w:rFonts w:ascii="Arial" w:hAnsi="Arial" w:cs="Arial"/>
          <w:sz w:val="24"/>
          <w:szCs w:val="24"/>
        </w:rPr>
      </w:pPr>
    </w:p>
    <w:p w14:paraId="3BBD24E5" w14:textId="623D4818" w:rsidR="00D9350E" w:rsidRDefault="00D9350E" w:rsidP="00B608B3">
      <w:pPr>
        <w:jc w:val="both"/>
        <w:rPr>
          <w:rFonts w:ascii="Arial" w:hAnsi="Arial" w:cs="Arial"/>
          <w:sz w:val="24"/>
          <w:szCs w:val="24"/>
        </w:rPr>
      </w:pPr>
    </w:p>
    <w:p w14:paraId="6403B7EE" w14:textId="7DB3FEEC" w:rsidR="00D9350E" w:rsidRDefault="00D9350E" w:rsidP="00B608B3">
      <w:pPr>
        <w:jc w:val="both"/>
        <w:rPr>
          <w:rFonts w:ascii="Arial" w:hAnsi="Arial" w:cs="Arial"/>
          <w:sz w:val="24"/>
          <w:szCs w:val="24"/>
        </w:rPr>
      </w:pPr>
    </w:p>
    <w:p w14:paraId="7D479F4A" w14:textId="3FB6C7F4" w:rsidR="00D9350E" w:rsidRDefault="00D9350E" w:rsidP="00B608B3">
      <w:pPr>
        <w:jc w:val="both"/>
        <w:rPr>
          <w:rFonts w:ascii="Arial" w:hAnsi="Arial" w:cs="Arial"/>
          <w:sz w:val="24"/>
          <w:szCs w:val="24"/>
        </w:rPr>
      </w:pPr>
    </w:p>
    <w:p w14:paraId="6221AF09" w14:textId="77777777" w:rsidR="00D9350E" w:rsidRDefault="00D9350E" w:rsidP="00B608B3">
      <w:pPr>
        <w:jc w:val="both"/>
        <w:rPr>
          <w:rFonts w:ascii="Arial" w:hAnsi="Arial" w:cs="Arial"/>
          <w:sz w:val="24"/>
          <w:szCs w:val="24"/>
        </w:rPr>
      </w:pPr>
    </w:p>
    <w:tbl>
      <w:tblPr>
        <w:tblW w:w="9472" w:type="dxa"/>
        <w:tblInd w:w="-152" w:type="dxa"/>
        <w:tblLayout w:type="fixed"/>
        <w:tblCellMar>
          <w:left w:w="70" w:type="dxa"/>
          <w:right w:w="70" w:type="dxa"/>
        </w:tblCellMar>
        <w:tblLook w:val="04A0" w:firstRow="1" w:lastRow="0" w:firstColumn="1" w:lastColumn="0" w:noHBand="0" w:noVBand="1"/>
      </w:tblPr>
      <w:tblGrid>
        <w:gridCol w:w="993"/>
        <w:gridCol w:w="3969"/>
        <w:gridCol w:w="1701"/>
        <w:gridCol w:w="1417"/>
        <w:gridCol w:w="1232"/>
        <w:gridCol w:w="160"/>
      </w:tblGrid>
      <w:tr w:rsidR="00E865FC" w:rsidRPr="00E865FC" w14:paraId="4071DC4A" w14:textId="77777777" w:rsidTr="00452713">
        <w:trPr>
          <w:gridAfter w:val="1"/>
          <w:wAfter w:w="160" w:type="dxa"/>
          <w:trHeight w:val="526"/>
        </w:trPr>
        <w:tc>
          <w:tcPr>
            <w:tcW w:w="993"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14:paraId="410A07E0" w14:textId="77777777" w:rsidR="00E865FC" w:rsidRPr="00E865FC" w:rsidRDefault="00E865FC" w:rsidP="00E865FC">
            <w:pPr>
              <w:spacing w:after="0" w:line="240" w:lineRule="auto"/>
              <w:jc w:val="center"/>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CUENTA</w:t>
            </w:r>
          </w:p>
        </w:tc>
        <w:tc>
          <w:tcPr>
            <w:tcW w:w="3969"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14:paraId="38DCF6F7" w14:textId="77777777" w:rsidR="00E865FC" w:rsidRPr="00E865FC" w:rsidRDefault="00E865FC" w:rsidP="00E865FC">
            <w:pPr>
              <w:spacing w:after="0" w:line="240" w:lineRule="auto"/>
              <w:jc w:val="center"/>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NOMBRE PARTIDA, GRUPO Y SUBPARTIDA</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00B050"/>
            <w:noWrap/>
            <w:vAlign w:val="center"/>
            <w:hideMark/>
          </w:tcPr>
          <w:p w14:paraId="0FFB2C5D" w14:textId="77777777" w:rsidR="00E865FC" w:rsidRPr="00E865FC" w:rsidRDefault="00E865FC" w:rsidP="00E865FC">
            <w:pPr>
              <w:spacing w:after="0" w:line="240" w:lineRule="auto"/>
              <w:jc w:val="center"/>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PRESUPUESTO APROBADO</w:t>
            </w:r>
          </w:p>
        </w:tc>
        <w:tc>
          <w:tcPr>
            <w:tcW w:w="1417" w:type="dxa"/>
            <w:vMerge w:val="restart"/>
            <w:tcBorders>
              <w:top w:val="single" w:sz="8" w:space="0" w:color="auto"/>
              <w:left w:val="single" w:sz="4" w:space="0" w:color="auto"/>
              <w:bottom w:val="single" w:sz="8" w:space="0" w:color="000000"/>
              <w:right w:val="single" w:sz="4" w:space="0" w:color="auto"/>
            </w:tcBorders>
            <w:shd w:val="clear" w:color="000000" w:fill="00B050"/>
            <w:noWrap/>
            <w:vAlign w:val="center"/>
            <w:hideMark/>
          </w:tcPr>
          <w:p w14:paraId="31E19BF7" w14:textId="77777777" w:rsidR="00E865FC" w:rsidRPr="00E865FC" w:rsidRDefault="00E865FC" w:rsidP="00E865FC">
            <w:pPr>
              <w:spacing w:after="0" w:line="240" w:lineRule="auto"/>
              <w:jc w:val="center"/>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TOTAL I SEMESTRE</w:t>
            </w:r>
          </w:p>
        </w:tc>
        <w:tc>
          <w:tcPr>
            <w:tcW w:w="1232" w:type="dxa"/>
            <w:vMerge w:val="restart"/>
            <w:tcBorders>
              <w:top w:val="single" w:sz="8" w:space="0" w:color="auto"/>
              <w:left w:val="single" w:sz="4" w:space="0" w:color="auto"/>
              <w:bottom w:val="single" w:sz="8" w:space="0" w:color="000000"/>
              <w:right w:val="single" w:sz="8" w:space="0" w:color="auto"/>
            </w:tcBorders>
            <w:shd w:val="clear" w:color="000000" w:fill="00B050"/>
            <w:noWrap/>
            <w:vAlign w:val="center"/>
            <w:hideMark/>
          </w:tcPr>
          <w:p w14:paraId="372924B4" w14:textId="77777777" w:rsidR="00E865FC" w:rsidRPr="00E865FC" w:rsidRDefault="00E865FC" w:rsidP="00E865FC">
            <w:pPr>
              <w:spacing w:after="0" w:line="240" w:lineRule="auto"/>
              <w:jc w:val="center"/>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 EJECUTADO</w:t>
            </w:r>
          </w:p>
        </w:tc>
      </w:tr>
      <w:tr w:rsidR="00860717" w:rsidRPr="00E865FC" w14:paraId="11D392D8" w14:textId="77777777" w:rsidTr="00452713">
        <w:trPr>
          <w:trHeight w:val="49"/>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6B1CE6FC" w14:textId="77777777" w:rsidR="00E865FC" w:rsidRPr="00E865FC" w:rsidRDefault="00E865FC" w:rsidP="00E865FC">
            <w:pPr>
              <w:spacing w:after="0" w:line="240" w:lineRule="auto"/>
              <w:rPr>
                <w:rFonts w:ascii="Arial" w:eastAsia="Times New Roman" w:hAnsi="Arial" w:cs="Arial"/>
                <w:b/>
                <w:bCs/>
                <w:color w:val="000000"/>
                <w:sz w:val="16"/>
                <w:szCs w:val="16"/>
                <w:lang w:val="es-US" w:eastAsia="es-US"/>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14:paraId="4ED64529" w14:textId="77777777" w:rsidR="00E865FC" w:rsidRPr="00E865FC" w:rsidRDefault="00E865FC" w:rsidP="00E865FC">
            <w:pPr>
              <w:spacing w:after="0" w:line="240" w:lineRule="auto"/>
              <w:rPr>
                <w:rFonts w:ascii="Arial" w:eastAsia="Times New Roman" w:hAnsi="Arial" w:cs="Arial"/>
                <w:b/>
                <w:bCs/>
                <w:color w:val="000000"/>
                <w:sz w:val="16"/>
                <w:szCs w:val="16"/>
                <w:lang w:val="es-US" w:eastAsia="es-US"/>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0D281A3A" w14:textId="77777777" w:rsidR="00E865FC" w:rsidRPr="00E865FC" w:rsidRDefault="00E865FC" w:rsidP="00E865FC">
            <w:pPr>
              <w:spacing w:after="0" w:line="240" w:lineRule="auto"/>
              <w:rPr>
                <w:rFonts w:ascii="Arial" w:eastAsia="Times New Roman" w:hAnsi="Arial" w:cs="Arial"/>
                <w:b/>
                <w:bCs/>
                <w:color w:val="000000"/>
                <w:sz w:val="16"/>
                <w:szCs w:val="16"/>
                <w:lang w:val="es-US" w:eastAsia="es-US"/>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5682DEDD" w14:textId="77777777" w:rsidR="00E865FC" w:rsidRPr="00E865FC" w:rsidRDefault="00E865FC" w:rsidP="00E865FC">
            <w:pPr>
              <w:spacing w:after="0" w:line="240" w:lineRule="auto"/>
              <w:rPr>
                <w:rFonts w:ascii="Arial" w:eastAsia="Times New Roman" w:hAnsi="Arial" w:cs="Arial"/>
                <w:b/>
                <w:bCs/>
                <w:color w:val="000000"/>
                <w:sz w:val="16"/>
                <w:szCs w:val="16"/>
                <w:lang w:val="es-US" w:eastAsia="es-US"/>
              </w:rPr>
            </w:pPr>
          </w:p>
        </w:tc>
        <w:tc>
          <w:tcPr>
            <w:tcW w:w="1232" w:type="dxa"/>
            <w:vMerge/>
            <w:tcBorders>
              <w:top w:val="single" w:sz="8" w:space="0" w:color="auto"/>
              <w:left w:val="single" w:sz="4" w:space="0" w:color="auto"/>
              <w:bottom w:val="single" w:sz="8" w:space="0" w:color="000000"/>
              <w:right w:val="single" w:sz="8" w:space="0" w:color="auto"/>
            </w:tcBorders>
            <w:vAlign w:val="center"/>
            <w:hideMark/>
          </w:tcPr>
          <w:p w14:paraId="75AC9C2C" w14:textId="77777777" w:rsidR="00E865FC" w:rsidRPr="00E865FC" w:rsidRDefault="00E865FC" w:rsidP="00E865FC">
            <w:pPr>
              <w:spacing w:after="0" w:line="240" w:lineRule="auto"/>
              <w:rPr>
                <w:rFonts w:ascii="Arial" w:eastAsia="Times New Roman" w:hAnsi="Arial" w:cs="Arial"/>
                <w:b/>
                <w:bCs/>
                <w:color w:val="000000"/>
                <w:sz w:val="16"/>
                <w:szCs w:val="16"/>
                <w:lang w:val="es-US" w:eastAsia="es-US"/>
              </w:rPr>
            </w:pPr>
          </w:p>
        </w:tc>
        <w:tc>
          <w:tcPr>
            <w:tcW w:w="160" w:type="dxa"/>
            <w:tcBorders>
              <w:top w:val="nil"/>
              <w:left w:val="nil"/>
              <w:bottom w:val="nil"/>
              <w:right w:val="nil"/>
            </w:tcBorders>
            <w:shd w:val="clear" w:color="auto" w:fill="auto"/>
            <w:noWrap/>
            <w:vAlign w:val="bottom"/>
            <w:hideMark/>
          </w:tcPr>
          <w:p w14:paraId="79F046A8" w14:textId="77777777" w:rsidR="00E865FC" w:rsidRPr="00E865FC" w:rsidRDefault="00E865FC" w:rsidP="00E865FC">
            <w:pPr>
              <w:spacing w:after="0" w:line="240" w:lineRule="auto"/>
              <w:jc w:val="center"/>
              <w:rPr>
                <w:rFonts w:ascii="Arial" w:eastAsia="Times New Roman" w:hAnsi="Arial" w:cs="Arial"/>
                <w:b/>
                <w:bCs/>
                <w:color w:val="000000"/>
                <w:sz w:val="16"/>
                <w:szCs w:val="16"/>
                <w:lang w:val="es-US" w:eastAsia="es-US"/>
              </w:rPr>
            </w:pPr>
          </w:p>
        </w:tc>
      </w:tr>
      <w:tr w:rsidR="00E865FC" w:rsidRPr="00E865FC" w14:paraId="08AE34D6" w14:textId="77777777" w:rsidTr="00452713">
        <w:trPr>
          <w:trHeight w:val="49"/>
        </w:trPr>
        <w:tc>
          <w:tcPr>
            <w:tcW w:w="993" w:type="dxa"/>
            <w:tcBorders>
              <w:top w:val="nil"/>
              <w:left w:val="single" w:sz="8" w:space="0" w:color="auto"/>
              <w:bottom w:val="single" w:sz="4" w:space="0" w:color="auto"/>
              <w:right w:val="single" w:sz="8" w:space="0" w:color="auto"/>
            </w:tcBorders>
            <w:shd w:val="clear" w:color="000000" w:fill="00B050"/>
            <w:noWrap/>
            <w:vAlign w:val="center"/>
            <w:hideMark/>
          </w:tcPr>
          <w:p w14:paraId="7CB52D06" w14:textId="77777777" w:rsidR="00E865FC" w:rsidRPr="00E865FC" w:rsidRDefault="00E865FC" w:rsidP="00E865FC">
            <w:pPr>
              <w:spacing w:after="0" w:line="240" w:lineRule="auto"/>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0</w:t>
            </w:r>
          </w:p>
        </w:tc>
        <w:tc>
          <w:tcPr>
            <w:tcW w:w="3969" w:type="dxa"/>
            <w:tcBorders>
              <w:top w:val="nil"/>
              <w:left w:val="nil"/>
              <w:bottom w:val="single" w:sz="4" w:space="0" w:color="auto"/>
              <w:right w:val="single" w:sz="8" w:space="0" w:color="auto"/>
            </w:tcBorders>
            <w:shd w:val="clear" w:color="000000" w:fill="00B050"/>
            <w:noWrap/>
            <w:vAlign w:val="center"/>
            <w:hideMark/>
          </w:tcPr>
          <w:p w14:paraId="4D8D4719" w14:textId="77777777" w:rsidR="00E865FC" w:rsidRPr="00E865FC" w:rsidRDefault="00E865FC" w:rsidP="00E865FC">
            <w:pPr>
              <w:spacing w:after="0" w:line="240" w:lineRule="auto"/>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Remuneraciones</w:t>
            </w:r>
          </w:p>
        </w:tc>
        <w:tc>
          <w:tcPr>
            <w:tcW w:w="1701" w:type="dxa"/>
            <w:tcBorders>
              <w:top w:val="nil"/>
              <w:left w:val="nil"/>
              <w:bottom w:val="single" w:sz="4" w:space="0" w:color="auto"/>
              <w:right w:val="single" w:sz="4" w:space="0" w:color="auto"/>
            </w:tcBorders>
            <w:shd w:val="clear" w:color="000000" w:fill="00B050"/>
            <w:noWrap/>
            <w:vAlign w:val="center"/>
            <w:hideMark/>
          </w:tcPr>
          <w:p w14:paraId="3FED771A"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 xml:space="preserve">                         432,380,453 </w:t>
            </w:r>
          </w:p>
        </w:tc>
        <w:tc>
          <w:tcPr>
            <w:tcW w:w="1417" w:type="dxa"/>
            <w:tcBorders>
              <w:top w:val="nil"/>
              <w:left w:val="nil"/>
              <w:bottom w:val="single" w:sz="4" w:space="0" w:color="auto"/>
              <w:right w:val="single" w:sz="4" w:space="0" w:color="auto"/>
            </w:tcBorders>
            <w:shd w:val="clear" w:color="000000" w:fill="00B050"/>
            <w:noWrap/>
            <w:vAlign w:val="center"/>
            <w:hideMark/>
          </w:tcPr>
          <w:p w14:paraId="13FF054D"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 xml:space="preserve">          85,799,510.49 </w:t>
            </w:r>
          </w:p>
        </w:tc>
        <w:tc>
          <w:tcPr>
            <w:tcW w:w="1232" w:type="dxa"/>
            <w:tcBorders>
              <w:top w:val="single" w:sz="4" w:space="0" w:color="auto"/>
              <w:left w:val="nil"/>
              <w:bottom w:val="single" w:sz="4" w:space="0" w:color="auto"/>
              <w:right w:val="single" w:sz="8" w:space="0" w:color="auto"/>
            </w:tcBorders>
            <w:shd w:val="clear" w:color="000000" w:fill="00B050"/>
            <w:noWrap/>
            <w:vAlign w:val="bottom"/>
            <w:hideMark/>
          </w:tcPr>
          <w:p w14:paraId="397B212E"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19.84%</w:t>
            </w:r>
          </w:p>
        </w:tc>
        <w:tc>
          <w:tcPr>
            <w:tcW w:w="160" w:type="dxa"/>
            <w:vAlign w:val="center"/>
            <w:hideMark/>
          </w:tcPr>
          <w:p w14:paraId="43B4C31E"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649F59C1"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1E2DAE8A"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0.01.01</w:t>
            </w:r>
          </w:p>
        </w:tc>
        <w:tc>
          <w:tcPr>
            <w:tcW w:w="3969" w:type="dxa"/>
            <w:tcBorders>
              <w:top w:val="nil"/>
              <w:left w:val="nil"/>
              <w:bottom w:val="single" w:sz="4" w:space="0" w:color="auto"/>
              <w:right w:val="single" w:sz="8" w:space="0" w:color="auto"/>
            </w:tcBorders>
            <w:shd w:val="clear" w:color="auto" w:fill="auto"/>
            <w:noWrap/>
            <w:vAlign w:val="center"/>
            <w:hideMark/>
          </w:tcPr>
          <w:p w14:paraId="598DB1D5"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Sueldos para cargos fijos</w:t>
            </w:r>
          </w:p>
        </w:tc>
        <w:tc>
          <w:tcPr>
            <w:tcW w:w="1701" w:type="dxa"/>
            <w:tcBorders>
              <w:top w:val="nil"/>
              <w:left w:val="nil"/>
              <w:bottom w:val="single" w:sz="4" w:space="0" w:color="auto"/>
              <w:right w:val="single" w:sz="4" w:space="0" w:color="auto"/>
            </w:tcBorders>
            <w:shd w:val="clear" w:color="auto" w:fill="auto"/>
            <w:noWrap/>
            <w:vAlign w:val="center"/>
            <w:hideMark/>
          </w:tcPr>
          <w:p w14:paraId="2BEC2015" w14:textId="77777777"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132,453,624</w:t>
            </w:r>
          </w:p>
        </w:tc>
        <w:tc>
          <w:tcPr>
            <w:tcW w:w="1417" w:type="dxa"/>
            <w:tcBorders>
              <w:top w:val="nil"/>
              <w:left w:val="nil"/>
              <w:bottom w:val="single" w:sz="4" w:space="0" w:color="auto"/>
              <w:right w:val="single" w:sz="4" w:space="0" w:color="auto"/>
            </w:tcBorders>
            <w:shd w:val="clear" w:color="auto" w:fill="auto"/>
            <w:noWrap/>
            <w:vAlign w:val="bottom"/>
            <w:hideMark/>
          </w:tcPr>
          <w:p w14:paraId="1C978818" w14:textId="77777777" w:rsidR="00E865FC" w:rsidRPr="00E865FC" w:rsidRDefault="00E865FC" w:rsidP="00860717">
            <w:pPr>
              <w:spacing w:after="0" w:line="240" w:lineRule="auto"/>
              <w:jc w:val="right"/>
              <w:rPr>
                <w:rFonts w:ascii="Arial" w:eastAsia="Times New Roman" w:hAnsi="Arial" w:cs="Arial"/>
                <w:color w:val="000000"/>
                <w:sz w:val="16"/>
                <w:szCs w:val="16"/>
                <w:lang w:val="es-US" w:eastAsia="es-US"/>
              </w:rPr>
            </w:pPr>
            <w:r w:rsidRPr="00E865FC">
              <w:rPr>
                <w:rFonts w:ascii="Arial" w:eastAsia="Times New Roman" w:hAnsi="Arial" w:cs="Arial"/>
                <w:color w:val="000000"/>
                <w:sz w:val="16"/>
                <w:szCs w:val="16"/>
                <w:lang w:val="es-US" w:eastAsia="es-US"/>
              </w:rPr>
              <w:t xml:space="preserve">                   63,255,951 </w:t>
            </w:r>
          </w:p>
        </w:tc>
        <w:tc>
          <w:tcPr>
            <w:tcW w:w="1232" w:type="dxa"/>
            <w:tcBorders>
              <w:top w:val="nil"/>
              <w:left w:val="nil"/>
              <w:bottom w:val="single" w:sz="4" w:space="0" w:color="auto"/>
              <w:right w:val="single" w:sz="8" w:space="0" w:color="auto"/>
            </w:tcBorders>
            <w:shd w:val="clear" w:color="auto" w:fill="auto"/>
            <w:noWrap/>
            <w:vAlign w:val="bottom"/>
            <w:hideMark/>
          </w:tcPr>
          <w:p w14:paraId="7C4CB89D"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47.76%</w:t>
            </w:r>
          </w:p>
        </w:tc>
        <w:tc>
          <w:tcPr>
            <w:tcW w:w="160" w:type="dxa"/>
            <w:vAlign w:val="center"/>
            <w:hideMark/>
          </w:tcPr>
          <w:p w14:paraId="26534C35"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7EEDCE0F"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50432C69"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0.01.03</w:t>
            </w:r>
          </w:p>
        </w:tc>
        <w:tc>
          <w:tcPr>
            <w:tcW w:w="3969" w:type="dxa"/>
            <w:tcBorders>
              <w:top w:val="nil"/>
              <w:left w:val="nil"/>
              <w:bottom w:val="single" w:sz="4" w:space="0" w:color="auto"/>
              <w:right w:val="single" w:sz="8" w:space="0" w:color="auto"/>
            </w:tcBorders>
            <w:shd w:val="clear" w:color="auto" w:fill="auto"/>
            <w:noWrap/>
            <w:vAlign w:val="center"/>
            <w:hideMark/>
          </w:tcPr>
          <w:p w14:paraId="3C0B962E"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Servicios especiales </w:t>
            </w:r>
          </w:p>
        </w:tc>
        <w:tc>
          <w:tcPr>
            <w:tcW w:w="1701" w:type="dxa"/>
            <w:tcBorders>
              <w:top w:val="nil"/>
              <w:left w:val="nil"/>
              <w:bottom w:val="single" w:sz="4" w:space="0" w:color="auto"/>
              <w:right w:val="single" w:sz="4" w:space="0" w:color="auto"/>
            </w:tcBorders>
            <w:shd w:val="clear" w:color="auto" w:fill="auto"/>
            <w:noWrap/>
            <w:vAlign w:val="center"/>
            <w:hideMark/>
          </w:tcPr>
          <w:p w14:paraId="238D3AFB" w14:textId="69F7EC1F"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176,400,000 </w:t>
            </w:r>
          </w:p>
        </w:tc>
        <w:tc>
          <w:tcPr>
            <w:tcW w:w="1417" w:type="dxa"/>
            <w:tcBorders>
              <w:top w:val="nil"/>
              <w:left w:val="nil"/>
              <w:bottom w:val="single" w:sz="4" w:space="0" w:color="auto"/>
              <w:right w:val="single" w:sz="4" w:space="0" w:color="auto"/>
            </w:tcBorders>
            <w:shd w:val="clear" w:color="auto" w:fill="auto"/>
            <w:noWrap/>
            <w:vAlign w:val="center"/>
            <w:hideMark/>
          </w:tcPr>
          <w:p w14:paraId="7C1C619B" w14:textId="1B642F26"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3,626,023</w:t>
            </w:r>
          </w:p>
        </w:tc>
        <w:tc>
          <w:tcPr>
            <w:tcW w:w="1232" w:type="dxa"/>
            <w:tcBorders>
              <w:top w:val="nil"/>
              <w:left w:val="nil"/>
              <w:bottom w:val="single" w:sz="4" w:space="0" w:color="auto"/>
              <w:right w:val="single" w:sz="8" w:space="0" w:color="auto"/>
            </w:tcBorders>
            <w:shd w:val="clear" w:color="auto" w:fill="auto"/>
            <w:noWrap/>
            <w:vAlign w:val="bottom"/>
            <w:hideMark/>
          </w:tcPr>
          <w:p w14:paraId="67D980E0"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2.06%</w:t>
            </w:r>
          </w:p>
        </w:tc>
        <w:tc>
          <w:tcPr>
            <w:tcW w:w="160" w:type="dxa"/>
            <w:vAlign w:val="center"/>
            <w:hideMark/>
          </w:tcPr>
          <w:p w14:paraId="1E31FE19"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3CDD91F9"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04071282"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0.03.03</w:t>
            </w:r>
          </w:p>
        </w:tc>
        <w:tc>
          <w:tcPr>
            <w:tcW w:w="3969" w:type="dxa"/>
            <w:tcBorders>
              <w:top w:val="nil"/>
              <w:left w:val="nil"/>
              <w:bottom w:val="single" w:sz="4" w:space="0" w:color="auto"/>
              <w:right w:val="single" w:sz="8" w:space="0" w:color="auto"/>
            </w:tcBorders>
            <w:shd w:val="clear" w:color="auto" w:fill="auto"/>
            <w:noWrap/>
            <w:vAlign w:val="center"/>
            <w:hideMark/>
          </w:tcPr>
          <w:p w14:paraId="1E5DBED9"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Decimotercer mes</w:t>
            </w:r>
          </w:p>
        </w:tc>
        <w:tc>
          <w:tcPr>
            <w:tcW w:w="1701" w:type="dxa"/>
            <w:tcBorders>
              <w:top w:val="nil"/>
              <w:left w:val="nil"/>
              <w:bottom w:val="single" w:sz="4" w:space="0" w:color="auto"/>
              <w:right w:val="single" w:sz="4" w:space="0" w:color="auto"/>
            </w:tcBorders>
            <w:shd w:val="clear" w:color="auto" w:fill="auto"/>
            <w:noWrap/>
            <w:vAlign w:val="center"/>
            <w:hideMark/>
          </w:tcPr>
          <w:p w14:paraId="0D6F5876" w14:textId="039D3A94"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25,835,816</w:t>
            </w:r>
          </w:p>
        </w:tc>
        <w:tc>
          <w:tcPr>
            <w:tcW w:w="1417" w:type="dxa"/>
            <w:tcBorders>
              <w:top w:val="nil"/>
              <w:left w:val="nil"/>
              <w:bottom w:val="single" w:sz="4" w:space="0" w:color="auto"/>
              <w:right w:val="single" w:sz="4" w:space="0" w:color="auto"/>
            </w:tcBorders>
            <w:shd w:val="clear" w:color="auto" w:fill="auto"/>
            <w:noWrap/>
            <w:vAlign w:val="center"/>
            <w:hideMark/>
          </w:tcPr>
          <w:p w14:paraId="03A1613E" w14:textId="77777777"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   </w:t>
            </w:r>
          </w:p>
        </w:tc>
        <w:tc>
          <w:tcPr>
            <w:tcW w:w="1232" w:type="dxa"/>
            <w:tcBorders>
              <w:top w:val="nil"/>
              <w:left w:val="nil"/>
              <w:bottom w:val="single" w:sz="4" w:space="0" w:color="auto"/>
              <w:right w:val="single" w:sz="8" w:space="0" w:color="auto"/>
            </w:tcBorders>
            <w:shd w:val="clear" w:color="auto" w:fill="auto"/>
            <w:noWrap/>
            <w:vAlign w:val="bottom"/>
            <w:hideMark/>
          </w:tcPr>
          <w:p w14:paraId="611C27BE"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0.00%</w:t>
            </w:r>
          </w:p>
        </w:tc>
        <w:tc>
          <w:tcPr>
            <w:tcW w:w="160" w:type="dxa"/>
            <w:vAlign w:val="center"/>
            <w:hideMark/>
          </w:tcPr>
          <w:p w14:paraId="102D81E9"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16D99797"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1B35DE7E"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0.04.01</w:t>
            </w:r>
          </w:p>
        </w:tc>
        <w:tc>
          <w:tcPr>
            <w:tcW w:w="3969" w:type="dxa"/>
            <w:tcBorders>
              <w:top w:val="nil"/>
              <w:left w:val="nil"/>
              <w:bottom w:val="single" w:sz="4" w:space="0" w:color="auto"/>
              <w:right w:val="single" w:sz="8" w:space="0" w:color="auto"/>
            </w:tcBorders>
            <w:shd w:val="clear" w:color="auto" w:fill="auto"/>
            <w:noWrap/>
            <w:vAlign w:val="center"/>
            <w:hideMark/>
          </w:tcPr>
          <w:p w14:paraId="7CA543DD"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Contribución patronal al Seguro de Salud de la Caja Costarricense del Seguro Social</w:t>
            </w:r>
          </w:p>
        </w:tc>
        <w:tc>
          <w:tcPr>
            <w:tcW w:w="1701" w:type="dxa"/>
            <w:tcBorders>
              <w:top w:val="nil"/>
              <w:left w:val="nil"/>
              <w:bottom w:val="single" w:sz="4" w:space="0" w:color="auto"/>
              <w:right w:val="single" w:sz="4" w:space="0" w:color="auto"/>
            </w:tcBorders>
            <w:shd w:val="clear" w:color="auto" w:fill="auto"/>
            <w:noWrap/>
            <w:vAlign w:val="center"/>
            <w:hideMark/>
          </w:tcPr>
          <w:p w14:paraId="6B29690C" w14:textId="2C50CCFE"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28,689,744</w:t>
            </w:r>
          </w:p>
        </w:tc>
        <w:tc>
          <w:tcPr>
            <w:tcW w:w="1417" w:type="dxa"/>
            <w:tcBorders>
              <w:top w:val="nil"/>
              <w:left w:val="nil"/>
              <w:bottom w:val="single" w:sz="4" w:space="0" w:color="auto"/>
              <w:right w:val="single" w:sz="4" w:space="0" w:color="auto"/>
            </w:tcBorders>
            <w:shd w:val="clear" w:color="auto" w:fill="auto"/>
            <w:noWrap/>
            <w:vAlign w:val="center"/>
            <w:hideMark/>
          </w:tcPr>
          <w:p w14:paraId="2EAFE3A0" w14:textId="6BD1972D"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5,901,931</w:t>
            </w:r>
          </w:p>
        </w:tc>
        <w:tc>
          <w:tcPr>
            <w:tcW w:w="1232" w:type="dxa"/>
            <w:tcBorders>
              <w:top w:val="nil"/>
              <w:left w:val="nil"/>
              <w:bottom w:val="single" w:sz="4" w:space="0" w:color="auto"/>
              <w:right w:val="single" w:sz="8" w:space="0" w:color="auto"/>
            </w:tcBorders>
            <w:shd w:val="clear" w:color="auto" w:fill="auto"/>
            <w:noWrap/>
            <w:vAlign w:val="bottom"/>
            <w:hideMark/>
          </w:tcPr>
          <w:p w14:paraId="2CBC4B1E"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20.57%</w:t>
            </w:r>
          </w:p>
        </w:tc>
        <w:tc>
          <w:tcPr>
            <w:tcW w:w="160" w:type="dxa"/>
            <w:vAlign w:val="center"/>
            <w:hideMark/>
          </w:tcPr>
          <w:p w14:paraId="4E9A7725"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0B26303C"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34994AD5"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0.04.02</w:t>
            </w:r>
          </w:p>
        </w:tc>
        <w:tc>
          <w:tcPr>
            <w:tcW w:w="3969" w:type="dxa"/>
            <w:tcBorders>
              <w:top w:val="nil"/>
              <w:left w:val="nil"/>
              <w:bottom w:val="single" w:sz="4" w:space="0" w:color="auto"/>
              <w:right w:val="single" w:sz="8" w:space="0" w:color="auto"/>
            </w:tcBorders>
            <w:shd w:val="clear" w:color="auto" w:fill="auto"/>
            <w:noWrap/>
            <w:vAlign w:val="center"/>
            <w:hideMark/>
          </w:tcPr>
          <w:p w14:paraId="77D89216"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Contribución Patronal al Instituto Mixto de Ayuda Social</w:t>
            </w:r>
          </w:p>
        </w:tc>
        <w:tc>
          <w:tcPr>
            <w:tcW w:w="1701" w:type="dxa"/>
            <w:tcBorders>
              <w:top w:val="nil"/>
              <w:left w:val="nil"/>
              <w:bottom w:val="single" w:sz="4" w:space="0" w:color="auto"/>
              <w:right w:val="single" w:sz="4" w:space="0" w:color="auto"/>
            </w:tcBorders>
            <w:shd w:val="clear" w:color="auto" w:fill="auto"/>
            <w:noWrap/>
            <w:vAlign w:val="center"/>
            <w:hideMark/>
          </w:tcPr>
          <w:p w14:paraId="4A69457C" w14:textId="137CF035"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1,550,281 </w:t>
            </w:r>
          </w:p>
        </w:tc>
        <w:tc>
          <w:tcPr>
            <w:tcW w:w="1417" w:type="dxa"/>
            <w:tcBorders>
              <w:top w:val="nil"/>
              <w:left w:val="nil"/>
              <w:bottom w:val="single" w:sz="4" w:space="0" w:color="auto"/>
              <w:right w:val="single" w:sz="4" w:space="0" w:color="auto"/>
            </w:tcBorders>
            <w:shd w:val="clear" w:color="auto" w:fill="auto"/>
            <w:noWrap/>
            <w:vAlign w:val="center"/>
            <w:hideMark/>
          </w:tcPr>
          <w:p w14:paraId="439B8AAD" w14:textId="1F8181BE"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319,023</w:t>
            </w:r>
          </w:p>
        </w:tc>
        <w:tc>
          <w:tcPr>
            <w:tcW w:w="1232" w:type="dxa"/>
            <w:tcBorders>
              <w:top w:val="nil"/>
              <w:left w:val="nil"/>
              <w:bottom w:val="single" w:sz="4" w:space="0" w:color="auto"/>
              <w:right w:val="single" w:sz="8" w:space="0" w:color="auto"/>
            </w:tcBorders>
            <w:shd w:val="clear" w:color="auto" w:fill="auto"/>
            <w:noWrap/>
            <w:vAlign w:val="bottom"/>
            <w:hideMark/>
          </w:tcPr>
          <w:p w14:paraId="4123E684"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20.58%</w:t>
            </w:r>
          </w:p>
        </w:tc>
        <w:tc>
          <w:tcPr>
            <w:tcW w:w="160" w:type="dxa"/>
            <w:vAlign w:val="center"/>
            <w:hideMark/>
          </w:tcPr>
          <w:p w14:paraId="194F1D5D"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75C59907"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53153128"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0.04.03</w:t>
            </w:r>
          </w:p>
        </w:tc>
        <w:tc>
          <w:tcPr>
            <w:tcW w:w="3969" w:type="dxa"/>
            <w:tcBorders>
              <w:top w:val="nil"/>
              <w:left w:val="nil"/>
              <w:bottom w:val="single" w:sz="4" w:space="0" w:color="auto"/>
              <w:right w:val="single" w:sz="8" w:space="0" w:color="auto"/>
            </w:tcBorders>
            <w:shd w:val="clear" w:color="auto" w:fill="auto"/>
            <w:noWrap/>
            <w:vAlign w:val="center"/>
            <w:hideMark/>
          </w:tcPr>
          <w:p w14:paraId="6F0BB0AF"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Contribución Patronal al Instituto Nacional de Aprendizaje</w:t>
            </w:r>
          </w:p>
        </w:tc>
        <w:tc>
          <w:tcPr>
            <w:tcW w:w="1701" w:type="dxa"/>
            <w:tcBorders>
              <w:top w:val="nil"/>
              <w:left w:val="nil"/>
              <w:bottom w:val="single" w:sz="4" w:space="0" w:color="auto"/>
              <w:right w:val="single" w:sz="4" w:space="0" w:color="auto"/>
            </w:tcBorders>
            <w:shd w:val="clear" w:color="auto" w:fill="auto"/>
            <w:noWrap/>
            <w:vAlign w:val="center"/>
            <w:hideMark/>
          </w:tcPr>
          <w:p w14:paraId="2E860BA8" w14:textId="3FFFF349"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4,650,866</w:t>
            </w:r>
          </w:p>
        </w:tc>
        <w:tc>
          <w:tcPr>
            <w:tcW w:w="1417" w:type="dxa"/>
            <w:tcBorders>
              <w:top w:val="nil"/>
              <w:left w:val="nil"/>
              <w:bottom w:val="single" w:sz="4" w:space="0" w:color="auto"/>
              <w:right w:val="single" w:sz="4" w:space="0" w:color="auto"/>
            </w:tcBorders>
            <w:shd w:val="clear" w:color="auto" w:fill="auto"/>
            <w:noWrap/>
            <w:vAlign w:val="center"/>
            <w:hideMark/>
          </w:tcPr>
          <w:p w14:paraId="6779FD07" w14:textId="77777777"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957,070.00 </w:t>
            </w:r>
          </w:p>
        </w:tc>
        <w:tc>
          <w:tcPr>
            <w:tcW w:w="1232" w:type="dxa"/>
            <w:tcBorders>
              <w:top w:val="nil"/>
              <w:left w:val="nil"/>
              <w:bottom w:val="single" w:sz="4" w:space="0" w:color="auto"/>
              <w:right w:val="single" w:sz="8" w:space="0" w:color="auto"/>
            </w:tcBorders>
            <w:shd w:val="clear" w:color="auto" w:fill="auto"/>
            <w:noWrap/>
            <w:vAlign w:val="bottom"/>
            <w:hideMark/>
          </w:tcPr>
          <w:p w14:paraId="4DECDCF2"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20.58%</w:t>
            </w:r>
          </w:p>
        </w:tc>
        <w:tc>
          <w:tcPr>
            <w:tcW w:w="160" w:type="dxa"/>
            <w:vAlign w:val="center"/>
            <w:hideMark/>
          </w:tcPr>
          <w:p w14:paraId="12E4FCDE"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7BD978C9"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388C8D37"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0.04.04 </w:t>
            </w:r>
          </w:p>
        </w:tc>
        <w:tc>
          <w:tcPr>
            <w:tcW w:w="3969" w:type="dxa"/>
            <w:tcBorders>
              <w:top w:val="nil"/>
              <w:left w:val="nil"/>
              <w:bottom w:val="single" w:sz="4" w:space="0" w:color="auto"/>
              <w:right w:val="single" w:sz="8" w:space="0" w:color="auto"/>
            </w:tcBorders>
            <w:shd w:val="clear" w:color="auto" w:fill="auto"/>
            <w:noWrap/>
            <w:vAlign w:val="center"/>
            <w:hideMark/>
          </w:tcPr>
          <w:p w14:paraId="03125193"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Contribución Patronal al Fondo de Desarrollo Social y Asignaciones Familiares</w:t>
            </w:r>
          </w:p>
        </w:tc>
        <w:tc>
          <w:tcPr>
            <w:tcW w:w="1701" w:type="dxa"/>
            <w:tcBorders>
              <w:top w:val="nil"/>
              <w:left w:val="nil"/>
              <w:bottom w:val="single" w:sz="4" w:space="0" w:color="auto"/>
              <w:right w:val="single" w:sz="4" w:space="0" w:color="auto"/>
            </w:tcBorders>
            <w:shd w:val="clear" w:color="auto" w:fill="auto"/>
            <w:noWrap/>
            <w:vAlign w:val="center"/>
            <w:hideMark/>
          </w:tcPr>
          <w:p w14:paraId="70D018AA" w14:textId="1ACA2CBC"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15,506,918 </w:t>
            </w:r>
          </w:p>
        </w:tc>
        <w:tc>
          <w:tcPr>
            <w:tcW w:w="1417" w:type="dxa"/>
            <w:tcBorders>
              <w:top w:val="nil"/>
              <w:left w:val="nil"/>
              <w:bottom w:val="single" w:sz="4" w:space="0" w:color="auto"/>
              <w:right w:val="single" w:sz="4" w:space="0" w:color="auto"/>
            </w:tcBorders>
            <w:shd w:val="clear" w:color="auto" w:fill="auto"/>
            <w:noWrap/>
            <w:vAlign w:val="center"/>
            <w:hideMark/>
          </w:tcPr>
          <w:p w14:paraId="7A4F2EAA" w14:textId="4CB2C6BA"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3,190,233</w:t>
            </w:r>
          </w:p>
        </w:tc>
        <w:tc>
          <w:tcPr>
            <w:tcW w:w="1232" w:type="dxa"/>
            <w:tcBorders>
              <w:top w:val="nil"/>
              <w:left w:val="nil"/>
              <w:bottom w:val="single" w:sz="4" w:space="0" w:color="auto"/>
              <w:right w:val="single" w:sz="8" w:space="0" w:color="auto"/>
            </w:tcBorders>
            <w:shd w:val="clear" w:color="auto" w:fill="auto"/>
            <w:noWrap/>
            <w:vAlign w:val="bottom"/>
            <w:hideMark/>
          </w:tcPr>
          <w:p w14:paraId="4ABE18BB"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20.57%</w:t>
            </w:r>
          </w:p>
        </w:tc>
        <w:tc>
          <w:tcPr>
            <w:tcW w:w="160" w:type="dxa"/>
            <w:vAlign w:val="center"/>
            <w:hideMark/>
          </w:tcPr>
          <w:p w14:paraId="79C7AA34"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5C215D1E"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60FBA670"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0.04.05</w:t>
            </w:r>
          </w:p>
        </w:tc>
        <w:tc>
          <w:tcPr>
            <w:tcW w:w="3969" w:type="dxa"/>
            <w:tcBorders>
              <w:top w:val="nil"/>
              <w:left w:val="nil"/>
              <w:bottom w:val="single" w:sz="4" w:space="0" w:color="auto"/>
              <w:right w:val="single" w:sz="8" w:space="0" w:color="auto"/>
            </w:tcBorders>
            <w:shd w:val="clear" w:color="auto" w:fill="auto"/>
            <w:noWrap/>
            <w:vAlign w:val="center"/>
            <w:hideMark/>
          </w:tcPr>
          <w:p w14:paraId="312CF46D"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Contribución patronal al Banco Popular y Desarrollo Comunal</w:t>
            </w:r>
          </w:p>
        </w:tc>
        <w:tc>
          <w:tcPr>
            <w:tcW w:w="1701" w:type="dxa"/>
            <w:tcBorders>
              <w:top w:val="nil"/>
              <w:left w:val="nil"/>
              <w:bottom w:val="single" w:sz="4" w:space="0" w:color="auto"/>
              <w:right w:val="single" w:sz="4" w:space="0" w:color="auto"/>
            </w:tcBorders>
            <w:shd w:val="clear" w:color="auto" w:fill="auto"/>
            <w:noWrap/>
            <w:vAlign w:val="center"/>
            <w:hideMark/>
          </w:tcPr>
          <w:p w14:paraId="24A9B5FE" w14:textId="4D311DF6"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1,550,281</w:t>
            </w:r>
          </w:p>
        </w:tc>
        <w:tc>
          <w:tcPr>
            <w:tcW w:w="1417" w:type="dxa"/>
            <w:tcBorders>
              <w:top w:val="nil"/>
              <w:left w:val="nil"/>
              <w:bottom w:val="single" w:sz="4" w:space="0" w:color="auto"/>
              <w:right w:val="single" w:sz="4" w:space="0" w:color="auto"/>
            </w:tcBorders>
            <w:shd w:val="clear" w:color="auto" w:fill="auto"/>
            <w:noWrap/>
            <w:vAlign w:val="center"/>
            <w:hideMark/>
          </w:tcPr>
          <w:p w14:paraId="1DB79430" w14:textId="5726488B"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319,024</w:t>
            </w:r>
          </w:p>
        </w:tc>
        <w:tc>
          <w:tcPr>
            <w:tcW w:w="1232" w:type="dxa"/>
            <w:tcBorders>
              <w:top w:val="nil"/>
              <w:left w:val="nil"/>
              <w:bottom w:val="single" w:sz="4" w:space="0" w:color="auto"/>
              <w:right w:val="single" w:sz="8" w:space="0" w:color="auto"/>
            </w:tcBorders>
            <w:shd w:val="clear" w:color="auto" w:fill="auto"/>
            <w:noWrap/>
            <w:vAlign w:val="bottom"/>
            <w:hideMark/>
          </w:tcPr>
          <w:p w14:paraId="26BCB0C8"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20.58%</w:t>
            </w:r>
          </w:p>
        </w:tc>
        <w:tc>
          <w:tcPr>
            <w:tcW w:w="160" w:type="dxa"/>
            <w:vAlign w:val="center"/>
            <w:hideMark/>
          </w:tcPr>
          <w:p w14:paraId="2FD6BD1A"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5D3F7CCC"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06FE3D77"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0.05.01</w:t>
            </w:r>
          </w:p>
        </w:tc>
        <w:tc>
          <w:tcPr>
            <w:tcW w:w="3969" w:type="dxa"/>
            <w:tcBorders>
              <w:top w:val="nil"/>
              <w:left w:val="nil"/>
              <w:bottom w:val="single" w:sz="4" w:space="0" w:color="auto"/>
              <w:right w:val="single" w:sz="8" w:space="0" w:color="auto"/>
            </w:tcBorders>
            <w:shd w:val="clear" w:color="auto" w:fill="auto"/>
            <w:noWrap/>
            <w:vAlign w:val="center"/>
            <w:hideMark/>
          </w:tcPr>
          <w:p w14:paraId="6288B17B"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Contribución Patronal al Seguro de Pensiones de la Caja Costarricense del Seguro Social</w:t>
            </w:r>
          </w:p>
        </w:tc>
        <w:tc>
          <w:tcPr>
            <w:tcW w:w="1701" w:type="dxa"/>
            <w:tcBorders>
              <w:top w:val="nil"/>
              <w:left w:val="nil"/>
              <w:bottom w:val="single" w:sz="4" w:space="0" w:color="auto"/>
              <w:right w:val="single" w:sz="4" w:space="0" w:color="auto"/>
            </w:tcBorders>
            <w:shd w:val="clear" w:color="auto" w:fill="auto"/>
            <w:noWrap/>
            <w:vAlign w:val="center"/>
            <w:hideMark/>
          </w:tcPr>
          <w:p w14:paraId="310D9ED1" w14:textId="2571BF9C"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16,282,062 </w:t>
            </w:r>
          </w:p>
        </w:tc>
        <w:tc>
          <w:tcPr>
            <w:tcW w:w="1417" w:type="dxa"/>
            <w:tcBorders>
              <w:top w:val="nil"/>
              <w:left w:val="nil"/>
              <w:bottom w:val="single" w:sz="4" w:space="0" w:color="auto"/>
              <w:right w:val="single" w:sz="4" w:space="0" w:color="auto"/>
            </w:tcBorders>
            <w:shd w:val="clear" w:color="auto" w:fill="auto"/>
            <w:noWrap/>
            <w:vAlign w:val="center"/>
            <w:hideMark/>
          </w:tcPr>
          <w:p w14:paraId="72927750" w14:textId="2CABD9A6"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3,213,958 </w:t>
            </w:r>
          </w:p>
        </w:tc>
        <w:tc>
          <w:tcPr>
            <w:tcW w:w="1232" w:type="dxa"/>
            <w:tcBorders>
              <w:top w:val="nil"/>
              <w:left w:val="nil"/>
              <w:bottom w:val="single" w:sz="4" w:space="0" w:color="auto"/>
              <w:right w:val="single" w:sz="8" w:space="0" w:color="auto"/>
            </w:tcBorders>
            <w:shd w:val="clear" w:color="auto" w:fill="auto"/>
            <w:noWrap/>
            <w:vAlign w:val="bottom"/>
            <w:hideMark/>
          </w:tcPr>
          <w:p w14:paraId="77F82B86"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19.74%</w:t>
            </w:r>
          </w:p>
        </w:tc>
        <w:tc>
          <w:tcPr>
            <w:tcW w:w="160" w:type="dxa"/>
            <w:vAlign w:val="center"/>
            <w:hideMark/>
          </w:tcPr>
          <w:p w14:paraId="06AAB070"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791CF7C7"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67A37C38"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0.05.02</w:t>
            </w:r>
          </w:p>
        </w:tc>
        <w:tc>
          <w:tcPr>
            <w:tcW w:w="3969" w:type="dxa"/>
            <w:tcBorders>
              <w:top w:val="nil"/>
              <w:left w:val="nil"/>
              <w:bottom w:val="single" w:sz="4" w:space="0" w:color="auto"/>
              <w:right w:val="single" w:sz="8" w:space="0" w:color="auto"/>
            </w:tcBorders>
            <w:shd w:val="clear" w:color="auto" w:fill="auto"/>
            <w:noWrap/>
            <w:vAlign w:val="center"/>
            <w:hideMark/>
          </w:tcPr>
          <w:p w14:paraId="05E14F95"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Aporte Patronal al Régimen obligatorio de pensiones complementarias</w:t>
            </w:r>
          </w:p>
        </w:tc>
        <w:tc>
          <w:tcPr>
            <w:tcW w:w="1701" w:type="dxa"/>
            <w:tcBorders>
              <w:top w:val="nil"/>
              <w:left w:val="nil"/>
              <w:bottom w:val="single" w:sz="4" w:space="0" w:color="auto"/>
              <w:right w:val="single" w:sz="4" w:space="0" w:color="auto"/>
            </w:tcBorders>
            <w:shd w:val="clear" w:color="auto" w:fill="auto"/>
            <w:noWrap/>
            <w:vAlign w:val="center"/>
            <w:hideMark/>
          </w:tcPr>
          <w:p w14:paraId="2FB6B570" w14:textId="50660934"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9,303,077</w:t>
            </w:r>
          </w:p>
        </w:tc>
        <w:tc>
          <w:tcPr>
            <w:tcW w:w="1417" w:type="dxa"/>
            <w:tcBorders>
              <w:top w:val="nil"/>
              <w:left w:val="nil"/>
              <w:bottom w:val="single" w:sz="4" w:space="0" w:color="auto"/>
              <w:right w:val="single" w:sz="4" w:space="0" w:color="auto"/>
            </w:tcBorders>
            <w:shd w:val="clear" w:color="auto" w:fill="auto"/>
            <w:noWrap/>
            <w:vAlign w:val="center"/>
            <w:hideMark/>
          </w:tcPr>
          <w:p w14:paraId="0F5B46E8" w14:textId="20A818A4"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1,914,153</w:t>
            </w:r>
          </w:p>
        </w:tc>
        <w:tc>
          <w:tcPr>
            <w:tcW w:w="1232" w:type="dxa"/>
            <w:tcBorders>
              <w:top w:val="nil"/>
              <w:left w:val="nil"/>
              <w:bottom w:val="single" w:sz="4" w:space="0" w:color="auto"/>
              <w:right w:val="single" w:sz="8" w:space="0" w:color="auto"/>
            </w:tcBorders>
            <w:shd w:val="clear" w:color="auto" w:fill="auto"/>
            <w:noWrap/>
            <w:vAlign w:val="bottom"/>
            <w:hideMark/>
          </w:tcPr>
          <w:p w14:paraId="3BBBF51E"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20.58%</w:t>
            </w:r>
          </w:p>
        </w:tc>
        <w:tc>
          <w:tcPr>
            <w:tcW w:w="160" w:type="dxa"/>
            <w:vAlign w:val="center"/>
            <w:hideMark/>
          </w:tcPr>
          <w:p w14:paraId="34B75AA3"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4B87B4C4"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675A81F4"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0.05.03</w:t>
            </w:r>
          </w:p>
        </w:tc>
        <w:tc>
          <w:tcPr>
            <w:tcW w:w="3969" w:type="dxa"/>
            <w:tcBorders>
              <w:top w:val="nil"/>
              <w:left w:val="nil"/>
              <w:bottom w:val="single" w:sz="4" w:space="0" w:color="auto"/>
              <w:right w:val="single" w:sz="8" w:space="0" w:color="auto"/>
            </w:tcBorders>
            <w:shd w:val="clear" w:color="auto" w:fill="auto"/>
            <w:noWrap/>
            <w:vAlign w:val="center"/>
            <w:hideMark/>
          </w:tcPr>
          <w:p w14:paraId="163866CD"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Aporte Patronal al Fondo de Capitalización Laboral</w:t>
            </w:r>
          </w:p>
        </w:tc>
        <w:tc>
          <w:tcPr>
            <w:tcW w:w="1701" w:type="dxa"/>
            <w:tcBorders>
              <w:top w:val="nil"/>
              <w:left w:val="nil"/>
              <w:bottom w:val="single" w:sz="4" w:space="0" w:color="auto"/>
              <w:right w:val="single" w:sz="4" w:space="0" w:color="auto"/>
            </w:tcBorders>
            <w:shd w:val="clear" w:color="auto" w:fill="auto"/>
            <w:noWrap/>
            <w:vAlign w:val="center"/>
            <w:hideMark/>
          </w:tcPr>
          <w:p w14:paraId="0CCC954D" w14:textId="36B82103"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4,650,866</w:t>
            </w:r>
          </w:p>
        </w:tc>
        <w:tc>
          <w:tcPr>
            <w:tcW w:w="1417" w:type="dxa"/>
            <w:tcBorders>
              <w:top w:val="nil"/>
              <w:left w:val="nil"/>
              <w:bottom w:val="single" w:sz="4" w:space="0" w:color="auto"/>
              <w:right w:val="single" w:sz="4" w:space="0" w:color="auto"/>
            </w:tcBorders>
            <w:shd w:val="clear" w:color="auto" w:fill="auto"/>
            <w:noWrap/>
            <w:vAlign w:val="center"/>
            <w:hideMark/>
          </w:tcPr>
          <w:p w14:paraId="1F8861BF" w14:textId="12527B4D"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957,076</w:t>
            </w:r>
          </w:p>
        </w:tc>
        <w:tc>
          <w:tcPr>
            <w:tcW w:w="1232" w:type="dxa"/>
            <w:tcBorders>
              <w:top w:val="nil"/>
              <w:left w:val="nil"/>
              <w:bottom w:val="single" w:sz="4" w:space="0" w:color="auto"/>
              <w:right w:val="single" w:sz="8" w:space="0" w:color="auto"/>
            </w:tcBorders>
            <w:shd w:val="clear" w:color="auto" w:fill="auto"/>
            <w:noWrap/>
            <w:vAlign w:val="bottom"/>
            <w:hideMark/>
          </w:tcPr>
          <w:p w14:paraId="4E1AADC2"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20.58%</w:t>
            </w:r>
          </w:p>
        </w:tc>
        <w:tc>
          <w:tcPr>
            <w:tcW w:w="160" w:type="dxa"/>
            <w:vAlign w:val="center"/>
            <w:hideMark/>
          </w:tcPr>
          <w:p w14:paraId="7088CF5A"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r w:rsidR="00860717" w:rsidRPr="00E865FC" w14:paraId="43547D46" w14:textId="77777777" w:rsidTr="00452713">
        <w:trPr>
          <w:trHeight w:val="29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302EB3D2"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0.05.05</w:t>
            </w:r>
          </w:p>
        </w:tc>
        <w:tc>
          <w:tcPr>
            <w:tcW w:w="3969" w:type="dxa"/>
            <w:tcBorders>
              <w:top w:val="nil"/>
              <w:left w:val="nil"/>
              <w:bottom w:val="single" w:sz="4" w:space="0" w:color="auto"/>
              <w:right w:val="single" w:sz="8" w:space="0" w:color="auto"/>
            </w:tcBorders>
            <w:shd w:val="clear" w:color="auto" w:fill="auto"/>
            <w:noWrap/>
            <w:vAlign w:val="center"/>
            <w:hideMark/>
          </w:tcPr>
          <w:p w14:paraId="0AB5595B" w14:textId="77777777" w:rsidR="00E865FC" w:rsidRPr="00E865FC" w:rsidRDefault="00E865FC" w:rsidP="00E865FC">
            <w:pPr>
              <w:spacing w:after="0" w:line="240" w:lineRule="auto"/>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Contribución patronal a fondos administrados por entes privados</w:t>
            </w:r>
          </w:p>
        </w:tc>
        <w:tc>
          <w:tcPr>
            <w:tcW w:w="1701" w:type="dxa"/>
            <w:tcBorders>
              <w:top w:val="nil"/>
              <w:left w:val="nil"/>
              <w:bottom w:val="single" w:sz="4" w:space="0" w:color="auto"/>
              <w:right w:val="single" w:sz="4" w:space="0" w:color="auto"/>
            </w:tcBorders>
            <w:shd w:val="clear" w:color="auto" w:fill="auto"/>
            <w:noWrap/>
            <w:vAlign w:val="center"/>
            <w:hideMark/>
          </w:tcPr>
          <w:p w14:paraId="6A31B845" w14:textId="186DD192"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15,506,918</w:t>
            </w:r>
          </w:p>
        </w:tc>
        <w:tc>
          <w:tcPr>
            <w:tcW w:w="1417" w:type="dxa"/>
            <w:tcBorders>
              <w:top w:val="nil"/>
              <w:left w:val="nil"/>
              <w:bottom w:val="single" w:sz="4" w:space="0" w:color="auto"/>
              <w:right w:val="single" w:sz="4" w:space="0" w:color="auto"/>
            </w:tcBorders>
            <w:shd w:val="clear" w:color="auto" w:fill="auto"/>
            <w:noWrap/>
            <w:vAlign w:val="center"/>
            <w:hideMark/>
          </w:tcPr>
          <w:p w14:paraId="10772276" w14:textId="22BED09E" w:rsidR="00E865FC" w:rsidRPr="00E865FC" w:rsidRDefault="00E865FC" w:rsidP="00860717">
            <w:pPr>
              <w:spacing w:after="0" w:line="240" w:lineRule="auto"/>
              <w:jc w:val="right"/>
              <w:rPr>
                <w:rFonts w:ascii="Arial" w:eastAsia="Times New Roman" w:hAnsi="Arial" w:cs="Arial"/>
                <w:sz w:val="16"/>
                <w:szCs w:val="16"/>
                <w:lang w:val="es-US" w:eastAsia="es-US"/>
              </w:rPr>
            </w:pPr>
            <w:r w:rsidRPr="00E865FC">
              <w:rPr>
                <w:rFonts w:ascii="Arial" w:eastAsia="Times New Roman" w:hAnsi="Arial" w:cs="Arial"/>
                <w:sz w:val="16"/>
                <w:szCs w:val="16"/>
                <w:lang w:val="es-US" w:eastAsia="es-US"/>
              </w:rPr>
              <w:t xml:space="preserve">            2,145,067</w:t>
            </w:r>
          </w:p>
        </w:tc>
        <w:tc>
          <w:tcPr>
            <w:tcW w:w="1232" w:type="dxa"/>
            <w:tcBorders>
              <w:top w:val="nil"/>
              <w:left w:val="nil"/>
              <w:bottom w:val="single" w:sz="4" w:space="0" w:color="auto"/>
              <w:right w:val="single" w:sz="8" w:space="0" w:color="auto"/>
            </w:tcBorders>
            <w:shd w:val="clear" w:color="auto" w:fill="auto"/>
            <w:noWrap/>
            <w:vAlign w:val="bottom"/>
            <w:hideMark/>
          </w:tcPr>
          <w:p w14:paraId="4571B1DA" w14:textId="77777777" w:rsidR="00E865FC" w:rsidRPr="00E865FC" w:rsidRDefault="00E865FC" w:rsidP="00860717">
            <w:pPr>
              <w:spacing w:after="0" w:line="240" w:lineRule="auto"/>
              <w:jc w:val="right"/>
              <w:rPr>
                <w:rFonts w:ascii="Arial" w:eastAsia="Times New Roman" w:hAnsi="Arial" w:cs="Arial"/>
                <w:b/>
                <w:bCs/>
                <w:color w:val="000000"/>
                <w:sz w:val="16"/>
                <w:szCs w:val="16"/>
                <w:lang w:val="es-US" w:eastAsia="es-US"/>
              </w:rPr>
            </w:pPr>
            <w:r w:rsidRPr="00E865FC">
              <w:rPr>
                <w:rFonts w:ascii="Arial" w:eastAsia="Times New Roman" w:hAnsi="Arial" w:cs="Arial"/>
                <w:b/>
                <w:bCs/>
                <w:color w:val="000000"/>
                <w:sz w:val="16"/>
                <w:szCs w:val="16"/>
                <w:lang w:val="es-US" w:eastAsia="es-US"/>
              </w:rPr>
              <w:t>13.83%</w:t>
            </w:r>
          </w:p>
        </w:tc>
        <w:tc>
          <w:tcPr>
            <w:tcW w:w="160" w:type="dxa"/>
            <w:vAlign w:val="center"/>
            <w:hideMark/>
          </w:tcPr>
          <w:p w14:paraId="35C0DFBF" w14:textId="77777777" w:rsidR="00E865FC" w:rsidRPr="00E865FC" w:rsidRDefault="00E865FC" w:rsidP="00E865FC">
            <w:pPr>
              <w:spacing w:after="0" w:line="240" w:lineRule="auto"/>
              <w:rPr>
                <w:rFonts w:ascii="Arial" w:eastAsia="Times New Roman" w:hAnsi="Arial" w:cs="Arial"/>
                <w:sz w:val="16"/>
                <w:szCs w:val="16"/>
                <w:lang w:val="es-US" w:eastAsia="es-US"/>
              </w:rPr>
            </w:pPr>
          </w:p>
        </w:tc>
      </w:tr>
    </w:tbl>
    <w:p w14:paraId="3F620C63" w14:textId="6FBEADBD" w:rsidR="00E63382" w:rsidRDefault="00E63382" w:rsidP="00B608B3">
      <w:pPr>
        <w:jc w:val="both"/>
        <w:rPr>
          <w:rFonts w:ascii="Arial" w:hAnsi="Arial" w:cs="Arial"/>
          <w:sz w:val="24"/>
          <w:szCs w:val="24"/>
        </w:rPr>
      </w:pPr>
    </w:p>
    <w:bookmarkEnd w:id="21"/>
    <w:p w14:paraId="4C39A5B4" w14:textId="50AB89E0" w:rsidR="0064010E" w:rsidRPr="00DA1AE5" w:rsidRDefault="00E63382" w:rsidP="00B608B3">
      <w:pPr>
        <w:jc w:val="both"/>
        <w:rPr>
          <w:rFonts w:ascii="Arial" w:hAnsi="Arial" w:cs="Arial"/>
          <w:b/>
        </w:rPr>
      </w:pPr>
      <w:r>
        <w:rPr>
          <w:rFonts w:ascii="Arial" w:hAnsi="Arial" w:cs="Arial"/>
          <w:b/>
        </w:rPr>
        <w:t>S</w:t>
      </w:r>
      <w:r w:rsidR="0064010E" w:rsidRPr="00DA1AE5">
        <w:rPr>
          <w:rFonts w:ascii="Arial" w:hAnsi="Arial" w:cs="Arial"/>
          <w:b/>
        </w:rPr>
        <w:t>ERVICIOS</w:t>
      </w:r>
    </w:p>
    <w:p w14:paraId="5A96BC96" w14:textId="2FE725B5" w:rsidR="004036B4" w:rsidRPr="00E80A8E" w:rsidRDefault="00FE17A9" w:rsidP="00E80A8E">
      <w:pPr>
        <w:ind w:right="-93"/>
        <w:jc w:val="both"/>
        <w:rPr>
          <w:rFonts w:ascii="Arial" w:hAnsi="Arial" w:cs="Arial"/>
          <w:sz w:val="24"/>
          <w:szCs w:val="24"/>
        </w:rPr>
      </w:pPr>
      <w:r w:rsidRPr="00E80A8E">
        <w:rPr>
          <w:rFonts w:ascii="Arial" w:hAnsi="Arial" w:cs="Arial"/>
          <w:sz w:val="24"/>
          <w:szCs w:val="24"/>
        </w:rPr>
        <w:t xml:space="preserve">En esta partida se presupuestó la suma de </w:t>
      </w:r>
      <w:r w:rsidRPr="00E80A8E">
        <w:rPr>
          <w:rFonts w:ascii="Arial" w:eastAsia="Times New Roman" w:hAnsi="Arial" w:cs="Arial"/>
          <w:b/>
          <w:bCs/>
          <w:sz w:val="24"/>
          <w:szCs w:val="24"/>
          <w:lang w:eastAsia="es-CR"/>
        </w:rPr>
        <w:t>¢</w:t>
      </w:r>
      <w:r w:rsidR="00DA1AE5" w:rsidRPr="00E80A8E">
        <w:rPr>
          <w:rFonts w:ascii="Arial" w:eastAsia="Times New Roman" w:hAnsi="Arial" w:cs="Arial"/>
          <w:b/>
          <w:bCs/>
          <w:sz w:val="24"/>
          <w:szCs w:val="24"/>
          <w:lang w:eastAsia="es-CR"/>
        </w:rPr>
        <w:t>151.120.308</w:t>
      </w:r>
      <w:r w:rsidRPr="00E80A8E">
        <w:rPr>
          <w:rFonts w:ascii="Arial" w:hAnsi="Arial" w:cs="Arial"/>
          <w:b/>
          <w:sz w:val="24"/>
          <w:szCs w:val="24"/>
        </w:rPr>
        <w:t xml:space="preserve">, </w:t>
      </w:r>
      <w:r w:rsidRPr="00E80A8E">
        <w:rPr>
          <w:rFonts w:ascii="Arial" w:hAnsi="Arial" w:cs="Arial"/>
          <w:sz w:val="24"/>
          <w:szCs w:val="24"/>
        </w:rPr>
        <w:t>de lo</w:t>
      </w:r>
      <w:r w:rsidR="009C3D32" w:rsidRPr="00E80A8E">
        <w:rPr>
          <w:rFonts w:ascii="Arial" w:hAnsi="Arial" w:cs="Arial"/>
          <w:sz w:val="24"/>
          <w:szCs w:val="24"/>
        </w:rPr>
        <w:t>s cuales</w:t>
      </w:r>
      <w:r w:rsidR="004036B4" w:rsidRPr="00E80A8E">
        <w:rPr>
          <w:rFonts w:ascii="Arial" w:hAnsi="Arial" w:cs="Arial"/>
          <w:sz w:val="24"/>
          <w:szCs w:val="24"/>
        </w:rPr>
        <w:t xml:space="preserve"> se ejecutó la suma total de ¢</w:t>
      </w:r>
      <w:r w:rsidR="00DA1AE5" w:rsidRPr="00E80A8E">
        <w:rPr>
          <w:rFonts w:ascii="Arial" w:hAnsi="Arial" w:cs="Arial"/>
          <w:sz w:val="24"/>
          <w:szCs w:val="24"/>
        </w:rPr>
        <w:t>27.190.917,66</w:t>
      </w:r>
      <w:r w:rsidR="004036B4" w:rsidRPr="00E80A8E">
        <w:rPr>
          <w:rFonts w:ascii="Arial" w:hAnsi="Arial" w:cs="Arial"/>
          <w:sz w:val="24"/>
          <w:szCs w:val="24"/>
        </w:rPr>
        <w:t xml:space="preserve"> equivalente a un </w:t>
      </w:r>
      <w:r w:rsidR="00E865FC" w:rsidRPr="00E865FC">
        <w:rPr>
          <w:rFonts w:ascii="Arial" w:hAnsi="Arial" w:cs="Arial"/>
          <w:b/>
          <w:bCs/>
          <w:sz w:val="24"/>
          <w:szCs w:val="24"/>
        </w:rPr>
        <w:t>0,10</w:t>
      </w:r>
      <w:r w:rsidR="004036B4" w:rsidRPr="00E865FC">
        <w:rPr>
          <w:rFonts w:ascii="Arial" w:hAnsi="Arial" w:cs="Arial"/>
          <w:b/>
          <w:bCs/>
          <w:sz w:val="24"/>
          <w:szCs w:val="24"/>
        </w:rPr>
        <w:t xml:space="preserve">%, </w:t>
      </w:r>
      <w:r w:rsidR="004036B4" w:rsidRPr="00E80A8E">
        <w:rPr>
          <w:rFonts w:ascii="Arial" w:hAnsi="Arial" w:cs="Arial"/>
          <w:sz w:val="24"/>
          <w:szCs w:val="24"/>
        </w:rPr>
        <w:t>de monto indicado</w:t>
      </w:r>
      <w:r w:rsidR="00DA1AE5" w:rsidRPr="00E80A8E">
        <w:rPr>
          <w:rFonts w:ascii="Arial" w:hAnsi="Arial" w:cs="Arial"/>
          <w:sz w:val="24"/>
          <w:szCs w:val="24"/>
        </w:rPr>
        <w:t>.</w:t>
      </w:r>
      <w:r w:rsidR="00140558" w:rsidRPr="00E80A8E">
        <w:rPr>
          <w:rFonts w:ascii="Arial" w:hAnsi="Arial" w:cs="Arial"/>
          <w:sz w:val="24"/>
          <w:szCs w:val="24"/>
        </w:rPr>
        <w:t xml:space="preserve"> </w:t>
      </w:r>
    </w:p>
    <w:p w14:paraId="7C504442" w14:textId="42DA8256" w:rsidR="00140558" w:rsidRDefault="00E80A8E" w:rsidP="00E80A8E">
      <w:pPr>
        <w:ind w:right="-93"/>
        <w:jc w:val="both"/>
        <w:rPr>
          <w:rFonts w:ascii="Arial" w:hAnsi="Arial" w:cs="Arial"/>
          <w:sz w:val="24"/>
          <w:szCs w:val="24"/>
        </w:rPr>
      </w:pPr>
      <w:r w:rsidRPr="00E80A8E">
        <w:rPr>
          <w:rFonts w:ascii="Arial" w:hAnsi="Arial" w:cs="Arial"/>
          <w:sz w:val="24"/>
          <w:szCs w:val="24"/>
        </w:rPr>
        <w:t xml:space="preserve">Estos en su mayoría son recursos </w:t>
      </w:r>
      <w:r>
        <w:rPr>
          <w:rFonts w:ascii="Arial" w:hAnsi="Arial" w:cs="Arial"/>
          <w:sz w:val="24"/>
          <w:szCs w:val="24"/>
        </w:rPr>
        <w:t xml:space="preserve">para la </w:t>
      </w:r>
      <w:r w:rsidRPr="00E80A8E">
        <w:rPr>
          <w:rFonts w:ascii="Arial" w:hAnsi="Arial" w:cs="Arial"/>
          <w:sz w:val="24"/>
          <w:szCs w:val="24"/>
        </w:rPr>
        <w:t>implementación del Acuerdo de Pagos Basados en Desempeño y el fortalecimiento de la Estrategia Nacional de Manejo del Fuego</w:t>
      </w:r>
      <w:r>
        <w:rPr>
          <w:rFonts w:ascii="Arial" w:hAnsi="Arial" w:cs="Arial"/>
          <w:sz w:val="24"/>
          <w:szCs w:val="24"/>
        </w:rPr>
        <w:t xml:space="preserve">, a </w:t>
      </w:r>
      <w:r w:rsidR="005E52BD">
        <w:rPr>
          <w:rFonts w:ascii="Arial" w:hAnsi="Arial" w:cs="Arial"/>
          <w:sz w:val="24"/>
          <w:szCs w:val="24"/>
        </w:rPr>
        <w:t>continuación,</w:t>
      </w:r>
      <w:r>
        <w:rPr>
          <w:rFonts w:ascii="Arial" w:hAnsi="Arial" w:cs="Arial"/>
          <w:sz w:val="24"/>
          <w:szCs w:val="24"/>
        </w:rPr>
        <w:t xml:space="preserve"> se detalla</w:t>
      </w:r>
      <w:r w:rsidR="00445408">
        <w:rPr>
          <w:rFonts w:ascii="Arial" w:hAnsi="Arial" w:cs="Arial"/>
          <w:sz w:val="24"/>
          <w:szCs w:val="24"/>
        </w:rPr>
        <w:t>:</w:t>
      </w:r>
    </w:p>
    <w:p w14:paraId="1C9E201D" w14:textId="77777777" w:rsidR="009D79D6" w:rsidRDefault="009D79D6" w:rsidP="00E80A8E">
      <w:pPr>
        <w:ind w:right="-93"/>
        <w:jc w:val="both"/>
        <w:rPr>
          <w:rFonts w:ascii="Arial" w:hAnsi="Arial" w:cs="Arial"/>
          <w:sz w:val="24"/>
          <w:szCs w:val="24"/>
        </w:rPr>
      </w:pPr>
    </w:p>
    <w:p w14:paraId="495F6689" w14:textId="6BED5EE6" w:rsidR="009D79D6" w:rsidRDefault="009D79D6" w:rsidP="00E80A8E">
      <w:pPr>
        <w:ind w:right="-93"/>
        <w:jc w:val="both"/>
        <w:rPr>
          <w:rFonts w:ascii="Arial" w:hAnsi="Arial" w:cs="Arial"/>
          <w:sz w:val="24"/>
          <w:szCs w:val="24"/>
        </w:rPr>
      </w:pPr>
    </w:p>
    <w:p w14:paraId="0C5E8230" w14:textId="20B51CD1" w:rsidR="009D79D6" w:rsidRDefault="009D79D6" w:rsidP="00E80A8E">
      <w:pPr>
        <w:ind w:right="-93"/>
        <w:jc w:val="both"/>
        <w:rPr>
          <w:rFonts w:ascii="Arial" w:hAnsi="Arial" w:cs="Arial"/>
          <w:sz w:val="24"/>
          <w:szCs w:val="24"/>
        </w:rPr>
      </w:pPr>
    </w:p>
    <w:p w14:paraId="1062E07F" w14:textId="3C4B2368" w:rsidR="009D79D6" w:rsidRDefault="009D79D6" w:rsidP="00E80A8E">
      <w:pPr>
        <w:ind w:right="-93"/>
        <w:jc w:val="both"/>
        <w:rPr>
          <w:rFonts w:ascii="Arial" w:hAnsi="Arial" w:cs="Arial"/>
          <w:sz w:val="24"/>
          <w:szCs w:val="24"/>
        </w:rPr>
      </w:pPr>
    </w:p>
    <w:p w14:paraId="299A1A42" w14:textId="17EE28C6" w:rsidR="009D79D6" w:rsidRDefault="009D79D6" w:rsidP="00E80A8E">
      <w:pPr>
        <w:ind w:right="-93"/>
        <w:jc w:val="both"/>
        <w:rPr>
          <w:rFonts w:ascii="Arial" w:hAnsi="Arial" w:cs="Arial"/>
          <w:sz w:val="24"/>
          <w:szCs w:val="24"/>
        </w:rPr>
      </w:pPr>
    </w:p>
    <w:p w14:paraId="269F02C2" w14:textId="3AE5F523" w:rsidR="009D79D6" w:rsidRDefault="009D79D6" w:rsidP="00E80A8E">
      <w:pPr>
        <w:ind w:right="-93"/>
        <w:jc w:val="both"/>
        <w:rPr>
          <w:rFonts w:ascii="Arial" w:hAnsi="Arial" w:cs="Arial"/>
          <w:sz w:val="24"/>
          <w:szCs w:val="24"/>
        </w:rPr>
      </w:pPr>
    </w:p>
    <w:p w14:paraId="22FA19DB" w14:textId="77777777" w:rsidR="009D79D6" w:rsidRDefault="009D79D6" w:rsidP="00E80A8E">
      <w:pPr>
        <w:ind w:right="-93"/>
        <w:jc w:val="both"/>
        <w:rPr>
          <w:rFonts w:ascii="Arial" w:hAnsi="Arial" w:cs="Arial"/>
          <w:sz w:val="24"/>
          <w:szCs w:val="24"/>
        </w:rPr>
      </w:pPr>
    </w:p>
    <w:tbl>
      <w:tblPr>
        <w:tblW w:w="9941" w:type="dxa"/>
        <w:tblInd w:w="-152" w:type="dxa"/>
        <w:tblLayout w:type="fixed"/>
        <w:tblCellMar>
          <w:left w:w="70" w:type="dxa"/>
          <w:right w:w="70" w:type="dxa"/>
        </w:tblCellMar>
        <w:tblLook w:val="04A0" w:firstRow="1" w:lastRow="0" w:firstColumn="1" w:lastColumn="0" w:noHBand="0" w:noVBand="1"/>
      </w:tblPr>
      <w:tblGrid>
        <w:gridCol w:w="993"/>
        <w:gridCol w:w="3296"/>
        <w:gridCol w:w="2229"/>
        <w:gridCol w:w="1704"/>
        <w:gridCol w:w="1559"/>
        <w:gridCol w:w="160"/>
      </w:tblGrid>
      <w:tr w:rsidR="00860717" w:rsidRPr="00860717" w14:paraId="0A4FB9CC" w14:textId="77777777" w:rsidTr="00452713">
        <w:trPr>
          <w:gridAfter w:val="1"/>
          <w:wAfter w:w="160" w:type="dxa"/>
          <w:trHeight w:val="509"/>
        </w:trPr>
        <w:tc>
          <w:tcPr>
            <w:tcW w:w="993"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14:paraId="6B7D2449" w14:textId="77777777" w:rsidR="009D79D6" w:rsidRDefault="009D79D6" w:rsidP="00860717">
            <w:pPr>
              <w:spacing w:after="0" w:line="240" w:lineRule="auto"/>
              <w:jc w:val="center"/>
              <w:rPr>
                <w:rFonts w:ascii="Arial" w:eastAsia="Times New Roman" w:hAnsi="Arial" w:cs="Arial"/>
                <w:b/>
                <w:bCs/>
                <w:color w:val="000000"/>
                <w:sz w:val="16"/>
                <w:szCs w:val="16"/>
                <w:lang w:val="es-US" w:eastAsia="es-US"/>
              </w:rPr>
            </w:pPr>
          </w:p>
          <w:p w14:paraId="3648949D" w14:textId="0A975AA5"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CUENTA</w:t>
            </w:r>
          </w:p>
        </w:tc>
        <w:tc>
          <w:tcPr>
            <w:tcW w:w="3296"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14:paraId="197A11D8" w14:textId="77777777"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NOMBRE PARTIDA, GRUPO Y SUBPARTIDA</w:t>
            </w:r>
          </w:p>
        </w:tc>
        <w:tc>
          <w:tcPr>
            <w:tcW w:w="2229" w:type="dxa"/>
            <w:vMerge w:val="restart"/>
            <w:tcBorders>
              <w:top w:val="single" w:sz="8" w:space="0" w:color="auto"/>
              <w:left w:val="single" w:sz="4" w:space="0" w:color="auto"/>
              <w:bottom w:val="single" w:sz="8" w:space="0" w:color="000000"/>
              <w:right w:val="single" w:sz="4" w:space="0" w:color="auto"/>
            </w:tcBorders>
            <w:shd w:val="clear" w:color="000000" w:fill="00B050"/>
            <w:noWrap/>
            <w:vAlign w:val="center"/>
            <w:hideMark/>
          </w:tcPr>
          <w:p w14:paraId="7B0B57E4" w14:textId="77777777"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PRESUPUESTO APROBADO</w:t>
            </w:r>
          </w:p>
        </w:tc>
        <w:tc>
          <w:tcPr>
            <w:tcW w:w="1704" w:type="dxa"/>
            <w:vMerge w:val="restart"/>
            <w:tcBorders>
              <w:top w:val="single" w:sz="8" w:space="0" w:color="auto"/>
              <w:left w:val="single" w:sz="4" w:space="0" w:color="auto"/>
              <w:bottom w:val="single" w:sz="8" w:space="0" w:color="000000"/>
              <w:right w:val="single" w:sz="4" w:space="0" w:color="auto"/>
            </w:tcBorders>
            <w:shd w:val="clear" w:color="000000" w:fill="00B050"/>
            <w:noWrap/>
            <w:vAlign w:val="center"/>
            <w:hideMark/>
          </w:tcPr>
          <w:p w14:paraId="7D37D084" w14:textId="77777777"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TOTAL I SEMESTRE</w:t>
            </w:r>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00B050"/>
            <w:noWrap/>
            <w:vAlign w:val="center"/>
            <w:hideMark/>
          </w:tcPr>
          <w:p w14:paraId="6147608C" w14:textId="77777777"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 EJECUTADO</w:t>
            </w:r>
          </w:p>
        </w:tc>
      </w:tr>
      <w:tr w:rsidR="00860717" w:rsidRPr="00860717" w14:paraId="4359A428" w14:textId="77777777" w:rsidTr="00452713">
        <w:trPr>
          <w:trHeight w:val="48"/>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2F977FE8" w14:textId="77777777" w:rsidR="00860717" w:rsidRPr="00860717" w:rsidRDefault="00860717" w:rsidP="00860717">
            <w:pPr>
              <w:spacing w:after="0" w:line="240" w:lineRule="auto"/>
              <w:rPr>
                <w:rFonts w:ascii="Arial" w:eastAsia="Times New Roman" w:hAnsi="Arial" w:cs="Arial"/>
                <w:b/>
                <w:bCs/>
                <w:color w:val="000000"/>
                <w:sz w:val="16"/>
                <w:szCs w:val="16"/>
                <w:lang w:val="es-US" w:eastAsia="es-US"/>
              </w:rPr>
            </w:pPr>
          </w:p>
        </w:tc>
        <w:tc>
          <w:tcPr>
            <w:tcW w:w="3296" w:type="dxa"/>
            <w:vMerge/>
            <w:tcBorders>
              <w:top w:val="single" w:sz="8" w:space="0" w:color="auto"/>
              <w:left w:val="single" w:sz="8" w:space="0" w:color="auto"/>
              <w:bottom w:val="single" w:sz="8" w:space="0" w:color="000000"/>
              <w:right w:val="single" w:sz="8" w:space="0" w:color="auto"/>
            </w:tcBorders>
            <w:vAlign w:val="center"/>
            <w:hideMark/>
          </w:tcPr>
          <w:p w14:paraId="6212B4FB" w14:textId="77777777" w:rsidR="00860717" w:rsidRPr="00860717" w:rsidRDefault="00860717" w:rsidP="00860717">
            <w:pPr>
              <w:spacing w:after="0" w:line="240" w:lineRule="auto"/>
              <w:rPr>
                <w:rFonts w:ascii="Arial" w:eastAsia="Times New Roman" w:hAnsi="Arial" w:cs="Arial"/>
                <w:b/>
                <w:bCs/>
                <w:color w:val="000000"/>
                <w:sz w:val="16"/>
                <w:szCs w:val="16"/>
                <w:lang w:val="es-US" w:eastAsia="es-US"/>
              </w:rPr>
            </w:pPr>
          </w:p>
        </w:tc>
        <w:tc>
          <w:tcPr>
            <w:tcW w:w="2229" w:type="dxa"/>
            <w:vMerge/>
            <w:tcBorders>
              <w:top w:val="single" w:sz="8" w:space="0" w:color="auto"/>
              <w:left w:val="single" w:sz="4" w:space="0" w:color="auto"/>
              <w:bottom w:val="single" w:sz="8" w:space="0" w:color="000000"/>
              <w:right w:val="single" w:sz="4" w:space="0" w:color="auto"/>
            </w:tcBorders>
            <w:vAlign w:val="center"/>
            <w:hideMark/>
          </w:tcPr>
          <w:p w14:paraId="02B5E8E3" w14:textId="77777777" w:rsidR="00860717" w:rsidRPr="00860717" w:rsidRDefault="00860717" w:rsidP="00860717">
            <w:pPr>
              <w:spacing w:after="0" w:line="240" w:lineRule="auto"/>
              <w:rPr>
                <w:rFonts w:ascii="Arial" w:eastAsia="Times New Roman" w:hAnsi="Arial" w:cs="Arial"/>
                <w:b/>
                <w:bCs/>
                <w:color w:val="000000"/>
                <w:sz w:val="16"/>
                <w:szCs w:val="16"/>
                <w:lang w:val="es-US" w:eastAsia="es-US"/>
              </w:rPr>
            </w:pPr>
          </w:p>
        </w:tc>
        <w:tc>
          <w:tcPr>
            <w:tcW w:w="1704" w:type="dxa"/>
            <w:vMerge/>
            <w:tcBorders>
              <w:top w:val="single" w:sz="8" w:space="0" w:color="auto"/>
              <w:left w:val="single" w:sz="4" w:space="0" w:color="auto"/>
              <w:bottom w:val="single" w:sz="8" w:space="0" w:color="000000"/>
              <w:right w:val="single" w:sz="4" w:space="0" w:color="auto"/>
            </w:tcBorders>
            <w:vAlign w:val="center"/>
            <w:hideMark/>
          </w:tcPr>
          <w:p w14:paraId="17B40EEE" w14:textId="77777777" w:rsidR="00860717" w:rsidRPr="00860717" w:rsidRDefault="00860717" w:rsidP="00860717">
            <w:pPr>
              <w:spacing w:after="0" w:line="240" w:lineRule="auto"/>
              <w:rPr>
                <w:rFonts w:ascii="Arial" w:eastAsia="Times New Roman" w:hAnsi="Arial" w:cs="Arial"/>
                <w:b/>
                <w:bCs/>
                <w:color w:val="000000"/>
                <w:sz w:val="16"/>
                <w:szCs w:val="16"/>
                <w:lang w:val="es-US" w:eastAsia="es-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14:paraId="71AD785B" w14:textId="77777777" w:rsidR="00860717" w:rsidRPr="00860717" w:rsidRDefault="00860717" w:rsidP="00860717">
            <w:pPr>
              <w:spacing w:after="0" w:line="240" w:lineRule="auto"/>
              <w:rPr>
                <w:rFonts w:ascii="Arial" w:eastAsia="Times New Roman" w:hAnsi="Arial" w:cs="Arial"/>
                <w:b/>
                <w:bCs/>
                <w:color w:val="000000"/>
                <w:sz w:val="16"/>
                <w:szCs w:val="16"/>
                <w:lang w:val="es-US" w:eastAsia="es-US"/>
              </w:rPr>
            </w:pPr>
          </w:p>
        </w:tc>
        <w:tc>
          <w:tcPr>
            <w:tcW w:w="160" w:type="dxa"/>
            <w:tcBorders>
              <w:top w:val="nil"/>
              <w:left w:val="nil"/>
              <w:bottom w:val="nil"/>
              <w:right w:val="nil"/>
            </w:tcBorders>
            <w:shd w:val="clear" w:color="auto" w:fill="auto"/>
            <w:noWrap/>
            <w:vAlign w:val="bottom"/>
            <w:hideMark/>
          </w:tcPr>
          <w:p w14:paraId="26EF3F3C" w14:textId="77777777"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p>
        </w:tc>
      </w:tr>
      <w:tr w:rsidR="00860717" w:rsidRPr="00860717" w14:paraId="070624DA" w14:textId="77777777" w:rsidTr="00452713">
        <w:trPr>
          <w:trHeight w:val="177"/>
        </w:trPr>
        <w:tc>
          <w:tcPr>
            <w:tcW w:w="993" w:type="dxa"/>
            <w:tcBorders>
              <w:top w:val="nil"/>
              <w:left w:val="single" w:sz="8" w:space="0" w:color="auto"/>
              <w:bottom w:val="single" w:sz="4" w:space="0" w:color="auto"/>
              <w:right w:val="single" w:sz="8" w:space="0" w:color="auto"/>
            </w:tcBorders>
            <w:shd w:val="clear" w:color="000000" w:fill="00B050"/>
            <w:noWrap/>
            <w:vAlign w:val="center"/>
            <w:hideMark/>
          </w:tcPr>
          <w:p w14:paraId="60FB77AF" w14:textId="77777777" w:rsidR="00860717" w:rsidRPr="00860717" w:rsidRDefault="00860717" w:rsidP="00860717">
            <w:pPr>
              <w:spacing w:after="0" w:line="240" w:lineRule="auto"/>
              <w:rPr>
                <w:rFonts w:ascii="Arial" w:eastAsia="Times New Roman" w:hAnsi="Arial" w:cs="Arial"/>
                <w:b/>
                <w:bCs/>
                <w:sz w:val="16"/>
                <w:szCs w:val="16"/>
                <w:lang w:val="es-US" w:eastAsia="es-US"/>
              </w:rPr>
            </w:pPr>
            <w:r w:rsidRPr="00860717">
              <w:rPr>
                <w:rFonts w:ascii="Arial" w:eastAsia="Times New Roman" w:hAnsi="Arial" w:cs="Arial"/>
                <w:b/>
                <w:bCs/>
                <w:sz w:val="16"/>
                <w:szCs w:val="16"/>
                <w:lang w:val="es-US" w:eastAsia="es-US"/>
              </w:rPr>
              <w:t>1</w:t>
            </w:r>
          </w:p>
        </w:tc>
        <w:tc>
          <w:tcPr>
            <w:tcW w:w="3296" w:type="dxa"/>
            <w:tcBorders>
              <w:top w:val="nil"/>
              <w:left w:val="nil"/>
              <w:bottom w:val="single" w:sz="4" w:space="0" w:color="auto"/>
              <w:right w:val="single" w:sz="8" w:space="0" w:color="auto"/>
            </w:tcBorders>
            <w:shd w:val="clear" w:color="000000" w:fill="00B050"/>
            <w:noWrap/>
            <w:vAlign w:val="center"/>
            <w:hideMark/>
          </w:tcPr>
          <w:p w14:paraId="2A2B56A8" w14:textId="77777777" w:rsidR="00860717" w:rsidRPr="00860717" w:rsidRDefault="00860717" w:rsidP="00860717">
            <w:pPr>
              <w:spacing w:after="0" w:line="240" w:lineRule="auto"/>
              <w:rPr>
                <w:rFonts w:ascii="Arial" w:eastAsia="Times New Roman" w:hAnsi="Arial" w:cs="Arial"/>
                <w:b/>
                <w:bCs/>
                <w:sz w:val="16"/>
                <w:szCs w:val="16"/>
                <w:lang w:val="es-US" w:eastAsia="es-US"/>
              </w:rPr>
            </w:pPr>
            <w:r w:rsidRPr="00860717">
              <w:rPr>
                <w:rFonts w:ascii="Arial" w:eastAsia="Times New Roman" w:hAnsi="Arial" w:cs="Arial"/>
                <w:b/>
                <w:bCs/>
                <w:sz w:val="16"/>
                <w:szCs w:val="16"/>
                <w:lang w:val="es-US" w:eastAsia="es-US"/>
              </w:rPr>
              <w:t>Servicios</w:t>
            </w:r>
          </w:p>
        </w:tc>
        <w:tc>
          <w:tcPr>
            <w:tcW w:w="2229" w:type="dxa"/>
            <w:tcBorders>
              <w:top w:val="nil"/>
              <w:left w:val="nil"/>
              <w:bottom w:val="single" w:sz="4" w:space="0" w:color="auto"/>
              <w:right w:val="single" w:sz="4" w:space="0" w:color="auto"/>
            </w:tcBorders>
            <w:shd w:val="clear" w:color="000000" w:fill="00B050"/>
            <w:noWrap/>
            <w:vAlign w:val="center"/>
            <w:hideMark/>
          </w:tcPr>
          <w:p w14:paraId="5BA83BF4" w14:textId="77777777" w:rsidR="00860717" w:rsidRPr="00860717" w:rsidRDefault="00860717" w:rsidP="00860717">
            <w:pPr>
              <w:spacing w:after="0" w:line="240" w:lineRule="auto"/>
              <w:rPr>
                <w:rFonts w:ascii="Arial" w:eastAsia="Times New Roman" w:hAnsi="Arial" w:cs="Arial"/>
                <w:b/>
                <w:bCs/>
                <w:sz w:val="16"/>
                <w:szCs w:val="16"/>
                <w:lang w:val="es-US" w:eastAsia="es-US"/>
              </w:rPr>
            </w:pPr>
            <w:r w:rsidRPr="00860717">
              <w:rPr>
                <w:rFonts w:ascii="Arial" w:eastAsia="Times New Roman" w:hAnsi="Arial" w:cs="Arial"/>
                <w:b/>
                <w:bCs/>
                <w:sz w:val="16"/>
                <w:szCs w:val="16"/>
                <w:lang w:val="es-US" w:eastAsia="es-US"/>
              </w:rPr>
              <w:t xml:space="preserve">                         151,120,308 </w:t>
            </w:r>
          </w:p>
        </w:tc>
        <w:tc>
          <w:tcPr>
            <w:tcW w:w="1704" w:type="dxa"/>
            <w:tcBorders>
              <w:top w:val="nil"/>
              <w:left w:val="nil"/>
              <w:bottom w:val="single" w:sz="4" w:space="0" w:color="auto"/>
              <w:right w:val="single" w:sz="4" w:space="0" w:color="auto"/>
            </w:tcBorders>
            <w:shd w:val="clear" w:color="000000" w:fill="00B050"/>
            <w:noWrap/>
            <w:vAlign w:val="center"/>
            <w:hideMark/>
          </w:tcPr>
          <w:p w14:paraId="6010E012" w14:textId="77777777" w:rsidR="00860717" w:rsidRPr="00860717" w:rsidRDefault="00860717" w:rsidP="00860717">
            <w:pPr>
              <w:spacing w:after="0" w:line="240" w:lineRule="auto"/>
              <w:rPr>
                <w:rFonts w:ascii="Arial" w:eastAsia="Times New Roman" w:hAnsi="Arial" w:cs="Arial"/>
                <w:b/>
                <w:bCs/>
                <w:sz w:val="16"/>
                <w:szCs w:val="16"/>
                <w:lang w:val="es-US" w:eastAsia="es-US"/>
              </w:rPr>
            </w:pPr>
            <w:r w:rsidRPr="00860717">
              <w:rPr>
                <w:rFonts w:ascii="Arial" w:eastAsia="Times New Roman" w:hAnsi="Arial" w:cs="Arial"/>
                <w:b/>
                <w:bCs/>
                <w:sz w:val="16"/>
                <w:szCs w:val="16"/>
                <w:lang w:val="es-US" w:eastAsia="es-US"/>
              </w:rPr>
              <w:t xml:space="preserve">          27,190,917.66 </w:t>
            </w:r>
          </w:p>
        </w:tc>
        <w:tc>
          <w:tcPr>
            <w:tcW w:w="1559" w:type="dxa"/>
            <w:tcBorders>
              <w:top w:val="nil"/>
              <w:left w:val="nil"/>
              <w:bottom w:val="single" w:sz="4" w:space="0" w:color="auto"/>
              <w:right w:val="single" w:sz="8" w:space="0" w:color="auto"/>
            </w:tcBorders>
            <w:shd w:val="clear" w:color="000000" w:fill="00B050"/>
            <w:noWrap/>
            <w:vAlign w:val="bottom"/>
            <w:hideMark/>
          </w:tcPr>
          <w:p w14:paraId="027109FB" w14:textId="77777777" w:rsidR="00860717" w:rsidRPr="00860717" w:rsidRDefault="00860717" w:rsidP="00860717">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17.99%</w:t>
            </w:r>
          </w:p>
        </w:tc>
        <w:tc>
          <w:tcPr>
            <w:tcW w:w="160" w:type="dxa"/>
            <w:vAlign w:val="center"/>
            <w:hideMark/>
          </w:tcPr>
          <w:p w14:paraId="459883D4"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638D473E"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11C07898"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1.01.01</w:t>
            </w:r>
          </w:p>
        </w:tc>
        <w:tc>
          <w:tcPr>
            <w:tcW w:w="3296" w:type="dxa"/>
            <w:tcBorders>
              <w:top w:val="nil"/>
              <w:left w:val="nil"/>
              <w:bottom w:val="single" w:sz="4" w:space="0" w:color="auto"/>
              <w:right w:val="single" w:sz="8" w:space="0" w:color="auto"/>
            </w:tcBorders>
            <w:shd w:val="clear" w:color="auto" w:fill="auto"/>
            <w:noWrap/>
            <w:vAlign w:val="center"/>
            <w:hideMark/>
          </w:tcPr>
          <w:p w14:paraId="1FDF17F1"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Alquiler de edificios, locales y terrenos </w:t>
            </w:r>
          </w:p>
        </w:tc>
        <w:tc>
          <w:tcPr>
            <w:tcW w:w="2229" w:type="dxa"/>
            <w:tcBorders>
              <w:top w:val="nil"/>
              <w:left w:val="nil"/>
              <w:bottom w:val="single" w:sz="4" w:space="0" w:color="auto"/>
              <w:right w:val="single" w:sz="4" w:space="0" w:color="auto"/>
            </w:tcBorders>
            <w:shd w:val="clear" w:color="auto" w:fill="auto"/>
            <w:noWrap/>
            <w:vAlign w:val="center"/>
            <w:hideMark/>
          </w:tcPr>
          <w:p w14:paraId="4CA63F48" w14:textId="4DC5ED73"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5,711,335</w:t>
            </w:r>
          </w:p>
        </w:tc>
        <w:tc>
          <w:tcPr>
            <w:tcW w:w="1704" w:type="dxa"/>
            <w:tcBorders>
              <w:top w:val="nil"/>
              <w:left w:val="nil"/>
              <w:bottom w:val="single" w:sz="4" w:space="0" w:color="auto"/>
              <w:right w:val="single" w:sz="4" w:space="0" w:color="auto"/>
            </w:tcBorders>
            <w:shd w:val="clear" w:color="auto" w:fill="auto"/>
            <w:noWrap/>
            <w:vAlign w:val="center"/>
            <w:hideMark/>
          </w:tcPr>
          <w:p w14:paraId="20D698FB" w14:textId="7FE4921D"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2,278,942 </w:t>
            </w:r>
          </w:p>
        </w:tc>
        <w:tc>
          <w:tcPr>
            <w:tcW w:w="1559" w:type="dxa"/>
            <w:tcBorders>
              <w:top w:val="nil"/>
              <w:left w:val="nil"/>
              <w:bottom w:val="single" w:sz="4" w:space="0" w:color="auto"/>
              <w:right w:val="single" w:sz="8" w:space="0" w:color="auto"/>
            </w:tcBorders>
            <w:shd w:val="clear" w:color="auto" w:fill="auto"/>
            <w:noWrap/>
            <w:vAlign w:val="bottom"/>
            <w:hideMark/>
          </w:tcPr>
          <w:p w14:paraId="63B79745"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39.90%</w:t>
            </w:r>
          </w:p>
        </w:tc>
        <w:tc>
          <w:tcPr>
            <w:tcW w:w="160" w:type="dxa"/>
            <w:vAlign w:val="center"/>
            <w:hideMark/>
          </w:tcPr>
          <w:p w14:paraId="153313DA"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275307C6"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3DF30671"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1.01.04</w:t>
            </w:r>
          </w:p>
        </w:tc>
        <w:tc>
          <w:tcPr>
            <w:tcW w:w="3296" w:type="dxa"/>
            <w:tcBorders>
              <w:top w:val="nil"/>
              <w:left w:val="nil"/>
              <w:bottom w:val="single" w:sz="4" w:space="0" w:color="auto"/>
              <w:right w:val="single" w:sz="8" w:space="0" w:color="auto"/>
            </w:tcBorders>
            <w:shd w:val="clear" w:color="auto" w:fill="auto"/>
            <w:noWrap/>
            <w:vAlign w:val="center"/>
            <w:hideMark/>
          </w:tcPr>
          <w:p w14:paraId="2F4AECA0"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Alquiler de equipo y derechos para telecomunicaciones</w:t>
            </w:r>
          </w:p>
        </w:tc>
        <w:tc>
          <w:tcPr>
            <w:tcW w:w="2229" w:type="dxa"/>
            <w:tcBorders>
              <w:top w:val="nil"/>
              <w:left w:val="nil"/>
              <w:bottom w:val="single" w:sz="4" w:space="0" w:color="auto"/>
              <w:right w:val="single" w:sz="4" w:space="0" w:color="auto"/>
            </w:tcBorders>
            <w:shd w:val="clear" w:color="auto" w:fill="auto"/>
            <w:noWrap/>
            <w:vAlign w:val="center"/>
            <w:hideMark/>
          </w:tcPr>
          <w:p w14:paraId="68648C37" w14:textId="374AD700"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1,340,000</w:t>
            </w:r>
          </w:p>
        </w:tc>
        <w:tc>
          <w:tcPr>
            <w:tcW w:w="1704" w:type="dxa"/>
            <w:tcBorders>
              <w:top w:val="nil"/>
              <w:left w:val="nil"/>
              <w:bottom w:val="single" w:sz="4" w:space="0" w:color="auto"/>
              <w:right w:val="single" w:sz="4" w:space="0" w:color="auto"/>
            </w:tcBorders>
            <w:shd w:val="clear" w:color="auto" w:fill="auto"/>
            <w:noWrap/>
            <w:vAlign w:val="center"/>
            <w:hideMark/>
          </w:tcPr>
          <w:p w14:paraId="74640EDE"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3D9B4246"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084A595D"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3C8AEAEE" w14:textId="77777777" w:rsidTr="00452713">
        <w:trPr>
          <w:trHeight w:val="288"/>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75DF93E"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1.02.04</w:t>
            </w:r>
          </w:p>
        </w:tc>
        <w:tc>
          <w:tcPr>
            <w:tcW w:w="3296" w:type="dxa"/>
            <w:tcBorders>
              <w:top w:val="nil"/>
              <w:left w:val="single" w:sz="8" w:space="0" w:color="auto"/>
              <w:bottom w:val="single" w:sz="4" w:space="0" w:color="auto"/>
              <w:right w:val="single" w:sz="8" w:space="0" w:color="auto"/>
            </w:tcBorders>
            <w:shd w:val="clear" w:color="auto" w:fill="auto"/>
            <w:noWrap/>
            <w:vAlign w:val="center"/>
            <w:hideMark/>
          </w:tcPr>
          <w:p w14:paraId="2B2F8FD9"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Servicio de telecomunicaciones</w:t>
            </w:r>
          </w:p>
        </w:tc>
        <w:tc>
          <w:tcPr>
            <w:tcW w:w="2229" w:type="dxa"/>
            <w:tcBorders>
              <w:top w:val="nil"/>
              <w:left w:val="nil"/>
              <w:bottom w:val="single" w:sz="4" w:space="0" w:color="auto"/>
              <w:right w:val="single" w:sz="4" w:space="0" w:color="auto"/>
            </w:tcBorders>
            <w:shd w:val="clear" w:color="auto" w:fill="auto"/>
            <w:noWrap/>
            <w:vAlign w:val="center"/>
            <w:hideMark/>
          </w:tcPr>
          <w:p w14:paraId="5AAE46E1" w14:textId="570553E3"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300,000 </w:t>
            </w:r>
          </w:p>
        </w:tc>
        <w:tc>
          <w:tcPr>
            <w:tcW w:w="1704" w:type="dxa"/>
            <w:tcBorders>
              <w:top w:val="nil"/>
              <w:left w:val="nil"/>
              <w:bottom w:val="single" w:sz="4" w:space="0" w:color="auto"/>
              <w:right w:val="single" w:sz="4" w:space="0" w:color="auto"/>
            </w:tcBorders>
            <w:shd w:val="clear" w:color="auto" w:fill="auto"/>
            <w:noWrap/>
            <w:vAlign w:val="center"/>
            <w:hideMark/>
          </w:tcPr>
          <w:p w14:paraId="6AE217C7"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7EB718A9"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513A16D6"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1E047A3F" w14:textId="77777777" w:rsidTr="00452713">
        <w:trPr>
          <w:trHeight w:val="288"/>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8638879"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1.02.99</w:t>
            </w:r>
          </w:p>
        </w:tc>
        <w:tc>
          <w:tcPr>
            <w:tcW w:w="3296" w:type="dxa"/>
            <w:tcBorders>
              <w:top w:val="nil"/>
              <w:left w:val="single" w:sz="8" w:space="0" w:color="auto"/>
              <w:bottom w:val="single" w:sz="4" w:space="0" w:color="auto"/>
              <w:right w:val="single" w:sz="8" w:space="0" w:color="auto"/>
            </w:tcBorders>
            <w:shd w:val="clear" w:color="auto" w:fill="auto"/>
            <w:noWrap/>
            <w:vAlign w:val="center"/>
            <w:hideMark/>
          </w:tcPr>
          <w:p w14:paraId="5D7765E4"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Otros servicios básicos</w:t>
            </w:r>
          </w:p>
        </w:tc>
        <w:tc>
          <w:tcPr>
            <w:tcW w:w="2229" w:type="dxa"/>
            <w:tcBorders>
              <w:top w:val="nil"/>
              <w:left w:val="nil"/>
              <w:bottom w:val="single" w:sz="4" w:space="0" w:color="auto"/>
              <w:right w:val="single" w:sz="4" w:space="0" w:color="auto"/>
            </w:tcBorders>
            <w:shd w:val="clear" w:color="auto" w:fill="auto"/>
            <w:noWrap/>
            <w:vAlign w:val="center"/>
            <w:hideMark/>
          </w:tcPr>
          <w:p w14:paraId="488CD729" w14:textId="13290683"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1,500,000</w:t>
            </w:r>
          </w:p>
        </w:tc>
        <w:tc>
          <w:tcPr>
            <w:tcW w:w="1704" w:type="dxa"/>
            <w:tcBorders>
              <w:top w:val="nil"/>
              <w:left w:val="nil"/>
              <w:bottom w:val="single" w:sz="4" w:space="0" w:color="auto"/>
              <w:right w:val="single" w:sz="4" w:space="0" w:color="auto"/>
            </w:tcBorders>
            <w:shd w:val="clear" w:color="auto" w:fill="auto"/>
            <w:noWrap/>
            <w:vAlign w:val="center"/>
            <w:hideMark/>
          </w:tcPr>
          <w:p w14:paraId="5E2718FC" w14:textId="6BC7442C"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1,038,799 </w:t>
            </w:r>
          </w:p>
        </w:tc>
        <w:tc>
          <w:tcPr>
            <w:tcW w:w="1559" w:type="dxa"/>
            <w:tcBorders>
              <w:top w:val="nil"/>
              <w:left w:val="nil"/>
              <w:bottom w:val="single" w:sz="4" w:space="0" w:color="auto"/>
              <w:right w:val="single" w:sz="8" w:space="0" w:color="auto"/>
            </w:tcBorders>
            <w:shd w:val="clear" w:color="auto" w:fill="auto"/>
            <w:noWrap/>
            <w:vAlign w:val="bottom"/>
            <w:hideMark/>
          </w:tcPr>
          <w:p w14:paraId="1CF65444"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69.25%</w:t>
            </w:r>
          </w:p>
        </w:tc>
        <w:tc>
          <w:tcPr>
            <w:tcW w:w="160" w:type="dxa"/>
            <w:vAlign w:val="center"/>
            <w:hideMark/>
          </w:tcPr>
          <w:p w14:paraId="310B6A94"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3F2B4B2F"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2CD28B7E"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1.03.01</w:t>
            </w:r>
          </w:p>
        </w:tc>
        <w:tc>
          <w:tcPr>
            <w:tcW w:w="3296" w:type="dxa"/>
            <w:tcBorders>
              <w:top w:val="nil"/>
              <w:left w:val="nil"/>
              <w:bottom w:val="single" w:sz="4" w:space="0" w:color="auto"/>
              <w:right w:val="single" w:sz="8" w:space="0" w:color="auto"/>
            </w:tcBorders>
            <w:shd w:val="clear" w:color="auto" w:fill="auto"/>
            <w:noWrap/>
            <w:vAlign w:val="center"/>
            <w:hideMark/>
          </w:tcPr>
          <w:p w14:paraId="243E3AFD"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Información</w:t>
            </w:r>
          </w:p>
        </w:tc>
        <w:tc>
          <w:tcPr>
            <w:tcW w:w="2229" w:type="dxa"/>
            <w:tcBorders>
              <w:top w:val="nil"/>
              <w:left w:val="nil"/>
              <w:bottom w:val="single" w:sz="4" w:space="0" w:color="auto"/>
              <w:right w:val="single" w:sz="4" w:space="0" w:color="auto"/>
            </w:tcBorders>
            <w:shd w:val="clear" w:color="auto" w:fill="auto"/>
            <w:noWrap/>
            <w:vAlign w:val="center"/>
            <w:hideMark/>
          </w:tcPr>
          <w:p w14:paraId="0269CA10" w14:textId="30FA1E53"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18,358,000</w:t>
            </w:r>
          </w:p>
        </w:tc>
        <w:tc>
          <w:tcPr>
            <w:tcW w:w="1704" w:type="dxa"/>
            <w:tcBorders>
              <w:top w:val="nil"/>
              <w:left w:val="nil"/>
              <w:bottom w:val="single" w:sz="4" w:space="0" w:color="auto"/>
              <w:right w:val="single" w:sz="4" w:space="0" w:color="auto"/>
            </w:tcBorders>
            <w:shd w:val="clear" w:color="auto" w:fill="auto"/>
            <w:noWrap/>
            <w:vAlign w:val="center"/>
            <w:hideMark/>
          </w:tcPr>
          <w:p w14:paraId="2F798C99"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651399AE"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3BFB9FB9"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562AFE8A"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7AF00EC8"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1.03.03</w:t>
            </w:r>
          </w:p>
        </w:tc>
        <w:tc>
          <w:tcPr>
            <w:tcW w:w="3296" w:type="dxa"/>
            <w:tcBorders>
              <w:top w:val="nil"/>
              <w:left w:val="nil"/>
              <w:bottom w:val="single" w:sz="4" w:space="0" w:color="auto"/>
              <w:right w:val="single" w:sz="8" w:space="0" w:color="auto"/>
            </w:tcBorders>
            <w:shd w:val="clear" w:color="auto" w:fill="auto"/>
            <w:noWrap/>
            <w:vAlign w:val="center"/>
            <w:hideMark/>
          </w:tcPr>
          <w:p w14:paraId="6673FE26"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Impresión, encuadernación y otros</w:t>
            </w:r>
          </w:p>
        </w:tc>
        <w:tc>
          <w:tcPr>
            <w:tcW w:w="2229" w:type="dxa"/>
            <w:tcBorders>
              <w:top w:val="nil"/>
              <w:left w:val="nil"/>
              <w:bottom w:val="single" w:sz="4" w:space="0" w:color="auto"/>
              <w:right w:val="single" w:sz="4" w:space="0" w:color="auto"/>
            </w:tcBorders>
            <w:shd w:val="clear" w:color="auto" w:fill="auto"/>
            <w:noWrap/>
            <w:vAlign w:val="center"/>
            <w:hideMark/>
          </w:tcPr>
          <w:p w14:paraId="0AE9DC70" w14:textId="4E4EBA58"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916,131</w:t>
            </w:r>
          </w:p>
        </w:tc>
        <w:tc>
          <w:tcPr>
            <w:tcW w:w="1704" w:type="dxa"/>
            <w:tcBorders>
              <w:top w:val="nil"/>
              <w:left w:val="nil"/>
              <w:bottom w:val="single" w:sz="4" w:space="0" w:color="auto"/>
              <w:right w:val="single" w:sz="4" w:space="0" w:color="auto"/>
            </w:tcBorders>
            <w:shd w:val="clear" w:color="auto" w:fill="auto"/>
            <w:noWrap/>
            <w:vAlign w:val="center"/>
            <w:hideMark/>
          </w:tcPr>
          <w:p w14:paraId="48BA65FD"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31E788AE"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1A735906"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1016CCF7"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4A73D949"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1.03.07</w:t>
            </w:r>
          </w:p>
        </w:tc>
        <w:tc>
          <w:tcPr>
            <w:tcW w:w="3296" w:type="dxa"/>
            <w:tcBorders>
              <w:top w:val="nil"/>
              <w:left w:val="nil"/>
              <w:bottom w:val="single" w:sz="4" w:space="0" w:color="auto"/>
              <w:right w:val="single" w:sz="8" w:space="0" w:color="auto"/>
            </w:tcBorders>
            <w:shd w:val="clear" w:color="auto" w:fill="auto"/>
            <w:noWrap/>
            <w:vAlign w:val="center"/>
            <w:hideMark/>
          </w:tcPr>
          <w:p w14:paraId="5963A799"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Servicios de tecnologías de información</w:t>
            </w:r>
          </w:p>
        </w:tc>
        <w:tc>
          <w:tcPr>
            <w:tcW w:w="2229" w:type="dxa"/>
            <w:tcBorders>
              <w:top w:val="nil"/>
              <w:left w:val="nil"/>
              <w:bottom w:val="single" w:sz="4" w:space="0" w:color="auto"/>
              <w:right w:val="single" w:sz="4" w:space="0" w:color="auto"/>
            </w:tcBorders>
            <w:shd w:val="clear" w:color="auto" w:fill="auto"/>
            <w:noWrap/>
            <w:vAlign w:val="center"/>
            <w:hideMark/>
          </w:tcPr>
          <w:p w14:paraId="5F218FDE" w14:textId="64366AE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870,000 </w:t>
            </w:r>
          </w:p>
        </w:tc>
        <w:tc>
          <w:tcPr>
            <w:tcW w:w="1704" w:type="dxa"/>
            <w:tcBorders>
              <w:top w:val="nil"/>
              <w:left w:val="nil"/>
              <w:bottom w:val="single" w:sz="4" w:space="0" w:color="auto"/>
              <w:right w:val="single" w:sz="4" w:space="0" w:color="auto"/>
            </w:tcBorders>
            <w:shd w:val="clear" w:color="auto" w:fill="auto"/>
            <w:noWrap/>
            <w:vAlign w:val="center"/>
            <w:hideMark/>
          </w:tcPr>
          <w:p w14:paraId="25991815" w14:textId="0459C97B"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169,674</w:t>
            </w:r>
          </w:p>
        </w:tc>
        <w:tc>
          <w:tcPr>
            <w:tcW w:w="1559" w:type="dxa"/>
            <w:tcBorders>
              <w:top w:val="nil"/>
              <w:left w:val="nil"/>
              <w:bottom w:val="single" w:sz="4" w:space="0" w:color="auto"/>
              <w:right w:val="single" w:sz="8" w:space="0" w:color="auto"/>
            </w:tcBorders>
            <w:shd w:val="clear" w:color="auto" w:fill="auto"/>
            <w:noWrap/>
            <w:vAlign w:val="bottom"/>
            <w:hideMark/>
          </w:tcPr>
          <w:p w14:paraId="7D3DAEB3"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19.50%</w:t>
            </w:r>
          </w:p>
        </w:tc>
        <w:tc>
          <w:tcPr>
            <w:tcW w:w="160" w:type="dxa"/>
            <w:vAlign w:val="center"/>
            <w:hideMark/>
          </w:tcPr>
          <w:p w14:paraId="4263F766"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15F36393"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55C1C917"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1.04.02</w:t>
            </w:r>
          </w:p>
        </w:tc>
        <w:tc>
          <w:tcPr>
            <w:tcW w:w="3296" w:type="dxa"/>
            <w:tcBorders>
              <w:top w:val="nil"/>
              <w:left w:val="nil"/>
              <w:bottom w:val="single" w:sz="4" w:space="0" w:color="auto"/>
              <w:right w:val="single" w:sz="8" w:space="0" w:color="auto"/>
            </w:tcBorders>
            <w:shd w:val="clear" w:color="auto" w:fill="auto"/>
            <w:noWrap/>
            <w:vAlign w:val="center"/>
            <w:hideMark/>
          </w:tcPr>
          <w:p w14:paraId="064C5B63"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Servicios jurídicos</w:t>
            </w:r>
          </w:p>
        </w:tc>
        <w:tc>
          <w:tcPr>
            <w:tcW w:w="2229" w:type="dxa"/>
            <w:tcBorders>
              <w:top w:val="nil"/>
              <w:left w:val="nil"/>
              <w:bottom w:val="single" w:sz="4" w:space="0" w:color="auto"/>
              <w:right w:val="single" w:sz="4" w:space="0" w:color="auto"/>
            </w:tcBorders>
            <w:shd w:val="clear" w:color="auto" w:fill="auto"/>
            <w:noWrap/>
            <w:vAlign w:val="center"/>
            <w:hideMark/>
          </w:tcPr>
          <w:p w14:paraId="3A5AAB40" w14:textId="65847E70"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15,000,000</w:t>
            </w:r>
          </w:p>
        </w:tc>
        <w:tc>
          <w:tcPr>
            <w:tcW w:w="1704" w:type="dxa"/>
            <w:tcBorders>
              <w:top w:val="nil"/>
              <w:left w:val="nil"/>
              <w:bottom w:val="single" w:sz="4" w:space="0" w:color="auto"/>
              <w:right w:val="single" w:sz="4" w:space="0" w:color="auto"/>
            </w:tcBorders>
            <w:shd w:val="clear" w:color="auto" w:fill="auto"/>
            <w:noWrap/>
            <w:vAlign w:val="center"/>
            <w:hideMark/>
          </w:tcPr>
          <w:p w14:paraId="43687843"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2,853,171.77 </w:t>
            </w:r>
          </w:p>
        </w:tc>
        <w:tc>
          <w:tcPr>
            <w:tcW w:w="1559" w:type="dxa"/>
            <w:tcBorders>
              <w:top w:val="nil"/>
              <w:left w:val="nil"/>
              <w:bottom w:val="single" w:sz="4" w:space="0" w:color="auto"/>
              <w:right w:val="single" w:sz="8" w:space="0" w:color="auto"/>
            </w:tcBorders>
            <w:shd w:val="clear" w:color="auto" w:fill="auto"/>
            <w:noWrap/>
            <w:vAlign w:val="bottom"/>
            <w:hideMark/>
          </w:tcPr>
          <w:p w14:paraId="19DA7D28"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19.02%</w:t>
            </w:r>
          </w:p>
        </w:tc>
        <w:tc>
          <w:tcPr>
            <w:tcW w:w="160" w:type="dxa"/>
            <w:vAlign w:val="center"/>
            <w:hideMark/>
          </w:tcPr>
          <w:p w14:paraId="6E0020B3"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065529A1"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353FAB49"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1.04.03</w:t>
            </w:r>
          </w:p>
        </w:tc>
        <w:tc>
          <w:tcPr>
            <w:tcW w:w="3296" w:type="dxa"/>
            <w:tcBorders>
              <w:top w:val="nil"/>
              <w:left w:val="nil"/>
              <w:bottom w:val="single" w:sz="4" w:space="0" w:color="auto"/>
              <w:right w:val="single" w:sz="8" w:space="0" w:color="auto"/>
            </w:tcBorders>
            <w:shd w:val="clear" w:color="auto" w:fill="auto"/>
            <w:noWrap/>
            <w:vAlign w:val="center"/>
            <w:hideMark/>
          </w:tcPr>
          <w:p w14:paraId="669AE1CA"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Servicios de ingeniería y arquitectura</w:t>
            </w:r>
          </w:p>
        </w:tc>
        <w:tc>
          <w:tcPr>
            <w:tcW w:w="2229" w:type="dxa"/>
            <w:tcBorders>
              <w:top w:val="nil"/>
              <w:left w:val="nil"/>
              <w:bottom w:val="single" w:sz="4" w:space="0" w:color="auto"/>
              <w:right w:val="single" w:sz="4" w:space="0" w:color="auto"/>
            </w:tcBorders>
            <w:shd w:val="clear" w:color="auto" w:fill="auto"/>
            <w:noWrap/>
            <w:vAlign w:val="center"/>
            <w:hideMark/>
          </w:tcPr>
          <w:p w14:paraId="5ED4ED27" w14:textId="4F9ABF11"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23,470,000</w:t>
            </w:r>
          </w:p>
        </w:tc>
        <w:tc>
          <w:tcPr>
            <w:tcW w:w="1704" w:type="dxa"/>
            <w:tcBorders>
              <w:top w:val="nil"/>
              <w:left w:val="nil"/>
              <w:bottom w:val="single" w:sz="4" w:space="0" w:color="auto"/>
              <w:right w:val="single" w:sz="4" w:space="0" w:color="auto"/>
            </w:tcBorders>
            <w:shd w:val="clear" w:color="auto" w:fill="auto"/>
            <w:noWrap/>
            <w:vAlign w:val="center"/>
            <w:hideMark/>
          </w:tcPr>
          <w:p w14:paraId="299AEB27" w14:textId="44292A42"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289,280</w:t>
            </w:r>
          </w:p>
        </w:tc>
        <w:tc>
          <w:tcPr>
            <w:tcW w:w="1559" w:type="dxa"/>
            <w:tcBorders>
              <w:top w:val="nil"/>
              <w:left w:val="nil"/>
              <w:bottom w:val="single" w:sz="4" w:space="0" w:color="auto"/>
              <w:right w:val="single" w:sz="8" w:space="0" w:color="auto"/>
            </w:tcBorders>
            <w:shd w:val="clear" w:color="auto" w:fill="auto"/>
            <w:noWrap/>
            <w:vAlign w:val="bottom"/>
            <w:hideMark/>
          </w:tcPr>
          <w:p w14:paraId="373C05EB"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1.23%</w:t>
            </w:r>
          </w:p>
        </w:tc>
        <w:tc>
          <w:tcPr>
            <w:tcW w:w="160" w:type="dxa"/>
            <w:vAlign w:val="center"/>
            <w:hideMark/>
          </w:tcPr>
          <w:p w14:paraId="14BBDE8B"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040F9C4C"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0C2AC2A2"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1.04.04</w:t>
            </w:r>
          </w:p>
        </w:tc>
        <w:tc>
          <w:tcPr>
            <w:tcW w:w="3296" w:type="dxa"/>
            <w:tcBorders>
              <w:top w:val="nil"/>
              <w:left w:val="nil"/>
              <w:bottom w:val="single" w:sz="4" w:space="0" w:color="auto"/>
              <w:right w:val="single" w:sz="8" w:space="0" w:color="auto"/>
            </w:tcBorders>
            <w:shd w:val="clear" w:color="auto" w:fill="auto"/>
            <w:noWrap/>
            <w:vAlign w:val="center"/>
            <w:hideMark/>
          </w:tcPr>
          <w:p w14:paraId="5F797CB8"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Servicios de ciencias económicas y sociales</w:t>
            </w:r>
          </w:p>
        </w:tc>
        <w:tc>
          <w:tcPr>
            <w:tcW w:w="2229" w:type="dxa"/>
            <w:tcBorders>
              <w:top w:val="nil"/>
              <w:left w:val="nil"/>
              <w:bottom w:val="single" w:sz="4" w:space="0" w:color="auto"/>
              <w:right w:val="single" w:sz="4" w:space="0" w:color="auto"/>
            </w:tcBorders>
            <w:shd w:val="clear" w:color="auto" w:fill="auto"/>
            <w:noWrap/>
            <w:vAlign w:val="center"/>
            <w:hideMark/>
          </w:tcPr>
          <w:p w14:paraId="52B27DB4" w14:textId="65108A1D"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5,025,000</w:t>
            </w:r>
          </w:p>
        </w:tc>
        <w:tc>
          <w:tcPr>
            <w:tcW w:w="1704" w:type="dxa"/>
            <w:tcBorders>
              <w:top w:val="nil"/>
              <w:left w:val="nil"/>
              <w:bottom w:val="single" w:sz="4" w:space="0" w:color="auto"/>
              <w:right w:val="single" w:sz="4" w:space="0" w:color="auto"/>
            </w:tcBorders>
            <w:shd w:val="clear" w:color="auto" w:fill="auto"/>
            <w:noWrap/>
            <w:vAlign w:val="center"/>
            <w:hideMark/>
          </w:tcPr>
          <w:p w14:paraId="248D3A95"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590D37F3"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6B284C9A"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7284DA35"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65EBB5E5"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1.04.06</w:t>
            </w:r>
          </w:p>
        </w:tc>
        <w:tc>
          <w:tcPr>
            <w:tcW w:w="3296" w:type="dxa"/>
            <w:tcBorders>
              <w:top w:val="nil"/>
              <w:left w:val="nil"/>
              <w:bottom w:val="single" w:sz="4" w:space="0" w:color="auto"/>
              <w:right w:val="single" w:sz="8" w:space="0" w:color="auto"/>
            </w:tcBorders>
            <w:shd w:val="clear" w:color="auto" w:fill="auto"/>
            <w:noWrap/>
            <w:vAlign w:val="center"/>
            <w:hideMark/>
          </w:tcPr>
          <w:p w14:paraId="1EAE0B6E"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Servicios Generales </w:t>
            </w:r>
          </w:p>
        </w:tc>
        <w:tc>
          <w:tcPr>
            <w:tcW w:w="2229" w:type="dxa"/>
            <w:tcBorders>
              <w:top w:val="nil"/>
              <w:left w:val="nil"/>
              <w:bottom w:val="single" w:sz="4" w:space="0" w:color="auto"/>
              <w:right w:val="single" w:sz="4" w:space="0" w:color="auto"/>
            </w:tcBorders>
            <w:shd w:val="clear" w:color="auto" w:fill="auto"/>
            <w:noWrap/>
            <w:vAlign w:val="center"/>
            <w:hideMark/>
          </w:tcPr>
          <w:p w14:paraId="15F92A65" w14:textId="745FFB80"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33,000,000</w:t>
            </w:r>
          </w:p>
        </w:tc>
        <w:tc>
          <w:tcPr>
            <w:tcW w:w="1704" w:type="dxa"/>
            <w:tcBorders>
              <w:top w:val="nil"/>
              <w:left w:val="nil"/>
              <w:bottom w:val="single" w:sz="4" w:space="0" w:color="auto"/>
              <w:right w:val="single" w:sz="4" w:space="0" w:color="auto"/>
            </w:tcBorders>
            <w:shd w:val="clear" w:color="auto" w:fill="auto"/>
            <w:noWrap/>
            <w:vAlign w:val="center"/>
            <w:hideMark/>
          </w:tcPr>
          <w:p w14:paraId="12DC1759" w14:textId="784CBC7C"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15,733,782</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14:paraId="20785CB8"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47.68%</w:t>
            </w:r>
          </w:p>
        </w:tc>
        <w:tc>
          <w:tcPr>
            <w:tcW w:w="160" w:type="dxa"/>
            <w:vAlign w:val="center"/>
            <w:hideMark/>
          </w:tcPr>
          <w:p w14:paraId="4489B8D7"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71CE09C6"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6DB415BE"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1.04.99</w:t>
            </w:r>
          </w:p>
        </w:tc>
        <w:tc>
          <w:tcPr>
            <w:tcW w:w="3296" w:type="dxa"/>
            <w:tcBorders>
              <w:top w:val="nil"/>
              <w:left w:val="nil"/>
              <w:bottom w:val="single" w:sz="4" w:space="0" w:color="auto"/>
              <w:right w:val="single" w:sz="8" w:space="0" w:color="auto"/>
            </w:tcBorders>
            <w:shd w:val="clear" w:color="auto" w:fill="auto"/>
            <w:noWrap/>
            <w:vAlign w:val="center"/>
            <w:hideMark/>
          </w:tcPr>
          <w:p w14:paraId="30B308D8"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Otros servicios de gestión y apoyo</w:t>
            </w:r>
          </w:p>
        </w:tc>
        <w:tc>
          <w:tcPr>
            <w:tcW w:w="2229" w:type="dxa"/>
            <w:tcBorders>
              <w:top w:val="nil"/>
              <w:left w:val="nil"/>
              <w:bottom w:val="single" w:sz="4" w:space="0" w:color="auto"/>
              <w:right w:val="single" w:sz="4" w:space="0" w:color="auto"/>
            </w:tcBorders>
            <w:shd w:val="clear" w:color="auto" w:fill="auto"/>
            <w:noWrap/>
            <w:vAlign w:val="center"/>
            <w:hideMark/>
          </w:tcPr>
          <w:p w14:paraId="5F6712D2" w14:textId="0C320D08"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13,867,600</w:t>
            </w:r>
          </w:p>
        </w:tc>
        <w:tc>
          <w:tcPr>
            <w:tcW w:w="1704" w:type="dxa"/>
            <w:tcBorders>
              <w:top w:val="nil"/>
              <w:left w:val="nil"/>
              <w:bottom w:val="single" w:sz="4" w:space="0" w:color="auto"/>
              <w:right w:val="single" w:sz="4" w:space="0" w:color="auto"/>
            </w:tcBorders>
            <w:shd w:val="clear" w:color="auto" w:fill="auto"/>
            <w:noWrap/>
            <w:vAlign w:val="center"/>
            <w:hideMark/>
          </w:tcPr>
          <w:p w14:paraId="1049DFA7" w14:textId="40E16E94"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133,673</w:t>
            </w:r>
          </w:p>
        </w:tc>
        <w:tc>
          <w:tcPr>
            <w:tcW w:w="1559" w:type="dxa"/>
            <w:tcBorders>
              <w:top w:val="nil"/>
              <w:left w:val="nil"/>
              <w:bottom w:val="single" w:sz="4" w:space="0" w:color="auto"/>
              <w:right w:val="single" w:sz="8" w:space="0" w:color="auto"/>
            </w:tcBorders>
            <w:shd w:val="clear" w:color="auto" w:fill="auto"/>
            <w:noWrap/>
            <w:vAlign w:val="bottom"/>
            <w:hideMark/>
          </w:tcPr>
          <w:p w14:paraId="7D15C994"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0.96%</w:t>
            </w:r>
          </w:p>
        </w:tc>
        <w:tc>
          <w:tcPr>
            <w:tcW w:w="160" w:type="dxa"/>
            <w:vAlign w:val="center"/>
            <w:hideMark/>
          </w:tcPr>
          <w:p w14:paraId="47E330A5"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3B52249F"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0859D6FC"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1.05.01</w:t>
            </w:r>
          </w:p>
        </w:tc>
        <w:tc>
          <w:tcPr>
            <w:tcW w:w="3296" w:type="dxa"/>
            <w:tcBorders>
              <w:top w:val="nil"/>
              <w:left w:val="nil"/>
              <w:bottom w:val="single" w:sz="4" w:space="0" w:color="auto"/>
              <w:right w:val="single" w:sz="8" w:space="0" w:color="auto"/>
            </w:tcBorders>
            <w:shd w:val="clear" w:color="auto" w:fill="auto"/>
            <w:noWrap/>
            <w:vAlign w:val="center"/>
            <w:hideMark/>
          </w:tcPr>
          <w:p w14:paraId="7999444E"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Transporte dentro del país</w:t>
            </w:r>
          </w:p>
        </w:tc>
        <w:tc>
          <w:tcPr>
            <w:tcW w:w="2229" w:type="dxa"/>
            <w:tcBorders>
              <w:top w:val="nil"/>
              <w:left w:val="nil"/>
              <w:bottom w:val="single" w:sz="4" w:space="0" w:color="auto"/>
              <w:right w:val="single" w:sz="4" w:space="0" w:color="auto"/>
            </w:tcBorders>
            <w:shd w:val="clear" w:color="auto" w:fill="auto"/>
            <w:noWrap/>
            <w:vAlign w:val="center"/>
            <w:hideMark/>
          </w:tcPr>
          <w:p w14:paraId="07DE5E79" w14:textId="564ECE1E"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854,250</w:t>
            </w:r>
          </w:p>
        </w:tc>
        <w:tc>
          <w:tcPr>
            <w:tcW w:w="1704" w:type="dxa"/>
            <w:tcBorders>
              <w:top w:val="nil"/>
              <w:left w:val="nil"/>
              <w:bottom w:val="single" w:sz="4" w:space="0" w:color="auto"/>
              <w:right w:val="single" w:sz="4" w:space="0" w:color="auto"/>
            </w:tcBorders>
            <w:shd w:val="clear" w:color="auto" w:fill="auto"/>
            <w:noWrap/>
            <w:vAlign w:val="center"/>
            <w:hideMark/>
          </w:tcPr>
          <w:p w14:paraId="78DAFE6D"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045F9DD4"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633675CD"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4212CC68"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5953B7DC"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1.05.02</w:t>
            </w:r>
          </w:p>
        </w:tc>
        <w:tc>
          <w:tcPr>
            <w:tcW w:w="3296" w:type="dxa"/>
            <w:tcBorders>
              <w:top w:val="nil"/>
              <w:left w:val="nil"/>
              <w:bottom w:val="single" w:sz="4" w:space="0" w:color="auto"/>
              <w:right w:val="single" w:sz="8" w:space="0" w:color="auto"/>
            </w:tcBorders>
            <w:shd w:val="clear" w:color="auto" w:fill="auto"/>
            <w:noWrap/>
            <w:vAlign w:val="center"/>
            <w:hideMark/>
          </w:tcPr>
          <w:p w14:paraId="7BC1536D"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Viáticos dentro del país</w:t>
            </w:r>
          </w:p>
        </w:tc>
        <w:tc>
          <w:tcPr>
            <w:tcW w:w="2229" w:type="dxa"/>
            <w:tcBorders>
              <w:top w:val="nil"/>
              <w:left w:val="nil"/>
              <w:bottom w:val="single" w:sz="4" w:space="0" w:color="auto"/>
              <w:right w:val="single" w:sz="4" w:space="0" w:color="auto"/>
            </w:tcBorders>
            <w:shd w:val="clear" w:color="auto" w:fill="auto"/>
            <w:noWrap/>
            <w:vAlign w:val="center"/>
            <w:hideMark/>
          </w:tcPr>
          <w:p w14:paraId="42AA7B00" w14:textId="263EC1FA"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6,030,000</w:t>
            </w:r>
          </w:p>
        </w:tc>
        <w:tc>
          <w:tcPr>
            <w:tcW w:w="1704" w:type="dxa"/>
            <w:tcBorders>
              <w:top w:val="nil"/>
              <w:left w:val="nil"/>
              <w:bottom w:val="single" w:sz="4" w:space="0" w:color="auto"/>
              <w:right w:val="single" w:sz="4" w:space="0" w:color="auto"/>
            </w:tcBorders>
            <w:shd w:val="clear" w:color="auto" w:fill="auto"/>
            <w:noWrap/>
            <w:vAlign w:val="center"/>
            <w:hideMark/>
          </w:tcPr>
          <w:p w14:paraId="213D9953"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532FD553"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6D17B8A0"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088FDD3F"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66389C67"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1.05.03</w:t>
            </w:r>
          </w:p>
        </w:tc>
        <w:tc>
          <w:tcPr>
            <w:tcW w:w="3296" w:type="dxa"/>
            <w:tcBorders>
              <w:top w:val="nil"/>
              <w:left w:val="nil"/>
              <w:bottom w:val="single" w:sz="4" w:space="0" w:color="auto"/>
              <w:right w:val="single" w:sz="8" w:space="0" w:color="auto"/>
            </w:tcBorders>
            <w:shd w:val="clear" w:color="auto" w:fill="auto"/>
            <w:noWrap/>
            <w:vAlign w:val="center"/>
            <w:hideMark/>
          </w:tcPr>
          <w:p w14:paraId="24D50777"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Transporte en el exterior</w:t>
            </w:r>
          </w:p>
        </w:tc>
        <w:tc>
          <w:tcPr>
            <w:tcW w:w="2229" w:type="dxa"/>
            <w:tcBorders>
              <w:top w:val="nil"/>
              <w:left w:val="nil"/>
              <w:bottom w:val="single" w:sz="4" w:space="0" w:color="auto"/>
              <w:right w:val="single" w:sz="4" w:space="0" w:color="auto"/>
            </w:tcBorders>
            <w:shd w:val="clear" w:color="auto" w:fill="auto"/>
            <w:noWrap/>
            <w:vAlign w:val="center"/>
            <w:hideMark/>
          </w:tcPr>
          <w:p w14:paraId="1B8C373A" w14:textId="5BDD3C11"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4,020,000</w:t>
            </w:r>
          </w:p>
        </w:tc>
        <w:tc>
          <w:tcPr>
            <w:tcW w:w="1704" w:type="dxa"/>
            <w:tcBorders>
              <w:top w:val="nil"/>
              <w:left w:val="nil"/>
              <w:bottom w:val="single" w:sz="4" w:space="0" w:color="auto"/>
              <w:right w:val="single" w:sz="4" w:space="0" w:color="auto"/>
            </w:tcBorders>
            <w:shd w:val="clear" w:color="auto" w:fill="auto"/>
            <w:noWrap/>
            <w:vAlign w:val="center"/>
            <w:hideMark/>
          </w:tcPr>
          <w:p w14:paraId="6D2F5B1F"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4CC7B729"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24CA8653"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7B6AC1B1"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12276B1E"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1.05.04</w:t>
            </w:r>
          </w:p>
        </w:tc>
        <w:tc>
          <w:tcPr>
            <w:tcW w:w="3296" w:type="dxa"/>
            <w:tcBorders>
              <w:top w:val="nil"/>
              <w:left w:val="nil"/>
              <w:bottom w:val="single" w:sz="4" w:space="0" w:color="auto"/>
              <w:right w:val="single" w:sz="8" w:space="0" w:color="auto"/>
            </w:tcBorders>
            <w:shd w:val="clear" w:color="auto" w:fill="auto"/>
            <w:noWrap/>
            <w:vAlign w:val="center"/>
            <w:hideMark/>
          </w:tcPr>
          <w:p w14:paraId="0D451E57"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Viáticos en el exterior</w:t>
            </w:r>
          </w:p>
        </w:tc>
        <w:tc>
          <w:tcPr>
            <w:tcW w:w="2229" w:type="dxa"/>
            <w:tcBorders>
              <w:top w:val="nil"/>
              <w:left w:val="nil"/>
              <w:bottom w:val="single" w:sz="4" w:space="0" w:color="auto"/>
              <w:right w:val="single" w:sz="4" w:space="0" w:color="auto"/>
            </w:tcBorders>
            <w:shd w:val="clear" w:color="auto" w:fill="auto"/>
            <w:noWrap/>
            <w:vAlign w:val="center"/>
            <w:hideMark/>
          </w:tcPr>
          <w:p w14:paraId="2FA9AB2D" w14:textId="71DDB21A"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3,953,000</w:t>
            </w:r>
          </w:p>
        </w:tc>
        <w:tc>
          <w:tcPr>
            <w:tcW w:w="1704" w:type="dxa"/>
            <w:tcBorders>
              <w:top w:val="nil"/>
              <w:left w:val="nil"/>
              <w:bottom w:val="single" w:sz="4" w:space="0" w:color="auto"/>
              <w:right w:val="single" w:sz="4" w:space="0" w:color="auto"/>
            </w:tcBorders>
            <w:shd w:val="clear" w:color="auto" w:fill="auto"/>
            <w:noWrap/>
            <w:vAlign w:val="center"/>
            <w:hideMark/>
          </w:tcPr>
          <w:p w14:paraId="1B18A056"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1ACBC58E"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1666A8E9"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60C87876"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49959557"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1.06.01</w:t>
            </w:r>
          </w:p>
        </w:tc>
        <w:tc>
          <w:tcPr>
            <w:tcW w:w="3296" w:type="dxa"/>
            <w:tcBorders>
              <w:top w:val="nil"/>
              <w:left w:val="nil"/>
              <w:bottom w:val="single" w:sz="4" w:space="0" w:color="auto"/>
              <w:right w:val="single" w:sz="8" w:space="0" w:color="auto"/>
            </w:tcBorders>
            <w:shd w:val="clear" w:color="auto" w:fill="auto"/>
            <w:noWrap/>
            <w:vAlign w:val="center"/>
            <w:hideMark/>
          </w:tcPr>
          <w:p w14:paraId="0A8F1622"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Seguros</w:t>
            </w:r>
          </w:p>
        </w:tc>
        <w:tc>
          <w:tcPr>
            <w:tcW w:w="2229" w:type="dxa"/>
            <w:tcBorders>
              <w:top w:val="nil"/>
              <w:left w:val="nil"/>
              <w:bottom w:val="single" w:sz="4" w:space="0" w:color="auto"/>
              <w:right w:val="single" w:sz="4" w:space="0" w:color="auto"/>
            </w:tcBorders>
            <w:shd w:val="clear" w:color="auto" w:fill="auto"/>
            <w:noWrap/>
            <w:vAlign w:val="center"/>
            <w:hideMark/>
          </w:tcPr>
          <w:p w14:paraId="2E50BC91" w14:textId="768AEC94"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7,307,992</w:t>
            </w:r>
          </w:p>
        </w:tc>
        <w:tc>
          <w:tcPr>
            <w:tcW w:w="1704" w:type="dxa"/>
            <w:tcBorders>
              <w:top w:val="nil"/>
              <w:left w:val="nil"/>
              <w:bottom w:val="single" w:sz="4" w:space="0" w:color="auto"/>
              <w:right w:val="single" w:sz="4" w:space="0" w:color="auto"/>
            </w:tcBorders>
            <w:shd w:val="clear" w:color="auto" w:fill="auto"/>
            <w:noWrap/>
            <w:vAlign w:val="center"/>
            <w:hideMark/>
          </w:tcPr>
          <w:p w14:paraId="6A5ED293" w14:textId="0B689CBD"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3,307,061</w:t>
            </w:r>
          </w:p>
        </w:tc>
        <w:tc>
          <w:tcPr>
            <w:tcW w:w="1559" w:type="dxa"/>
            <w:tcBorders>
              <w:top w:val="nil"/>
              <w:left w:val="nil"/>
              <w:bottom w:val="single" w:sz="4" w:space="0" w:color="auto"/>
              <w:right w:val="single" w:sz="8" w:space="0" w:color="auto"/>
            </w:tcBorders>
            <w:shd w:val="clear" w:color="auto" w:fill="auto"/>
            <w:noWrap/>
            <w:vAlign w:val="bottom"/>
            <w:hideMark/>
          </w:tcPr>
          <w:p w14:paraId="52C151AE"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45.25%</w:t>
            </w:r>
          </w:p>
        </w:tc>
        <w:tc>
          <w:tcPr>
            <w:tcW w:w="160" w:type="dxa"/>
            <w:vAlign w:val="center"/>
            <w:hideMark/>
          </w:tcPr>
          <w:p w14:paraId="5D6758DA"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3BBC01D6"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05C23BD6"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1.07.01</w:t>
            </w:r>
          </w:p>
        </w:tc>
        <w:tc>
          <w:tcPr>
            <w:tcW w:w="3296" w:type="dxa"/>
            <w:tcBorders>
              <w:top w:val="nil"/>
              <w:left w:val="nil"/>
              <w:bottom w:val="single" w:sz="4" w:space="0" w:color="auto"/>
              <w:right w:val="single" w:sz="8" w:space="0" w:color="auto"/>
            </w:tcBorders>
            <w:shd w:val="clear" w:color="auto" w:fill="auto"/>
            <w:noWrap/>
            <w:vAlign w:val="center"/>
            <w:hideMark/>
          </w:tcPr>
          <w:p w14:paraId="077E229D"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Actividades de capacitación</w:t>
            </w:r>
          </w:p>
        </w:tc>
        <w:tc>
          <w:tcPr>
            <w:tcW w:w="2229" w:type="dxa"/>
            <w:tcBorders>
              <w:top w:val="nil"/>
              <w:left w:val="nil"/>
              <w:bottom w:val="single" w:sz="4" w:space="0" w:color="auto"/>
              <w:right w:val="single" w:sz="4" w:space="0" w:color="auto"/>
            </w:tcBorders>
            <w:shd w:val="clear" w:color="auto" w:fill="auto"/>
            <w:noWrap/>
            <w:vAlign w:val="center"/>
            <w:hideMark/>
          </w:tcPr>
          <w:p w14:paraId="0D029869" w14:textId="793B351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2,345,000</w:t>
            </w:r>
          </w:p>
        </w:tc>
        <w:tc>
          <w:tcPr>
            <w:tcW w:w="1704" w:type="dxa"/>
            <w:tcBorders>
              <w:top w:val="nil"/>
              <w:left w:val="nil"/>
              <w:bottom w:val="single" w:sz="4" w:space="0" w:color="auto"/>
              <w:right w:val="single" w:sz="4" w:space="0" w:color="auto"/>
            </w:tcBorders>
            <w:shd w:val="clear" w:color="auto" w:fill="auto"/>
            <w:noWrap/>
            <w:vAlign w:val="center"/>
            <w:hideMark/>
          </w:tcPr>
          <w:p w14:paraId="379DB08A"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378A610B"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52B9C4B4"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3AAF57C8"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369F3D6B"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1.09.02</w:t>
            </w:r>
          </w:p>
        </w:tc>
        <w:tc>
          <w:tcPr>
            <w:tcW w:w="3296" w:type="dxa"/>
            <w:tcBorders>
              <w:top w:val="nil"/>
              <w:left w:val="nil"/>
              <w:bottom w:val="single" w:sz="4" w:space="0" w:color="auto"/>
              <w:right w:val="single" w:sz="8" w:space="0" w:color="auto"/>
            </w:tcBorders>
            <w:shd w:val="clear" w:color="auto" w:fill="auto"/>
            <w:noWrap/>
            <w:vAlign w:val="center"/>
            <w:hideMark/>
          </w:tcPr>
          <w:p w14:paraId="16040113"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Impuestos sobre la propiedad de bienes inmuebles</w:t>
            </w:r>
          </w:p>
        </w:tc>
        <w:tc>
          <w:tcPr>
            <w:tcW w:w="2229" w:type="dxa"/>
            <w:tcBorders>
              <w:top w:val="nil"/>
              <w:left w:val="nil"/>
              <w:bottom w:val="single" w:sz="4" w:space="0" w:color="auto"/>
              <w:right w:val="single" w:sz="4" w:space="0" w:color="auto"/>
            </w:tcBorders>
            <w:shd w:val="clear" w:color="auto" w:fill="auto"/>
            <w:noWrap/>
            <w:vAlign w:val="center"/>
            <w:hideMark/>
          </w:tcPr>
          <w:p w14:paraId="32A9E928" w14:textId="548C02CD"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3,600,000 </w:t>
            </w:r>
          </w:p>
        </w:tc>
        <w:tc>
          <w:tcPr>
            <w:tcW w:w="1704" w:type="dxa"/>
            <w:tcBorders>
              <w:top w:val="nil"/>
              <w:left w:val="nil"/>
              <w:bottom w:val="single" w:sz="4" w:space="0" w:color="auto"/>
              <w:right w:val="single" w:sz="4" w:space="0" w:color="auto"/>
            </w:tcBorders>
            <w:shd w:val="clear" w:color="auto" w:fill="auto"/>
            <w:noWrap/>
            <w:vAlign w:val="center"/>
            <w:hideMark/>
          </w:tcPr>
          <w:p w14:paraId="3B62604C" w14:textId="6C736D0C"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1,304,349</w:t>
            </w:r>
          </w:p>
        </w:tc>
        <w:tc>
          <w:tcPr>
            <w:tcW w:w="1559" w:type="dxa"/>
            <w:tcBorders>
              <w:top w:val="nil"/>
              <w:left w:val="nil"/>
              <w:bottom w:val="single" w:sz="4" w:space="0" w:color="auto"/>
              <w:right w:val="single" w:sz="8" w:space="0" w:color="auto"/>
            </w:tcBorders>
            <w:shd w:val="clear" w:color="auto" w:fill="auto"/>
            <w:noWrap/>
            <w:vAlign w:val="bottom"/>
            <w:hideMark/>
          </w:tcPr>
          <w:p w14:paraId="4815295D"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36.23%</w:t>
            </w:r>
          </w:p>
        </w:tc>
        <w:tc>
          <w:tcPr>
            <w:tcW w:w="160" w:type="dxa"/>
            <w:vAlign w:val="center"/>
            <w:hideMark/>
          </w:tcPr>
          <w:p w14:paraId="6EE0A1E2"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31E0AC28"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73C77715"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1.09.99</w:t>
            </w:r>
          </w:p>
        </w:tc>
        <w:tc>
          <w:tcPr>
            <w:tcW w:w="3296" w:type="dxa"/>
            <w:tcBorders>
              <w:top w:val="nil"/>
              <w:left w:val="nil"/>
              <w:bottom w:val="single" w:sz="4" w:space="0" w:color="auto"/>
              <w:right w:val="single" w:sz="8" w:space="0" w:color="auto"/>
            </w:tcBorders>
            <w:shd w:val="clear" w:color="auto" w:fill="auto"/>
            <w:noWrap/>
            <w:vAlign w:val="center"/>
            <w:hideMark/>
          </w:tcPr>
          <w:p w14:paraId="46306241"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Otros impuestos</w:t>
            </w:r>
          </w:p>
        </w:tc>
        <w:tc>
          <w:tcPr>
            <w:tcW w:w="2229" w:type="dxa"/>
            <w:tcBorders>
              <w:top w:val="nil"/>
              <w:left w:val="nil"/>
              <w:bottom w:val="single" w:sz="4" w:space="0" w:color="auto"/>
              <w:right w:val="single" w:sz="4" w:space="0" w:color="auto"/>
            </w:tcBorders>
            <w:shd w:val="clear" w:color="auto" w:fill="auto"/>
            <w:noWrap/>
            <w:vAlign w:val="center"/>
            <w:hideMark/>
          </w:tcPr>
          <w:p w14:paraId="49363ABE" w14:textId="5E8250B3"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2,022,000</w:t>
            </w:r>
          </w:p>
        </w:tc>
        <w:tc>
          <w:tcPr>
            <w:tcW w:w="1704" w:type="dxa"/>
            <w:tcBorders>
              <w:top w:val="nil"/>
              <w:left w:val="nil"/>
              <w:bottom w:val="single" w:sz="4" w:space="0" w:color="auto"/>
              <w:right w:val="single" w:sz="4" w:space="0" w:color="auto"/>
            </w:tcBorders>
            <w:shd w:val="clear" w:color="auto" w:fill="auto"/>
            <w:noWrap/>
            <w:vAlign w:val="center"/>
            <w:hideMark/>
          </w:tcPr>
          <w:p w14:paraId="407870C7"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678B4F64"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6671AC02"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4CDEB875"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133955CC"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1.99.02 </w:t>
            </w:r>
          </w:p>
        </w:tc>
        <w:tc>
          <w:tcPr>
            <w:tcW w:w="3296" w:type="dxa"/>
            <w:tcBorders>
              <w:top w:val="nil"/>
              <w:left w:val="nil"/>
              <w:bottom w:val="single" w:sz="4" w:space="0" w:color="auto"/>
              <w:right w:val="single" w:sz="8" w:space="0" w:color="auto"/>
            </w:tcBorders>
            <w:shd w:val="clear" w:color="auto" w:fill="auto"/>
            <w:noWrap/>
            <w:vAlign w:val="center"/>
            <w:hideMark/>
          </w:tcPr>
          <w:p w14:paraId="199D2FBB"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Intereses moratorios y multas</w:t>
            </w:r>
          </w:p>
        </w:tc>
        <w:tc>
          <w:tcPr>
            <w:tcW w:w="2229" w:type="dxa"/>
            <w:tcBorders>
              <w:top w:val="nil"/>
              <w:left w:val="nil"/>
              <w:bottom w:val="single" w:sz="4" w:space="0" w:color="auto"/>
              <w:right w:val="single" w:sz="4" w:space="0" w:color="auto"/>
            </w:tcBorders>
            <w:shd w:val="clear" w:color="auto" w:fill="auto"/>
            <w:noWrap/>
            <w:vAlign w:val="center"/>
            <w:hideMark/>
          </w:tcPr>
          <w:p w14:paraId="3E3CCA63" w14:textId="2B57D7FA"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800,000</w:t>
            </w:r>
          </w:p>
        </w:tc>
        <w:tc>
          <w:tcPr>
            <w:tcW w:w="1704" w:type="dxa"/>
            <w:tcBorders>
              <w:top w:val="nil"/>
              <w:left w:val="nil"/>
              <w:bottom w:val="single" w:sz="4" w:space="0" w:color="auto"/>
              <w:right w:val="single" w:sz="4" w:space="0" w:color="auto"/>
            </w:tcBorders>
            <w:shd w:val="clear" w:color="auto" w:fill="auto"/>
            <w:noWrap/>
            <w:vAlign w:val="center"/>
            <w:hideMark/>
          </w:tcPr>
          <w:p w14:paraId="3D2D0D4F" w14:textId="06750099"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82,182</w:t>
            </w:r>
          </w:p>
        </w:tc>
        <w:tc>
          <w:tcPr>
            <w:tcW w:w="1559" w:type="dxa"/>
            <w:tcBorders>
              <w:top w:val="nil"/>
              <w:left w:val="nil"/>
              <w:bottom w:val="single" w:sz="4" w:space="0" w:color="auto"/>
              <w:right w:val="single" w:sz="8" w:space="0" w:color="auto"/>
            </w:tcBorders>
            <w:shd w:val="clear" w:color="auto" w:fill="auto"/>
            <w:noWrap/>
            <w:vAlign w:val="bottom"/>
            <w:hideMark/>
          </w:tcPr>
          <w:p w14:paraId="04646545"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10.27%</w:t>
            </w:r>
          </w:p>
        </w:tc>
        <w:tc>
          <w:tcPr>
            <w:tcW w:w="160" w:type="dxa"/>
            <w:vAlign w:val="center"/>
            <w:hideMark/>
          </w:tcPr>
          <w:p w14:paraId="1A8DCC2E"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604D45F5"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17573FBE"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1.99.05</w:t>
            </w:r>
          </w:p>
        </w:tc>
        <w:tc>
          <w:tcPr>
            <w:tcW w:w="3296" w:type="dxa"/>
            <w:tcBorders>
              <w:top w:val="nil"/>
              <w:left w:val="nil"/>
              <w:bottom w:val="single" w:sz="4" w:space="0" w:color="auto"/>
              <w:right w:val="single" w:sz="8" w:space="0" w:color="auto"/>
            </w:tcBorders>
            <w:shd w:val="clear" w:color="auto" w:fill="auto"/>
            <w:noWrap/>
            <w:vAlign w:val="center"/>
            <w:hideMark/>
          </w:tcPr>
          <w:p w14:paraId="09350A55"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Deducibles</w:t>
            </w:r>
          </w:p>
        </w:tc>
        <w:tc>
          <w:tcPr>
            <w:tcW w:w="2229" w:type="dxa"/>
            <w:tcBorders>
              <w:top w:val="nil"/>
              <w:left w:val="nil"/>
              <w:bottom w:val="single" w:sz="4" w:space="0" w:color="auto"/>
              <w:right w:val="single" w:sz="4" w:space="0" w:color="auto"/>
            </w:tcBorders>
            <w:shd w:val="clear" w:color="auto" w:fill="auto"/>
            <w:noWrap/>
            <w:vAlign w:val="center"/>
            <w:hideMark/>
          </w:tcPr>
          <w:p w14:paraId="52DA1C18" w14:textId="76F47BC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615,000</w:t>
            </w:r>
          </w:p>
        </w:tc>
        <w:tc>
          <w:tcPr>
            <w:tcW w:w="1704" w:type="dxa"/>
            <w:tcBorders>
              <w:top w:val="nil"/>
              <w:left w:val="nil"/>
              <w:bottom w:val="single" w:sz="4" w:space="0" w:color="auto"/>
              <w:right w:val="single" w:sz="4" w:space="0" w:color="auto"/>
            </w:tcBorders>
            <w:shd w:val="clear" w:color="auto" w:fill="auto"/>
            <w:noWrap/>
            <w:vAlign w:val="center"/>
            <w:hideMark/>
          </w:tcPr>
          <w:p w14:paraId="1474ADEC"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5B40EB1C"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648869BC"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3B98F727" w14:textId="77777777" w:rsidTr="00452713">
        <w:trPr>
          <w:trHeight w:val="288"/>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0F81C117"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1.99.99</w:t>
            </w:r>
          </w:p>
        </w:tc>
        <w:tc>
          <w:tcPr>
            <w:tcW w:w="3296" w:type="dxa"/>
            <w:tcBorders>
              <w:top w:val="nil"/>
              <w:left w:val="nil"/>
              <w:bottom w:val="single" w:sz="4" w:space="0" w:color="auto"/>
              <w:right w:val="single" w:sz="8" w:space="0" w:color="auto"/>
            </w:tcBorders>
            <w:shd w:val="clear" w:color="auto" w:fill="auto"/>
            <w:noWrap/>
            <w:vAlign w:val="center"/>
            <w:hideMark/>
          </w:tcPr>
          <w:p w14:paraId="7FD95735"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Otros servicios no especificados </w:t>
            </w:r>
          </w:p>
        </w:tc>
        <w:tc>
          <w:tcPr>
            <w:tcW w:w="2229" w:type="dxa"/>
            <w:tcBorders>
              <w:top w:val="nil"/>
              <w:left w:val="nil"/>
              <w:bottom w:val="single" w:sz="4" w:space="0" w:color="auto"/>
              <w:right w:val="single" w:sz="4" w:space="0" w:color="auto"/>
            </w:tcBorders>
            <w:shd w:val="clear" w:color="auto" w:fill="auto"/>
            <w:noWrap/>
            <w:vAlign w:val="center"/>
            <w:hideMark/>
          </w:tcPr>
          <w:p w14:paraId="4FF393E0" w14:textId="3AD29CF0"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215,000 </w:t>
            </w:r>
          </w:p>
        </w:tc>
        <w:tc>
          <w:tcPr>
            <w:tcW w:w="1704" w:type="dxa"/>
            <w:tcBorders>
              <w:top w:val="nil"/>
              <w:left w:val="nil"/>
              <w:bottom w:val="single" w:sz="4" w:space="0" w:color="auto"/>
              <w:right w:val="single" w:sz="4" w:space="0" w:color="auto"/>
            </w:tcBorders>
            <w:shd w:val="clear" w:color="auto" w:fill="auto"/>
            <w:noWrap/>
            <w:vAlign w:val="center"/>
            <w:hideMark/>
          </w:tcPr>
          <w:p w14:paraId="4E7CC986" w14:textId="77777777" w:rsidR="00860717" w:rsidRPr="00860717" w:rsidRDefault="00860717" w:rsidP="00A76A6F">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559" w:type="dxa"/>
            <w:tcBorders>
              <w:top w:val="nil"/>
              <w:left w:val="nil"/>
              <w:bottom w:val="single" w:sz="4" w:space="0" w:color="auto"/>
              <w:right w:val="single" w:sz="8" w:space="0" w:color="auto"/>
            </w:tcBorders>
            <w:shd w:val="clear" w:color="auto" w:fill="auto"/>
            <w:noWrap/>
            <w:vAlign w:val="bottom"/>
            <w:hideMark/>
          </w:tcPr>
          <w:p w14:paraId="244BE8A8" w14:textId="77777777" w:rsidR="00860717" w:rsidRPr="00860717" w:rsidRDefault="00860717" w:rsidP="00A76A6F">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0F2939BE"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bl>
    <w:p w14:paraId="5FD60259" w14:textId="77777777" w:rsidR="00B608B3" w:rsidRDefault="00B608B3" w:rsidP="00544D70">
      <w:pPr>
        <w:jc w:val="both"/>
        <w:rPr>
          <w:rFonts w:ascii="Arial" w:hAnsi="Arial" w:cs="Arial"/>
        </w:rPr>
      </w:pPr>
    </w:p>
    <w:p w14:paraId="327EE6BA" w14:textId="0CFA1B06" w:rsidR="00E80A8E" w:rsidRPr="009C73C2" w:rsidRDefault="00E80A8E" w:rsidP="00E80A8E">
      <w:pPr>
        <w:jc w:val="both"/>
        <w:rPr>
          <w:rFonts w:ascii="Arial" w:hAnsi="Arial" w:cs="Arial"/>
          <w:sz w:val="24"/>
          <w:szCs w:val="24"/>
        </w:rPr>
      </w:pPr>
      <w:r w:rsidRPr="00E63382">
        <w:rPr>
          <w:rFonts w:ascii="Arial" w:hAnsi="Arial" w:cs="Arial"/>
          <w:sz w:val="24"/>
          <w:szCs w:val="24"/>
        </w:rPr>
        <w:t xml:space="preserve">Al cierre del primer semestre hay compromisos por </w:t>
      </w:r>
      <w:r w:rsidR="002039DE">
        <w:rPr>
          <w:rFonts w:ascii="Arial" w:hAnsi="Arial" w:cs="Arial"/>
          <w:sz w:val="24"/>
          <w:szCs w:val="24"/>
        </w:rPr>
        <w:t xml:space="preserve">la suma de </w:t>
      </w:r>
      <w:r w:rsidRPr="00E63382">
        <w:rPr>
          <w:rFonts w:ascii="Arial" w:hAnsi="Arial" w:cs="Arial"/>
          <w:b/>
          <w:sz w:val="24"/>
          <w:szCs w:val="24"/>
        </w:rPr>
        <w:t>¢</w:t>
      </w:r>
      <w:r w:rsidR="002039DE">
        <w:rPr>
          <w:rFonts w:ascii="Arial" w:hAnsi="Arial" w:cs="Arial"/>
          <w:b/>
          <w:sz w:val="24"/>
          <w:szCs w:val="24"/>
        </w:rPr>
        <w:t>45.542.266</w:t>
      </w:r>
      <w:r w:rsidRPr="00E63382">
        <w:rPr>
          <w:rFonts w:ascii="Arial" w:hAnsi="Arial" w:cs="Arial"/>
          <w:sz w:val="24"/>
          <w:szCs w:val="24"/>
        </w:rPr>
        <w:t xml:space="preserve"> en su mayoría corresponden a contrataciones en trámite</w:t>
      </w:r>
      <w:r w:rsidR="002039DE">
        <w:rPr>
          <w:rFonts w:ascii="Arial" w:hAnsi="Arial" w:cs="Arial"/>
          <w:sz w:val="24"/>
          <w:szCs w:val="24"/>
        </w:rPr>
        <w:t>, las cuales se ejecutarán durante el segundo semestre</w:t>
      </w:r>
      <w:r w:rsidRPr="00E63382">
        <w:rPr>
          <w:rFonts w:ascii="Arial" w:hAnsi="Arial" w:cs="Arial"/>
          <w:sz w:val="24"/>
          <w:szCs w:val="24"/>
        </w:rPr>
        <w:t>.</w:t>
      </w:r>
    </w:p>
    <w:p w14:paraId="6D67420F" w14:textId="77777777" w:rsidR="00A76A6F" w:rsidRDefault="00A76A6F" w:rsidP="0064010E">
      <w:pPr>
        <w:spacing w:after="0" w:line="240" w:lineRule="auto"/>
        <w:rPr>
          <w:rFonts w:ascii="Arial" w:hAnsi="Arial" w:cs="Arial"/>
          <w:b/>
          <w:sz w:val="24"/>
        </w:rPr>
      </w:pPr>
    </w:p>
    <w:p w14:paraId="666004CF" w14:textId="7E571255" w:rsidR="0064010E" w:rsidRPr="00DF39CA" w:rsidRDefault="0064010E" w:rsidP="0064010E">
      <w:pPr>
        <w:spacing w:after="0" w:line="240" w:lineRule="auto"/>
        <w:rPr>
          <w:rFonts w:ascii="Arial" w:hAnsi="Arial" w:cs="Arial"/>
          <w:b/>
          <w:sz w:val="24"/>
        </w:rPr>
      </w:pPr>
      <w:r w:rsidRPr="00DF39CA">
        <w:rPr>
          <w:rFonts w:ascii="Arial" w:hAnsi="Arial" w:cs="Arial"/>
          <w:b/>
          <w:sz w:val="24"/>
        </w:rPr>
        <w:t xml:space="preserve">MATERIALES Y SUMINISTROS </w:t>
      </w:r>
    </w:p>
    <w:p w14:paraId="0CA55BE2" w14:textId="77777777" w:rsidR="0064010E" w:rsidRPr="00DF39CA" w:rsidRDefault="0064010E" w:rsidP="0064010E">
      <w:pPr>
        <w:spacing w:after="0" w:line="240" w:lineRule="auto"/>
        <w:rPr>
          <w:rFonts w:ascii="Arial" w:hAnsi="Arial" w:cs="Arial"/>
          <w:sz w:val="24"/>
        </w:rPr>
      </w:pPr>
    </w:p>
    <w:p w14:paraId="3EC2A90B" w14:textId="095F5256" w:rsidR="0064010E" w:rsidRDefault="0064010E" w:rsidP="00E6462F">
      <w:pPr>
        <w:jc w:val="both"/>
        <w:rPr>
          <w:rFonts w:ascii="Arial" w:hAnsi="Arial" w:cs="Arial"/>
          <w:sz w:val="24"/>
        </w:rPr>
      </w:pPr>
      <w:r w:rsidRPr="00DF39CA">
        <w:rPr>
          <w:rFonts w:ascii="Arial" w:hAnsi="Arial" w:cs="Arial"/>
          <w:sz w:val="24"/>
        </w:rPr>
        <w:t xml:space="preserve">En este grupo se presupuestó la suma de </w:t>
      </w:r>
      <w:r w:rsidRPr="00DF39CA">
        <w:rPr>
          <w:rFonts w:ascii="Arial" w:hAnsi="Arial" w:cs="Arial"/>
          <w:b/>
          <w:sz w:val="24"/>
        </w:rPr>
        <w:t>¢</w:t>
      </w:r>
      <w:r w:rsidR="00544643" w:rsidRPr="00DF39CA">
        <w:rPr>
          <w:rFonts w:ascii="Arial" w:hAnsi="Arial" w:cs="Arial"/>
          <w:b/>
          <w:sz w:val="24"/>
        </w:rPr>
        <w:t>393.861.105</w:t>
      </w:r>
      <w:r w:rsidR="00CE7148" w:rsidRPr="00DF39CA">
        <w:rPr>
          <w:rFonts w:ascii="Arial" w:hAnsi="Arial" w:cs="Arial"/>
          <w:b/>
          <w:sz w:val="24"/>
        </w:rPr>
        <w:t xml:space="preserve"> </w:t>
      </w:r>
      <w:r w:rsidR="00CE7148" w:rsidRPr="00DF39CA">
        <w:rPr>
          <w:rFonts w:ascii="Arial" w:hAnsi="Arial" w:cs="Arial"/>
          <w:sz w:val="24"/>
        </w:rPr>
        <w:t xml:space="preserve">de los cuales </w:t>
      </w:r>
      <w:r w:rsidR="00735757" w:rsidRPr="00DF39CA">
        <w:rPr>
          <w:rFonts w:ascii="Arial" w:hAnsi="Arial" w:cs="Arial"/>
          <w:sz w:val="24"/>
        </w:rPr>
        <w:t>en el p</w:t>
      </w:r>
      <w:r w:rsidR="006A7ABB" w:rsidRPr="00DF39CA">
        <w:rPr>
          <w:rFonts w:ascii="Arial" w:hAnsi="Arial" w:cs="Arial"/>
          <w:sz w:val="24"/>
        </w:rPr>
        <w:t xml:space="preserve">eriodo se </w:t>
      </w:r>
      <w:r w:rsidR="00735757" w:rsidRPr="00DF39CA">
        <w:rPr>
          <w:rFonts w:ascii="Arial" w:hAnsi="Arial" w:cs="Arial"/>
          <w:sz w:val="24"/>
        </w:rPr>
        <w:t>ejecut</w:t>
      </w:r>
      <w:r w:rsidR="006A7ABB" w:rsidRPr="00DF39CA">
        <w:rPr>
          <w:rFonts w:ascii="Arial" w:hAnsi="Arial" w:cs="Arial"/>
          <w:sz w:val="24"/>
        </w:rPr>
        <w:t xml:space="preserve">ó la suma de </w:t>
      </w:r>
      <w:r w:rsidR="00CE7148" w:rsidRPr="00DF39CA">
        <w:rPr>
          <w:rFonts w:ascii="Arial" w:hAnsi="Arial" w:cs="Arial"/>
          <w:b/>
          <w:sz w:val="24"/>
        </w:rPr>
        <w:t>¢</w:t>
      </w:r>
      <w:r w:rsidR="00544643" w:rsidRPr="00DF39CA">
        <w:rPr>
          <w:rFonts w:ascii="Arial" w:hAnsi="Arial" w:cs="Arial"/>
          <w:b/>
          <w:sz w:val="24"/>
        </w:rPr>
        <w:t>96.584</w:t>
      </w:r>
      <w:r w:rsidR="00CE7148" w:rsidRPr="00DF39CA">
        <w:rPr>
          <w:rFonts w:ascii="Arial" w:hAnsi="Arial" w:cs="Arial"/>
          <w:sz w:val="24"/>
        </w:rPr>
        <w:t xml:space="preserve"> </w:t>
      </w:r>
      <w:r w:rsidR="006A7ABB" w:rsidRPr="00DF39CA">
        <w:rPr>
          <w:rFonts w:ascii="Arial" w:hAnsi="Arial" w:cs="Arial"/>
          <w:sz w:val="24"/>
        </w:rPr>
        <w:t xml:space="preserve">del monto </w:t>
      </w:r>
      <w:r w:rsidR="005252D1" w:rsidRPr="00DF39CA">
        <w:rPr>
          <w:rFonts w:ascii="Arial" w:hAnsi="Arial" w:cs="Arial"/>
          <w:sz w:val="24"/>
        </w:rPr>
        <w:t>indicado</w:t>
      </w:r>
      <w:r w:rsidR="00735757" w:rsidRPr="00DF39CA">
        <w:rPr>
          <w:rFonts w:ascii="Arial" w:hAnsi="Arial" w:cs="Arial"/>
          <w:sz w:val="24"/>
        </w:rPr>
        <w:t xml:space="preserve">. </w:t>
      </w:r>
    </w:p>
    <w:p w14:paraId="11E411B1" w14:textId="77777777" w:rsidR="009D79D6" w:rsidRDefault="00C60B7D" w:rsidP="00E6462F">
      <w:pPr>
        <w:jc w:val="both"/>
        <w:rPr>
          <w:rFonts w:ascii="Arial" w:hAnsi="Arial" w:cs="Arial"/>
          <w:sz w:val="24"/>
          <w:szCs w:val="24"/>
        </w:rPr>
      </w:pPr>
      <w:r w:rsidRPr="00E80A8E">
        <w:rPr>
          <w:rFonts w:ascii="Arial" w:hAnsi="Arial" w:cs="Arial"/>
          <w:sz w:val="24"/>
          <w:szCs w:val="24"/>
        </w:rPr>
        <w:lastRenderedPageBreak/>
        <w:t xml:space="preserve">Estos en su mayoría son recursos </w:t>
      </w:r>
      <w:r>
        <w:rPr>
          <w:rFonts w:ascii="Arial" w:hAnsi="Arial" w:cs="Arial"/>
          <w:sz w:val="24"/>
          <w:szCs w:val="24"/>
        </w:rPr>
        <w:t xml:space="preserve">para la </w:t>
      </w:r>
      <w:r w:rsidRPr="00E80A8E">
        <w:rPr>
          <w:rFonts w:ascii="Arial" w:hAnsi="Arial" w:cs="Arial"/>
          <w:sz w:val="24"/>
          <w:szCs w:val="24"/>
        </w:rPr>
        <w:t xml:space="preserve">implementación del Acuerdo de Pagos Basados en Desempeño y el fortalecimiento de la Estrategia Nacional de Manejo </w:t>
      </w:r>
    </w:p>
    <w:p w14:paraId="76B111DA" w14:textId="77777777" w:rsidR="00445408" w:rsidRDefault="00445408" w:rsidP="00E6462F">
      <w:pPr>
        <w:jc w:val="both"/>
        <w:rPr>
          <w:rFonts w:ascii="Arial" w:hAnsi="Arial" w:cs="Arial"/>
          <w:sz w:val="24"/>
          <w:szCs w:val="24"/>
        </w:rPr>
      </w:pPr>
    </w:p>
    <w:p w14:paraId="5DDF1DBF" w14:textId="5EB24CFF" w:rsidR="00C60B7D" w:rsidRDefault="00C60B7D" w:rsidP="00E6462F">
      <w:pPr>
        <w:jc w:val="both"/>
        <w:rPr>
          <w:rFonts w:ascii="Arial" w:hAnsi="Arial" w:cs="Arial"/>
          <w:sz w:val="24"/>
          <w:szCs w:val="24"/>
        </w:rPr>
      </w:pPr>
      <w:r w:rsidRPr="00E80A8E">
        <w:rPr>
          <w:rFonts w:ascii="Arial" w:hAnsi="Arial" w:cs="Arial"/>
          <w:sz w:val="24"/>
          <w:szCs w:val="24"/>
        </w:rPr>
        <w:t>del Fuego</w:t>
      </w:r>
      <w:r>
        <w:rPr>
          <w:rFonts w:ascii="Arial" w:hAnsi="Arial" w:cs="Arial"/>
          <w:sz w:val="24"/>
          <w:szCs w:val="24"/>
        </w:rPr>
        <w:t xml:space="preserve">, que permitirán la compra de distintos materiales para la realización de talleres de capacitación, así como la compra de materiales para el control y liquidación de incendios, a </w:t>
      </w:r>
      <w:r w:rsidR="005E52BD">
        <w:rPr>
          <w:rFonts w:ascii="Arial" w:hAnsi="Arial" w:cs="Arial"/>
          <w:sz w:val="24"/>
          <w:szCs w:val="24"/>
        </w:rPr>
        <w:t>continuación,</w:t>
      </w:r>
      <w:r>
        <w:rPr>
          <w:rFonts w:ascii="Arial" w:hAnsi="Arial" w:cs="Arial"/>
          <w:sz w:val="24"/>
          <w:szCs w:val="24"/>
        </w:rPr>
        <w:t xml:space="preserve"> se detalla</w:t>
      </w:r>
      <w:r w:rsidR="00445408">
        <w:rPr>
          <w:rFonts w:ascii="Arial" w:hAnsi="Arial" w:cs="Arial"/>
          <w:sz w:val="24"/>
          <w:szCs w:val="24"/>
        </w:rPr>
        <w:t>:</w:t>
      </w:r>
    </w:p>
    <w:tbl>
      <w:tblPr>
        <w:tblW w:w="9989" w:type="dxa"/>
        <w:tblInd w:w="-152" w:type="dxa"/>
        <w:tblLayout w:type="fixed"/>
        <w:tblCellMar>
          <w:left w:w="70" w:type="dxa"/>
          <w:right w:w="70" w:type="dxa"/>
        </w:tblCellMar>
        <w:tblLook w:val="04A0" w:firstRow="1" w:lastRow="0" w:firstColumn="1" w:lastColumn="0" w:noHBand="0" w:noVBand="1"/>
      </w:tblPr>
      <w:tblGrid>
        <w:gridCol w:w="1135"/>
        <w:gridCol w:w="3436"/>
        <w:gridCol w:w="2292"/>
        <w:gridCol w:w="1618"/>
        <w:gridCol w:w="1348"/>
        <w:gridCol w:w="160"/>
      </w:tblGrid>
      <w:tr w:rsidR="00860717" w:rsidRPr="00860717" w14:paraId="07D7059C" w14:textId="77777777" w:rsidTr="00445408">
        <w:trPr>
          <w:gridAfter w:val="1"/>
          <w:wAfter w:w="160" w:type="dxa"/>
          <w:trHeight w:val="509"/>
        </w:trPr>
        <w:tc>
          <w:tcPr>
            <w:tcW w:w="1135"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14:paraId="3DB29629" w14:textId="77777777"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CUENTA</w:t>
            </w:r>
          </w:p>
        </w:tc>
        <w:tc>
          <w:tcPr>
            <w:tcW w:w="3436"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14:paraId="07377D09" w14:textId="77777777"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NOMBRE PARTIDA, GRUPO Y SUBPARTIDA</w:t>
            </w:r>
          </w:p>
        </w:tc>
        <w:tc>
          <w:tcPr>
            <w:tcW w:w="2292" w:type="dxa"/>
            <w:vMerge w:val="restart"/>
            <w:tcBorders>
              <w:top w:val="single" w:sz="8" w:space="0" w:color="auto"/>
              <w:left w:val="single" w:sz="4" w:space="0" w:color="auto"/>
              <w:bottom w:val="single" w:sz="8" w:space="0" w:color="000000"/>
              <w:right w:val="single" w:sz="4" w:space="0" w:color="auto"/>
            </w:tcBorders>
            <w:shd w:val="clear" w:color="000000" w:fill="00B050"/>
            <w:noWrap/>
            <w:vAlign w:val="center"/>
            <w:hideMark/>
          </w:tcPr>
          <w:p w14:paraId="76C48973" w14:textId="77777777"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PRESUPUESTO APROBADO</w:t>
            </w:r>
          </w:p>
        </w:tc>
        <w:tc>
          <w:tcPr>
            <w:tcW w:w="1618" w:type="dxa"/>
            <w:vMerge w:val="restart"/>
            <w:tcBorders>
              <w:top w:val="single" w:sz="8" w:space="0" w:color="auto"/>
              <w:left w:val="single" w:sz="4" w:space="0" w:color="auto"/>
              <w:bottom w:val="single" w:sz="8" w:space="0" w:color="000000"/>
              <w:right w:val="single" w:sz="4" w:space="0" w:color="auto"/>
            </w:tcBorders>
            <w:shd w:val="clear" w:color="000000" w:fill="00B050"/>
            <w:noWrap/>
            <w:vAlign w:val="center"/>
            <w:hideMark/>
          </w:tcPr>
          <w:p w14:paraId="6CD9F00B" w14:textId="77777777"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TOTAL I SEMESTRE</w:t>
            </w:r>
          </w:p>
        </w:tc>
        <w:tc>
          <w:tcPr>
            <w:tcW w:w="1348" w:type="dxa"/>
            <w:vMerge w:val="restart"/>
            <w:tcBorders>
              <w:top w:val="single" w:sz="8" w:space="0" w:color="auto"/>
              <w:left w:val="single" w:sz="4" w:space="0" w:color="auto"/>
              <w:bottom w:val="single" w:sz="8" w:space="0" w:color="000000"/>
              <w:right w:val="single" w:sz="8" w:space="0" w:color="auto"/>
            </w:tcBorders>
            <w:shd w:val="clear" w:color="000000" w:fill="00B050"/>
            <w:noWrap/>
            <w:vAlign w:val="center"/>
            <w:hideMark/>
          </w:tcPr>
          <w:p w14:paraId="7FDACC28" w14:textId="77777777"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 EJECUTADO</w:t>
            </w:r>
          </w:p>
        </w:tc>
      </w:tr>
      <w:tr w:rsidR="00860717" w:rsidRPr="00860717" w14:paraId="28F1F6DF" w14:textId="77777777" w:rsidTr="00445408">
        <w:trPr>
          <w:trHeight w:val="43"/>
        </w:trPr>
        <w:tc>
          <w:tcPr>
            <w:tcW w:w="1135" w:type="dxa"/>
            <w:vMerge/>
            <w:tcBorders>
              <w:top w:val="single" w:sz="8" w:space="0" w:color="auto"/>
              <w:left w:val="single" w:sz="8" w:space="0" w:color="auto"/>
              <w:bottom w:val="single" w:sz="8" w:space="0" w:color="000000"/>
              <w:right w:val="single" w:sz="8" w:space="0" w:color="auto"/>
            </w:tcBorders>
            <w:vAlign w:val="center"/>
            <w:hideMark/>
          </w:tcPr>
          <w:p w14:paraId="5EFED483" w14:textId="77777777" w:rsidR="00860717" w:rsidRPr="00860717" w:rsidRDefault="00860717" w:rsidP="00860717">
            <w:pPr>
              <w:spacing w:after="0" w:line="240" w:lineRule="auto"/>
              <w:rPr>
                <w:rFonts w:ascii="Arial" w:eastAsia="Times New Roman" w:hAnsi="Arial" w:cs="Arial"/>
                <w:b/>
                <w:bCs/>
                <w:color w:val="000000"/>
                <w:sz w:val="16"/>
                <w:szCs w:val="16"/>
                <w:lang w:val="es-US" w:eastAsia="es-US"/>
              </w:rPr>
            </w:pPr>
          </w:p>
        </w:tc>
        <w:tc>
          <w:tcPr>
            <w:tcW w:w="3436" w:type="dxa"/>
            <w:vMerge/>
            <w:tcBorders>
              <w:top w:val="single" w:sz="8" w:space="0" w:color="auto"/>
              <w:left w:val="single" w:sz="8" w:space="0" w:color="auto"/>
              <w:bottom w:val="single" w:sz="8" w:space="0" w:color="000000"/>
              <w:right w:val="single" w:sz="8" w:space="0" w:color="auto"/>
            </w:tcBorders>
            <w:vAlign w:val="center"/>
            <w:hideMark/>
          </w:tcPr>
          <w:p w14:paraId="712B912F" w14:textId="77777777" w:rsidR="00860717" w:rsidRPr="00860717" w:rsidRDefault="00860717" w:rsidP="00860717">
            <w:pPr>
              <w:spacing w:after="0" w:line="240" w:lineRule="auto"/>
              <w:rPr>
                <w:rFonts w:ascii="Arial" w:eastAsia="Times New Roman" w:hAnsi="Arial" w:cs="Arial"/>
                <w:b/>
                <w:bCs/>
                <w:color w:val="000000"/>
                <w:sz w:val="16"/>
                <w:szCs w:val="16"/>
                <w:lang w:val="es-US" w:eastAsia="es-US"/>
              </w:rPr>
            </w:pPr>
          </w:p>
        </w:tc>
        <w:tc>
          <w:tcPr>
            <w:tcW w:w="2292" w:type="dxa"/>
            <w:vMerge/>
            <w:tcBorders>
              <w:top w:val="single" w:sz="8" w:space="0" w:color="auto"/>
              <w:left w:val="single" w:sz="4" w:space="0" w:color="auto"/>
              <w:bottom w:val="single" w:sz="8" w:space="0" w:color="000000"/>
              <w:right w:val="single" w:sz="4" w:space="0" w:color="auto"/>
            </w:tcBorders>
            <w:vAlign w:val="center"/>
            <w:hideMark/>
          </w:tcPr>
          <w:p w14:paraId="2F6DB1FC" w14:textId="77777777" w:rsidR="00860717" w:rsidRPr="00860717" w:rsidRDefault="00860717" w:rsidP="00860717">
            <w:pPr>
              <w:spacing w:after="0" w:line="240" w:lineRule="auto"/>
              <w:rPr>
                <w:rFonts w:ascii="Arial" w:eastAsia="Times New Roman" w:hAnsi="Arial" w:cs="Arial"/>
                <w:b/>
                <w:bCs/>
                <w:color w:val="000000"/>
                <w:sz w:val="16"/>
                <w:szCs w:val="16"/>
                <w:lang w:val="es-US" w:eastAsia="es-US"/>
              </w:rPr>
            </w:pPr>
          </w:p>
        </w:tc>
        <w:tc>
          <w:tcPr>
            <w:tcW w:w="1618" w:type="dxa"/>
            <w:vMerge/>
            <w:tcBorders>
              <w:top w:val="single" w:sz="8" w:space="0" w:color="auto"/>
              <w:left w:val="single" w:sz="4" w:space="0" w:color="auto"/>
              <w:bottom w:val="single" w:sz="8" w:space="0" w:color="000000"/>
              <w:right w:val="single" w:sz="4" w:space="0" w:color="auto"/>
            </w:tcBorders>
            <w:vAlign w:val="center"/>
            <w:hideMark/>
          </w:tcPr>
          <w:p w14:paraId="1E51D868" w14:textId="77777777" w:rsidR="00860717" w:rsidRPr="00860717" w:rsidRDefault="00860717" w:rsidP="00860717">
            <w:pPr>
              <w:spacing w:after="0" w:line="240" w:lineRule="auto"/>
              <w:rPr>
                <w:rFonts w:ascii="Arial" w:eastAsia="Times New Roman" w:hAnsi="Arial" w:cs="Arial"/>
                <w:b/>
                <w:bCs/>
                <w:color w:val="000000"/>
                <w:sz w:val="16"/>
                <w:szCs w:val="16"/>
                <w:lang w:val="es-US" w:eastAsia="es-US"/>
              </w:rPr>
            </w:pPr>
          </w:p>
        </w:tc>
        <w:tc>
          <w:tcPr>
            <w:tcW w:w="1348" w:type="dxa"/>
            <w:vMerge/>
            <w:tcBorders>
              <w:top w:val="single" w:sz="8" w:space="0" w:color="auto"/>
              <w:left w:val="single" w:sz="4" w:space="0" w:color="auto"/>
              <w:bottom w:val="single" w:sz="8" w:space="0" w:color="000000"/>
              <w:right w:val="single" w:sz="8" w:space="0" w:color="auto"/>
            </w:tcBorders>
            <w:vAlign w:val="center"/>
            <w:hideMark/>
          </w:tcPr>
          <w:p w14:paraId="44E7C8AD" w14:textId="77777777" w:rsidR="00860717" w:rsidRPr="00860717" w:rsidRDefault="00860717" w:rsidP="00860717">
            <w:pPr>
              <w:spacing w:after="0" w:line="240" w:lineRule="auto"/>
              <w:rPr>
                <w:rFonts w:ascii="Arial" w:eastAsia="Times New Roman" w:hAnsi="Arial" w:cs="Arial"/>
                <w:b/>
                <w:bCs/>
                <w:color w:val="000000"/>
                <w:sz w:val="16"/>
                <w:szCs w:val="16"/>
                <w:lang w:val="es-US" w:eastAsia="es-US"/>
              </w:rPr>
            </w:pPr>
          </w:p>
        </w:tc>
        <w:tc>
          <w:tcPr>
            <w:tcW w:w="160" w:type="dxa"/>
            <w:tcBorders>
              <w:top w:val="nil"/>
              <w:left w:val="nil"/>
              <w:bottom w:val="nil"/>
              <w:right w:val="nil"/>
            </w:tcBorders>
            <w:shd w:val="clear" w:color="auto" w:fill="auto"/>
            <w:noWrap/>
            <w:vAlign w:val="bottom"/>
            <w:hideMark/>
          </w:tcPr>
          <w:p w14:paraId="0B0A65D9" w14:textId="77777777" w:rsidR="00860717" w:rsidRPr="00860717" w:rsidRDefault="00860717" w:rsidP="00860717">
            <w:pPr>
              <w:spacing w:after="0" w:line="240" w:lineRule="auto"/>
              <w:jc w:val="center"/>
              <w:rPr>
                <w:rFonts w:ascii="Arial" w:eastAsia="Times New Roman" w:hAnsi="Arial" w:cs="Arial"/>
                <w:b/>
                <w:bCs/>
                <w:color w:val="000000"/>
                <w:sz w:val="16"/>
                <w:szCs w:val="16"/>
                <w:lang w:val="es-US" w:eastAsia="es-US"/>
              </w:rPr>
            </w:pPr>
          </w:p>
        </w:tc>
      </w:tr>
      <w:tr w:rsidR="00860717" w:rsidRPr="00860717" w14:paraId="3D5CF4F8" w14:textId="77777777" w:rsidTr="00445408">
        <w:trPr>
          <w:trHeight w:val="248"/>
        </w:trPr>
        <w:tc>
          <w:tcPr>
            <w:tcW w:w="1135" w:type="dxa"/>
            <w:tcBorders>
              <w:top w:val="nil"/>
              <w:left w:val="single" w:sz="8" w:space="0" w:color="auto"/>
              <w:bottom w:val="single" w:sz="4" w:space="0" w:color="auto"/>
              <w:right w:val="single" w:sz="4" w:space="0" w:color="auto"/>
            </w:tcBorders>
            <w:shd w:val="clear" w:color="000000" w:fill="00B050"/>
            <w:noWrap/>
            <w:vAlign w:val="center"/>
            <w:hideMark/>
          </w:tcPr>
          <w:p w14:paraId="659895F6" w14:textId="611179FB" w:rsidR="00860717" w:rsidRPr="00860717" w:rsidRDefault="00445408" w:rsidP="00445408">
            <w:pPr>
              <w:spacing w:after="0" w:line="240" w:lineRule="auto"/>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2</w:t>
            </w:r>
            <w:r w:rsidR="00860717" w:rsidRPr="00860717">
              <w:rPr>
                <w:rFonts w:ascii="Arial" w:eastAsia="Times New Roman" w:hAnsi="Arial" w:cs="Arial"/>
                <w:b/>
                <w:bCs/>
                <w:sz w:val="16"/>
                <w:szCs w:val="16"/>
                <w:lang w:val="es-US" w:eastAsia="es-US"/>
              </w:rPr>
              <w:t xml:space="preserve"> </w:t>
            </w:r>
          </w:p>
        </w:tc>
        <w:tc>
          <w:tcPr>
            <w:tcW w:w="3436" w:type="dxa"/>
            <w:tcBorders>
              <w:top w:val="nil"/>
              <w:left w:val="nil"/>
              <w:bottom w:val="single" w:sz="4" w:space="0" w:color="auto"/>
              <w:right w:val="single" w:sz="4" w:space="0" w:color="auto"/>
            </w:tcBorders>
            <w:shd w:val="clear" w:color="000000" w:fill="00B050"/>
            <w:noWrap/>
            <w:vAlign w:val="center"/>
            <w:hideMark/>
          </w:tcPr>
          <w:p w14:paraId="29BDED1D" w14:textId="77777777" w:rsidR="00860717" w:rsidRPr="00860717" w:rsidRDefault="00860717" w:rsidP="00860717">
            <w:pPr>
              <w:spacing w:after="0" w:line="240" w:lineRule="auto"/>
              <w:rPr>
                <w:rFonts w:ascii="Arial" w:eastAsia="Times New Roman" w:hAnsi="Arial" w:cs="Arial"/>
                <w:b/>
                <w:bCs/>
                <w:sz w:val="16"/>
                <w:szCs w:val="16"/>
                <w:lang w:val="es-US" w:eastAsia="es-US"/>
              </w:rPr>
            </w:pPr>
            <w:r w:rsidRPr="00860717">
              <w:rPr>
                <w:rFonts w:ascii="Arial" w:eastAsia="Times New Roman" w:hAnsi="Arial" w:cs="Arial"/>
                <w:b/>
                <w:bCs/>
                <w:sz w:val="16"/>
                <w:szCs w:val="16"/>
                <w:lang w:val="es-US" w:eastAsia="es-US"/>
              </w:rPr>
              <w:t xml:space="preserve"> Materiales y Suministros </w:t>
            </w:r>
          </w:p>
        </w:tc>
        <w:tc>
          <w:tcPr>
            <w:tcW w:w="2292" w:type="dxa"/>
            <w:tcBorders>
              <w:top w:val="nil"/>
              <w:left w:val="nil"/>
              <w:bottom w:val="single" w:sz="4" w:space="0" w:color="auto"/>
              <w:right w:val="single" w:sz="4" w:space="0" w:color="auto"/>
            </w:tcBorders>
            <w:shd w:val="clear" w:color="000000" w:fill="00B050"/>
            <w:noWrap/>
            <w:vAlign w:val="center"/>
            <w:hideMark/>
          </w:tcPr>
          <w:p w14:paraId="763E36D7" w14:textId="77777777" w:rsidR="00860717" w:rsidRPr="00860717" w:rsidRDefault="00860717" w:rsidP="00860717">
            <w:pPr>
              <w:spacing w:after="0" w:line="240" w:lineRule="auto"/>
              <w:rPr>
                <w:rFonts w:ascii="Arial" w:eastAsia="Times New Roman" w:hAnsi="Arial" w:cs="Arial"/>
                <w:b/>
                <w:bCs/>
                <w:sz w:val="16"/>
                <w:szCs w:val="16"/>
                <w:lang w:val="es-US" w:eastAsia="es-US"/>
              </w:rPr>
            </w:pPr>
            <w:r w:rsidRPr="00860717">
              <w:rPr>
                <w:rFonts w:ascii="Arial" w:eastAsia="Times New Roman" w:hAnsi="Arial" w:cs="Arial"/>
                <w:b/>
                <w:bCs/>
                <w:sz w:val="16"/>
                <w:szCs w:val="16"/>
                <w:lang w:val="es-US" w:eastAsia="es-US"/>
              </w:rPr>
              <w:t xml:space="preserve">                         393,861,105 </w:t>
            </w:r>
          </w:p>
        </w:tc>
        <w:tc>
          <w:tcPr>
            <w:tcW w:w="1618" w:type="dxa"/>
            <w:tcBorders>
              <w:top w:val="nil"/>
              <w:left w:val="nil"/>
              <w:bottom w:val="single" w:sz="4" w:space="0" w:color="auto"/>
              <w:right w:val="single" w:sz="4" w:space="0" w:color="auto"/>
            </w:tcBorders>
            <w:shd w:val="clear" w:color="000000" w:fill="00B050"/>
            <w:noWrap/>
            <w:vAlign w:val="center"/>
            <w:hideMark/>
          </w:tcPr>
          <w:p w14:paraId="4BCAD6FB" w14:textId="77777777" w:rsidR="00860717" w:rsidRPr="00860717" w:rsidRDefault="00860717" w:rsidP="00860717">
            <w:pPr>
              <w:spacing w:after="0" w:line="240" w:lineRule="auto"/>
              <w:rPr>
                <w:rFonts w:ascii="Arial" w:eastAsia="Times New Roman" w:hAnsi="Arial" w:cs="Arial"/>
                <w:b/>
                <w:bCs/>
                <w:sz w:val="16"/>
                <w:szCs w:val="16"/>
                <w:lang w:val="es-US" w:eastAsia="es-US"/>
              </w:rPr>
            </w:pPr>
            <w:r w:rsidRPr="00860717">
              <w:rPr>
                <w:rFonts w:ascii="Arial" w:eastAsia="Times New Roman" w:hAnsi="Arial" w:cs="Arial"/>
                <w:b/>
                <w:bCs/>
                <w:sz w:val="16"/>
                <w:szCs w:val="16"/>
                <w:lang w:val="es-US" w:eastAsia="es-US"/>
              </w:rPr>
              <w:t xml:space="preserve">                     96,584 </w:t>
            </w:r>
          </w:p>
        </w:tc>
        <w:tc>
          <w:tcPr>
            <w:tcW w:w="1348" w:type="dxa"/>
            <w:tcBorders>
              <w:top w:val="nil"/>
              <w:left w:val="nil"/>
              <w:bottom w:val="single" w:sz="4" w:space="0" w:color="auto"/>
              <w:right w:val="single" w:sz="8" w:space="0" w:color="auto"/>
            </w:tcBorders>
            <w:shd w:val="clear" w:color="000000" w:fill="00B050"/>
            <w:noWrap/>
            <w:vAlign w:val="bottom"/>
            <w:hideMark/>
          </w:tcPr>
          <w:p w14:paraId="3FA64535" w14:textId="77777777" w:rsidR="00860717" w:rsidRPr="00860717" w:rsidRDefault="00860717" w:rsidP="00860717">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0.02%</w:t>
            </w:r>
          </w:p>
        </w:tc>
        <w:tc>
          <w:tcPr>
            <w:tcW w:w="160" w:type="dxa"/>
            <w:vAlign w:val="center"/>
            <w:hideMark/>
          </w:tcPr>
          <w:p w14:paraId="68B9DCEA"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033EB930" w14:textId="77777777" w:rsidTr="00445408">
        <w:trPr>
          <w:trHeight w:val="259"/>
        </w:trPr>
        <w:tc>
          <w:tcPr>
            <w:tcW w:w="1135" w:type="dxa"/>
            <w:tcBorders>
              <w:top w:val="nil"/>
              <w:left w:val="single" w:sz="8" w:space="0" w:color="auto"/>
              <w:bottom w:val="single" w:sz="4" w:space="0" w:color="auto"/>
              <w:right w:val="single" w:sz="8" w:space="0" w:color="auto"/>
            </w:tcBorders>
            <w:shd w:val="clear" w:color="auto" w:fill="auto"/>
            <w:noWrap/>
            <w:vAlign w:val="center"/>
            <w:hideMark/>
          </w:tcPr>
          <w:p w14:paraId="322EA084"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2.02.03</w:t>
            </w:r>
          </w:p>
        </w:tc>
        <w:tc>
          <w:tcPr>
            <w:tcW w:w="3436" w:type="dxa"/>
            <w:tcBorders>
              <w:top w:val="nil"/>
              <w:left w:val="nil"/>
              <w:bottom w:val="single" w:sz="4" w:space="0" w:color="auto"/>
              <w:right w:val="single" w:sz="8" w:space="0" w:color="auto"/>
            </w:tcBorders>
            <w:shd w:val="clear" w:color="auto" w:fill="auto"/>
            <w:noWrap/>
            <w:vAlign w:val="center"/>
            <w:hideMark/>
          </w:tcPr>
          <w:p w14:paraId="41D0BA4D"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Alimentos y bebidas</w:t>
            </w:r>
          </w:p>
        </w:tc>
        <w:tc>
          <w:tcPr>
            <w:tcW w:w="2292" w:type="dxa"/>
            <w:tcBorders>
              <w:top w:val="nil"/>
              <w:left w:val="nil"/>
              <w:bottom w:val="single" w:sz="4" w:space="0" w:color="auto"/>
              <w:right w:val="single" w:sz="4" w:space="0" w:color="auto"/>
            </w:tcBorders>
            <w:shd w:val="clear" w:color="auto" w:fill="auto"/>
            <w:noWrap/>
            <w:vAlign w:val="center"/>
            <w:hideMark/>
          </w:tcPr>
          <w:p w14:paraId="7F87E759" w14:textId="5E12E94B"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33,198,500 </w:t>
            </w:r>
          </w:p>
        </w:tc>
        <w:tc>
          <w:tcPr>
            <w:tcW w:w="1618" w:type="dxa"/>
            <w:tcBorders>
              <w:top w:val="nil"/>
              <w:left w:val="nil"/>
              <w:bottom w:val="single" w:sz="4" w:space="0" w:color="auto"/>
              <w:right w:val="single" w:sz="4" w:space="0" w:color="auto"/>
            </w:tcBorders>
            <w:shd w:val="clear" w:color="auto" w:fill="auto"/>
            <w:noWrap/>
            <w:vAlign w:val="center"/>
            <w:hideMark/>
          </w:tcPr>
          <w:p w14:paraId="1BC33732" w14:textId="77777777"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348" w:type="dxa"/>
            <w:tcBorders>
              <w:top w:val="nil"/>
              <w:left w:val="nil"/>
              <w:bottom w:val="single" w:sz="4" w:space="0" w:color="auto"/>
              <w:right w:val="single" w:sz="8" w:space="0" w:color="auto"/>
            </w:tcBorders>
            <w:shd w:val="clear" w:color="auto" w:fill="auto"/>
            <w:noWrap/>
            <w:vAlign w:val="bottom"/>
            <w:hideMark/>
          </w:tcPr>
          <w:p w14:paraId="2B29485D" w14:textId="77777777" w:rsidR="00860717" w:rsidRPr="00860717" w:rsidRDefault="00860717" w:rsidP="00860717">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69C9F166"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64564EF0" w14:textId="77777777" w:rsidTr="00445408">
        <w:trPr>
          <w:trHeight w:val="259"/>
        </w:trPr>
        <w:tc>
          <w:tcPr>
            <w:tcW w:w="1135" w:type="dxa"/>
            <w:tcBorders>
              <w:top w:val="nil"/>
              <w:left w:val="single" w:sz="8" w:space="0" w:color="auto"/>
              <w:bottom w:val="single" w:sz="4" w:space="0" w:color="auto"/>
              <w:right w:val="single" w:sz="8" w:space="0" w:color="auto"/>
            </w:tcBorders>
            <w:shd w:val="clear" w:color="auto" w:fill="auto"/>
            <w:noWrap/>
            <w:vAlign w:val="center"/>
            <w:hideMark/>
          </w:tcPr>
          <w:p w14:paraId="185325D4"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2.04.01</w:t>
            </w:r>
          </w:p>
        </w:tc>
        <w:tc>
          <w:tcPr>
            <w:tcW w:w="3436" w:type="dxa"/>
            <w:tcBorders>
              <w:top w:val="nil"/>
              <w:left w:val="nil"/>
              <w:bottom w:val="single" w:sz="4" w:space="0" w:color="auto"/>
              <w:right w:val="single" w:sz="8" w:space="0" w:color="auto"/>
            </w:tcBorders>
            <w:shd w:val="clear" w:color="auto" w:fill="auto"/>
            <w:noWrap/>
            <w:vAlign w:val="center"/>
            <w:hideMark/>
          </w:tcPr>
          <w:p w14:paraId="48DF031E"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Herramientas e instrumentos</w:t>
            </w:r>
          </w:p>
        </w:tc>
        <w:tc>
          <w:tcPr>
            <w:tcW w:w="2292" w:type="dxa"/>
            <w:tcBorders>
              <w:top w:val="nil"/>
              <w:left w:val="nil"/>
              <w:bottom w:val="single" w:sz="4" w:space="0" w:color="auto"/>
              <w:right w:val="single" w:sz="4" w:space="0" w:color="auto"/>
            </w:tcBorders>
            <w:shd w:val="clear" w:color="auto" w:fill="auto"/>
            <w:noWrap/>
            <w:vAlign w:val="center"/>
            <w:hideMark/>
          </w:tcPr>
          <w:p w14:paraId="2E878338" w14:textId="3D247E30"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84,054,850</w:t>
            </w:r>
          </w:p>
        </w:tc>
        <w:tc>
          <w:tcPr>
            <w:tcW w:w="1618" w:type="dxa"/>
            <w:tcBorders>
              <w:top w:val="nil"/>
              <w:left w:val="nil"/>
              <w:bottom w:val="single" w:sz="4" w:space="0" w:color="auto"/>
              <w:right w:val="single" w:sz="4" w:space="0" w:color="auto"/>
            </w:tcBorders>
            <w:shd w:val="clear" w:color="auto" w:fill="auto"/>
            <w:noWrap/>
            <w:vAlign w:val="center"/>
            <w:hideMark/>
          </w:tcPr>
          <w:p w14:paraId="1FC1D5B6" w14:textId="77777777"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348" w:type="dxa"/>
            <w:tcBorders>
              <w:top w:val="nil"/>
              <w:left w:val="nil"/>
              <w:bottom w:val="single" w:sz="4" w:space="0" w:color="auto"/>
              <w:right w:val="single" w:sz="8" w:space="0" w:color="auto"/>
            </w:tcBorders>
            <w:shd w:val="clear" w:color="auto" w:fill="auto"/>
            <w:noWrap/>
            <w:vAlign w:val="bottom"/>
            <w:hideMark/>
          </w:tcPr>
          <w:p w14:paraId="6A305CD7" w14:textId="77777777" w:rsidR="00860717" w:rsidRPr="00860717" w:rsidRDefault="00860717" w:rsidP="00860717">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5C668702"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1FD486FA" w14:textId="77777777" w:rsidTr="00445408">
        <w:trPr>
          <w:trHeight w:val="259"/>
        </w:trPr>
        <w:tc>
          <w:tcPr>
            <w:tcW w:w="1135" w:type="dxa"/>
            <w:tcBorders>
              <w:top w:val="nil"/>
              <w:left w:val="single" w:sz="8" w:space="0" w:color="auto"/>
              <w:bottom w:val="single" w:sz="4" w:space="0" w:color="auto"/>
              <w:right w:val="single" w:sz="8" w:space="0" w:color="auto"/>
            </w:tcBorders>
            <w:shd w:val="clear" w:color="auto" w:fill="auto"/>
            <w:noWrap/>
            <w:vAlign w:val="center"/>
            <w:hideMark/>
          </w:tcPr>
          <w:p w14:paraId="5E1F26A6"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2.99.01</w:t>
            </w:r>
          </w:p>
        </w:tc>
        <w:tc>
          <w:tcPr>
            <w:tcW w:w="3436" w:type="dxa"/>
            <w:tcBorders>
              <w:top w:val="nil"/>
              <w:left w:val="nil"/>
              <w:bottom w:val="single" w:sz="4" w:space="0" w:color="auto"/>
              <w:right w:val="single" w:sz="8" w:space="0" w:color="auto"/>
            </w:tcBorders>
            <w:shd w:val="clear" w:color="auto" w:fill="auto"/>
            <w:noWrap/>
            <w:vAlign w:val="center"/>
            <w:hideMark/>
          </w:tcPr>
          <w:p w14:paraId="6C1AA9DC"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Útiles y materiales de oficina y cómputo</w:t>
            </w:r>
          </w:p>
        </w:tc>
        <w:tc>
          <w:tcPr>
            <w:tcW w:w="2292" w:type="dxa"/>
            <w:tcBorders>
              <w:top w:val="nil"/>
              <w:left w:val="nil"/>
              <w:bottom w:val="single" w:sz="4" w:space="0" w:color="auto"/>
              <w:right w:val="single" w:sz="4" w:space="0" w:color="auto"/>
            </w:tcBorders>
            <w:shd w:val="clear" w:color="auto" w:fill="auto"/>
            <w:noWrap/>
            <w:vAlign w:val="center"/>
            <w:hideMark/>
          </w:tcPr>
          <w:p w14:paraId="55F34AEA" w14:textId="25B61C9B"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335,000</w:t>
            </w:r>
          </w:p>
        </w:tc>
        <w:tc>
          <w:tcPr>
            <w:tcW w:w="1618" w:type="dxa"/>
            <w:tcBorders>
              <w:top w:val="nil"/>
              <w:left w:val="nil"/>
              <w:bottom w:val="single" w:sz="4" w:space="0" w:color="auto"/>
              <w:right w:val="single" w:sz="4" w:space="0" w:color="auto"/>
            </w:tcBorders>
            <w:shd w:val="clear" w:color="auto" w:fill="auto"/>
            <w:noWrap/>
            <w:vAlign w:val="center"/>
            <w:hideMark/>
          </w:tcPr>
          <w:p w14:paraId="718DE5B8" w14:textId="77777777"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348" w:type="dxa"/>
            <w:tcBorders>
              <w:top w:val="nil"/>
              <w:left w:val="nil"/>
              <w:bottom w:val="single" w:sz="4" w:space="0" w:color="auto"/>
              <w:right w:val="single" w:sz="8" w:space="0" w:color="auto"/>
            </w:tcBorders>
            <w:shd w:val="clear" w:color="auto" w:fill="auto"/>
            <w:noWrap/>
            <w:vAlign w:val="bottom"/>
            <w:hideMark/>
          </w:tcPr>
          <w:p w14:paraId="6BB2C791" w14:textId="77777777" w:rsidR="00860717" w:rsidRPr="00860717" w:rsidRDefault="00860717" w:rsidP="00860717">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449EEC1A"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1D306D96" w14:textId="77777777" w:rsidTr="00445408">
        <w:trPr>
          <w:trHeight w:val="259"/>
        </w:trPr>
        <w:tc>
          <w:tcPr>
            <w:tcW w:w="1135" w:type="dxa"/>
            <w:tcBorders>
              <w:top w:val="nil"/>
              <w:left w:val="single" w:sz="8" w:space="0" w:color="auto"/>
              <w:bottom w:val="single" w:sz="4" w:space="0" w:color="auto"/>
              <w:right w:val="single" w:sz="8" w:space="0" w:color="auto"/>
            </w:tcBorders>
            <w:shd w:val="clear" w:color="auto" w:fill="auto"/>
            <w:noWrap/>
            <w:vAlign w:val="center"/>
            <w:hideMark/>
          </w:tcPr>
          <w:p w14:paraId="374ADD04"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2.99.03</w:t>
            </w:r>
          </w:p>
        </w:tc>
        <w:tc>
          <w:tcPr>
            <w:tcW w:w="3436" w:type="dxa"/>
            <w:tcBorders>
              <w:top w:val="nil"/>
              <w:left w:val="nil"/>
              <w:bottom w:val="single" w:sz="4" w:space="0" w:color="auto"/>
              <w:right w:val="single" w:sz="8" w:space="0" w:color="auto"/>
            </w:tcBorders>
            <w:shd w:val="clear" w:color="auto" w:fill="auto"/>
            <w:noWrap/>
            <w:vAlign w:val="center"/>
            <w:hideMark/>
          </w:tcPr>
          <w:p w14:paraId="4E0DC522"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Productos de papel, cartón e impresos</w:t>
            </w:r>
          </w:p>
        </w:tc>
        <w:tc>
          <w:tcPr>
            <w:tcW w:w="2292" w:type="dxa"/>
            <w:tcBorders>
              <w:top w:val="nil"/>
              <w:left w:val="nil"/>
              <w:bottom w:val="single" w:sz="4" w:space="0" w:color="auto"/>
              <w:right w:val="single" w:sz="4" w:space="0" w:color="auto"/>
            </w:tcBorders>
            <w:shd w:val="clear" w:color="auto" w:fill="auto"/>
            <w:noWrap/>
            <w:vAlign w:val="center"/>
            <w:hideMark/>
          </w:tcPr>
          <w:p w14:paraId="01508BA9" w14:textId="76C8AC4D"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480,000</w:t>
            </w:r>
          </w:p>
        </w:tc>
        <w:tc>
          <w:tcPr>
            <w:tcW w:w="1618" w:type="dxa"/>
            <w:tcBorders>
              <w:top w:val="nil"/>
              <w:left w:val="nil"/>
              <w:bottom w:val="single" w:sz="4" w:space="0" w:color="auto"/>
              <w:right w:val="single" w:sz="4" w:space="0" w:color="auto"/>
            </w:tcBorders>
            <w:shd w:val="clear" w:color="auto" w:fill="auto"/>
            <w:noWrap/>
            <w:vAlign w:val="center"/>
            <w:hideMark/>
          </w:tcPr>
          <w:p w14:paraId="0A0A91DD" w14:textId="57AFA7B9"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96,584</w:t>
            </w:r>
          </w:p>
        </w:tc>
        <w:tc>
          <w:tcPr>
            <w:tcW w:w="1348" w:type="dxa"/>
            <w:tcBorders>
              <w:top w:val="nil"/>
              <w:left w:val="nil"/>
              <w:bottom w:val="single" w:sz="4" w:space="0" w:color="auto"/>
              <w:right w:val="single" w:sz="8" w:space="0" w:color="auto"/>
            </w:tcBorders>
            <w:shd w:val="clear" w:color="auto" w:fill="auto"/>
            <w:noWrap/>
            <w:vAlign w:val="bottom"/>
            <w:hideMark/>
          </w:tcPr>
          <w:p w14:paraId="528A78FE" w14:textId="77777777" w:rsidR="00860717" w:rsidRPr="00860717" w:rsidRDefault="00860717" w:rsidP="00860717">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20.12%</w:t>
            </w:r>
          </w:p>
        </w:tc>
        <w:tc>
          <w:tcPr>
            <w:tcW w:w="160" w:type="dxa"/>
            <w:vAlign w:val="center"/>
            <w:hideMark/>
          </w:tcPr>
          <w:p w14:paraId="255085F9"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5EC221B6" w14:textId="77777777" w:rsidTr="00445408">
        <w:trPr>
          <w:trHeight w:val="259"/>
        </w:trPr>
        <w:tc>
          <w:tcPr>
            <w:tcW w:w="1135" w:type="dxa"/>
            <w:tcBorders>
              <w:top w:val="nil"/>
              <w:left w:val="single" w:sz="8" w:space="0" w:color="auto"/>
              <w:bottom w:val="single" w:sz="4" w:space="0" w:color="auto"/>
              <w:right w:val="single" w:sz="8" w:space="0" w:color="auto"/>
            </w:tcBorders>
            <w:shd w:val="clear" w:color="auto" w:fill="auto"/>
            <w:noWrap/>
            <w:vAlign w:val="center"/>
            <w:hideMark/>
          </w:tcPr>
          <w:p w14:paraId="65E8DBF2"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2.99.04</w:t>
            </w:r>
          </w:p>
        </w:tc>
        <w:tc>
          <w:tcPr>
            <w:tcW w:w="3436" w:type="dxa"/>
            <w:tcBorders>
              <w:top w:val="nil"/>
              <w:left w:val="nil"/>
              <w:bottom w:val="single" w:sz="4" w:space="0" w:color="auto"/>
              <w:right w:val="single" w:sz="8" w:space="0" w:color="auto"/>
            </w:tcBorders>
            <w:shd w:val="clear" w:color="auto" w:fill="auto"/>
            <w:noWrap/>
            <w:vAlign w:val="center"/>
            <w:hideMark/>
          </w:tcPr>
          <w:p w14:paraId="314AC58E"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Textiles y vestuario</w:t>
            </w:r>
          </w:p>
        </w:tc>
        <w:tc>
          <w:tcPr>
            <w:tcW w:w="2292" w:type="dxa"/>
            <w:tcBorders>
              <w:top w:val="nil"/>
              <w:left w:val="nil"/>
              <w:bottom w:val="single" w:sz="4" w:space="0" w:color="auto"/>
              <w:right w:val="single" w:sz="4" w:space="0" w:color="auto"/>
            </w:tcBorders>
            <w:shd w:val="clear" w:color="auto" w:fill="auto"/>
            <w:noWrap/>
            <w:vAlign w:val="center"/>
            <w:hideMark/>
          </w:tcPr>
          <w:p w14:paraId="1C89AEFB" w14:textId="14DEDA91"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88,769,640</w:t>
            </w:r>
          </w:p>
        </w:tc>
        <w:tc>
          <w:tcPr>
            <w:tcW w:w="1618" w:type="dxa"/>
            <w:tcBorders>
              <w:top w:val="nil"/>
              <w:left w:val="nil"/>
              <w:bottom w:val="single" w:sz="4" w:space="0" w:color="auto"/>
              <w:right w:val="single" w:sz="4" w:space="0" w:color="auto"/>
            </w:tcBorders>
            <w:shd w:val="clear" w:color="auto" w:fill="auto"/>
            <w:noWrap/>
            <w:vAlign w:val="center"/>
            <w:hideMark/>
          </w:tcPr>
          <w:p w14:paraId="690A9737" w14:textId="77777777"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348" w:type="dxa"/>
            <w:tcBorders>
              <w:top w:val="nil"/>
              <w:left w:val="nil"/>
              <w:bottom w:val="single" w:sz="4" w:space="0" w:color="auto"/>
              <w:right w:val="single" w:sz="8" w:space="0" w:color="auto"/>
            </w:tcBorders>
            <w:shd w:val="clear" w:color="auto" w:fill="auto"/>
            <w:noWrap/>
            <w:vAlign w:val="bottom"/>
            <w:hideMark/>
          </w:tcPr>
          <w:p w14:paraId="5658167C" w14:textId="77777777" w:rsidR="00860717" w:rsidRPr="00860717" w:rsidRDefault="00860717" w:rsidP="00860717">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0C637668"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0A72C784" w14:textId="77777777" w:rsidTr="00445408">
        <w:trPr>
          <w:trHeight w:val="259"/>
        </w:trPr>
        <w:tc>
          <w:tcPr>
            <w:tcW w:w="1135" w:type="dxa"/>
            <w:tcBorders>
              <w:top w:val="nil"/>
              <w:left w:val="single" w:sz="8" w:space="0" w:color="auto"/>
              <w:bottom w:val="single" w:sz="4" w:space="0" w:color="auto"/>
              <w:right w:val="single" w:sz="8" w:space="0" w:color="auto"/>
            </w:tcBorders>
            <w:shd w:val="clear" w:color="auto" w:fill="auto"/>
            <w:noWrap/>
            <w:vAlign w:val="center"/>
            <w:hideMark/>
          </w:tcPr>
          <w:p w14:paraId="58942A38"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2.99.06</w:t>
            </w:r>
          </w:p>
        </w:tc>
        <w:tc>
          <w:tcPr>
            <w:tcW w:w="3436" w:type="dxa"/>
            <w:tcBorders>
              <w:top w:val="nil"/>
              <w:left w:val="nil"/>
              <w:bottom w:val="single" w:sz="4" w:space="0" w:color="auto"/>
              <w:right w:val="single" w:sz="8" w:space="0" w:color="auto"/>
            </w:tcBorders>
            <w:shd w:val="clear" w:color="auto" w:fill="auto"/>
            <w:noWrap/>
            <w:vAlign w:val="center"/>
            <w:hideMark/>
          </w:tcPr>
          <w:p w14:paraId="47247DC9"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Útiles y materiales de resguardo y seguridad</w:t>
            </w:r>
          </w:p>
        </w:tc>
        <w:tc>
          <w:tcPr>
            <w:tcW w:w="2292" w:type="dxa"/>
            <w:tcBorders>
              <w:top w:val="nil"/>
              <w:left w:val="nil"/>
              <w:bottom w:val="single" w:sz="4" w:space="0" w:color="auto"/>
              <w:right w:val="single" w:sz="4" w:space="0" w:color="auto"/>
            </w:tcBorders>
            <w:shd w:val="clear" w:color="auto" w:fill="auto"/>
            <w:noWrap/>
            <w:vAlign w:val="center"/>
            <w:hideMark/>
          </w:tcPr>
          <w:p w14:paraId="5DFA60E2" w14:textId="027B005D"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138,210,615 </w:t>
            </w:r>
          </w:p>
        </w:tc>
        <w:tc>
          <w:tcPr>
            <w:tcW w:w="1618" w:type="dxa"/>
            <w:tcBorders>
              <w:top w:val="nil"/>
              <w:left w:val="nil"/>
              <w:bottom w:val="single" w:sz="4" w:space="0" w:color="auto"/>
              <w:right w:val="single" w:sz="4" w:space="0" w:color="auto"/>
            </w:tcBorders>
            <w:shd w:val="clear" w:color="auto" w:fill="auto"/>
            <w:noWrap/>
            <w:vAlign w:val="center"/>
            <w:hideMark/>
          </w:tcPr>
          <w:p w14:paraId="6963A846" w14:textId="77777777"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348" w:type="dxa"/>
            <w:tcBorders>
              <w:top w:val="nil"/>
              <w:left w:val="nil"/>
              <w:bottom w:val="single" w:sz="4" w:space="0" w:color="auto"/>
              <w:right w:val="single" w:sz="8" w:space="0" w:color="auto"/>
            </w:tcBorders>
            <w:shd w:val="clear" w:color="auto" w:fill="auto"/>
            <w:noWrap/>
            <w:vAlign w:val="bottom"/>
            <w:hideMark/>
          </w:tcPr>
          <w:p w14:paraId="2F3B6E08" w14:textId="77777777" w:rsidR="00860717" w:rsidRPr="00860717" w:rsidRDefault="00860717" w:rsidP="00860717">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15F8F244"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r w:rsidR="00860717" w:rsidRPr="00860717" w14:paraId="7F882B05" w14:textId="77777777" w:rsidTr="00445408">
        <w:trPr>
          <w:trHeight w:val="259"/>
        </w:trPr>
        <w:tc>
          <w:tcPr>
            <w:tcW w:w="1135" w:type="dxa"/>
            <w:tcBorders>
              <w:top w:val="nil"/>
              <w:left w:val="single" w:sz="8" w:space="0" w:color="auto"/>
              <w:bottom w:val="single" w:sz="4" w:space="0" w:color="auto"/>
              <w:right w:val="single" w:sz="8" w:space="0" w:color="auto"/>
            </w:tcBorders>
            <w:shd w:val="clear" w:color="auto" w:fill="auto"/>
            <w:noWrap/>
            <w:vAlign w:val="center"/>
            <w:hideMark/>
          </w:tcPr>
          <w:p w14:paraId="705CB7E4"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2.99.99</w:t>
            </w:r>
          </w:p>
        </w:tc>
        <w:tc>
          <w:tcPr>
            <w:tcW w:w="3436" w:type="dxa"/>
            <w:tcBorders>
              <w:top w:val="nil"/>
              <w:left w:val="nil"/>
              <w:bottom w:val="single" w:sz="4" w:space="0" w:color="auto"/>
              <w:right w:val="single" w:sz="8" w:space="0" w:color="auto"/>
            </w:tcBorders>
            <w:shd w:val="clear" w:color="auto" w:fill="auto"/>
            <w:noWrap/>
            <w:vAlign w:val="center"/>
            <w:hideMark/>
          </w:tcPr>
          <w:p w14:paraId="300794B9" w14:textId="77777777" w:rsidR="00860717" w:rsidRPr="00860717" w:rsidRDefault="00860717" w:rsidP="00860717">
            <w:pPr>
              <w:spacing w:after="0" w:line="240" w:lineRule="auto"/>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Otros útiles, materiales y suministros diversos</w:t>
            </w:r>
          </w:p>
        </w:tc>
        <w:tc>
          <w:tcPr>
            <w:tcW w:w="2292" w:type="dxa"/>
            <w:tcBorders>
              <w:top w:val="nil"/>
              <w:left w:val="nil"/>
              <w:bottom w:val="single" w:sz="4" w:space="0" w:color="auto"/>
              <w:right w:val="single" w:sz="4" w:space="0" w:color="auto"/>
            </w:tcBorders>
            <w:shd w:val="clear" w:color="auto" w:fill="auto"/>
            <w:noWrap/>
            <w:vAlign w:val="center"/>
            <w:hideMark/>
          </w:tcPr>
          <w:p w14:paraId="2DE15074" w14:textId="76F2257E"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48,812,500</w:t>
            </w:r>
          </w:p>
        </w:tc>
        <w:tc>
          <w:tcPr>
            <w:tcW w:w="1618" w:type="dxa"/>
            <w:tcBorders>
              <w:top w:val="nil"/>
              <w:left w:val="nil"/>
              <w:bottom w:val="single" w:sz="4" w:space="0" w:color="auto"/>
              <w:right w:val="single" w:sz="4" w:space="0" w:color="auto"/>
            </w:tcBorders>
            <w:shd w:val="clear" w:color="auto" w:fill="auto"/>
            <w:noWrap/>
            <w:vAlign w:val="center"/>
            <w:hideMark/>
          </w:tcPr>
          <w:p w14:paraId="37D8446A" w14:textId="77777777" w:rsidR="00860717" w:rsidRPr="00860717" w:rsidRDefault="00860717" w:rsidP="00044BE4">
            <w:pPr>
              <w:spacing w:after="0" w:line="240" w:lineRule="auto"/>
              <w:jc w:val="right"/>
              <w:rPr>
                <w:rFonts w:ascii="Arial" w:eastAsia="Times New Roman" w:hAnsi="Arial" w:cs="Arial"/>
                <w:sz w:val="16"/>
                <w:szCs w:val="16"/>
                <w:lang w:val="es-US" w:eastAsia="es-US"/>
              </w:rPr>
            </w:pPr>
            <w:r w:rsidRPr="00860717">
              <w:rPr>
                <w:rFonts w:ascii="Arial" w:eastAsia="Times New Roman" w:hAnsi="Arial" w:cs="Arial"/>
                <w:sz w:val="16"/>
                <w:szCs w:val="16"/>
                <w:lang w:val="es-US" w:eastAsia="es-US"/>
              </w:rPr>
              <w:t xml:space="preserve">                            -   </w:t>
            </w:r>
          </w:p>
        </w:tc>
        <w:tc>
          <w:tcPr>
            <w:tcW w:w="1348" w:type="dxa"/>
            <w:tcBorders>
              <w:top w:val="nil"/>
              <w:left w:val="nil"/>
              <w:bottom w:val="single" w:sz="4" w:space="0" w:color="auto"/>
              <w:right w:val="single" w:sz="8" w:space="0" w:color="auto"/>
            </w:tcBorders>
            <w:shd w:val="clear" w:color="auto" w:fill="auto"/>
            <w:noWrap/>
            <w:vAlign w:val="bottom"/>
            <w:hideMark/>
          </w:tcPr>
          <w:p w14:paraId="7EC55AEA" w14:textId="77777777" w:rsidR="00860717" w:rsidRPr="00860717" w:rsidRDefault="00860717" w:rsidP="00860717">
            <w:pPr>
              <w:spacing w:after="0" w:line="240" w:lineRule="auto"/>
              <w:jc w:val="right"/>
              <w:rPr>
                <w:rFonts w:ascii="Arial" w:eastAsia="Times New Roman" w:hAnsi="Arial" w:cs="Arial"/>
                <w:b/>
                <w:bCs/>
                <w:color w:val="000000"/>
                <w:sz w:val="16"/>
                <w:szCs w:val="16"/>
                <w:lang w:val="es-US" w:eastAsia="es-US"/>
              </w:rPr>
            </w:pPr>
            <w:r w:rsidRPr="00860717">
              <w:rPr>
                <w:rFonts w:ascii="Arial" w:eastAsia="Times New Roman" w:hAnsi="Arial" w:cs="Arial"/>
                <w:b/>
                <w:bCs/>
                <w:color w:val="000000"/>
                <w:sz w:val="16"/>
                <w:szCs w:val="16"/>
                <w:lang w:val="es-US" w:eastAsia="es-US"/>
              </w:rPr>
              <w:t>0.00%</w:t>
            </w:r>
          </w:p>
        </w:tc>
        <w:tc>
          <w:tcPr>
            <w:tcW w:w="160" w:type="dxa"/>
            <w:vAlign w:val="center"/>
            <w:hideMark/>
          </w:tcPr>
          <w:p w14:paraId="743DBCFD" w14:textId="77777777" w:rsidR="00860717" w:rsidRPr="00860717" w:rsidRDefault="00860717" w:rsidP="00860717">
            <w:pPr>
              <w:spacing w:after="0" w:line="240" w:lineRule="auto"/>
              <w:rPr>
                <w:rFonts w:ascii="Arial" w:eastAsia="Times New Roman" w:hAnsi="Arial" w:cs="Arial"/>
                <w:sz w:val="16"/>
                <w:szCs w:val="16"/>
                <w:lang w:val="es-US" w:eastAsia="es-US"/>
              </w:rPr>
            </w:pPr>
          </w:p>
        </w:tc>
      </w:tr>
    </w:tbl>
    <w:p w14:paraId="18A06AB7" w14:textId="48AB3EEE" w:rsidR="002039DE" w:rsidRDefault="002039DE" w:rsidP="00E6462F">
      <w:pPr>
        <w:jc w:val="both"/>
        <w:rPr>
          <w:rFonts w:ascii="Arial" w:hAnsi="Arial" w:cs="Arial"/>
          <w:sz w:val="24"/>
        </w:rPr>
      </w:pPr>
    </w:p>
    <w:p w14:paraId="6D58F455" w14:textId="1AA5A77F" w:rsidR="00C60B7D" w:rsidRPr="009C73C2" w:rsidRDefault="00C60B7D" w:rsidP="00C60B7D">
      <w:pPr>
        <w:jc w:val="both"/>
        <w:rPr>
          <w:rFonts w:ascii="Arial" w:hAnsi="Arial" w:cs="Arial"/>
          <w:sz w:val="24"/>
          <w:szCs w:val="24"/>
        </w:rPr>
      </w:pPr>
      <w:r>
        <w:rPr>
          <w:rFonts w:ascii="Arial" w:hAnsi="Arial" w:cs="Arial"/>
          <w:sz w:val="24"/>
          <w:szCs w:val="24"/>
        </w:rPr>
        <w:t>La mayor parte de estos recursos se eje</w:t>
      </w:r>
      <w:r w:rsidR="00254E13">
        <w:rPr>
          <w:rFonts w:ascii="Arial" w:hAnsi="Arial" w:cs="Arial"/>
          <w:sz w:val="24"/>
          <w:szCs w:val="24"/>
        </w:rPr>
        <w:t xml:space="preserve">cutarán </w:t>
      </w:r>
      <w:r>
        <w:rPr>
          <w:rFonts w:ascii="Arial" w:hAnsi="Arial" w:cs="Arial"/>
          <w:sz w:val="24"/>
          <w:szCs w:val="24"/>
        </w:rPr>
        <w:t>durante el segundo semestre</w:t>
      </w:r>
      <w:r w:rsidRPr="00E63382">
        <w:rPr>
          <w:rFonts w:ascii="Arial" w:hAnsi="Arial" w:cs="Arial"/>
          <w:sz w:val="24"/>
          <w:szCs w:val="24"/>
        </w:rPr>
        <w:t>.</w:t>
      </w:r>
    </w:p>
    <w:p w14:paraId="6C9A0FB1" w14:textId="77777777" w:rsidR="00C60B7D" w:rsidRPr="00DF39CA" w:rsidRDefault="00C60B7D" w:rsidP="00E6462F">
      <w:pPr>
        <w:jc w:val="both"/>
        <w:rPr>
          <w:rFonts w:ascii="Arial" w:hAnsi="Arial" w:cs="Arial"/>
          <w:sz w:val="24"/>
        </w:rPr>
      </w:pPr>
    </w:p>
    <w:p w14:paraId="1EEC10F6" w14:textId="77777777" w:rsidR="0045517A" w:rsidRPr="00DF39CA" w:rsidRDefault="0045517A" w:rsidP="00CD61C9">
      <w:pPr>
        <w:spacing w:after="0"/>
        <w:jc w:val="both"/>
        <w:rPr>
          <w:rFonts w:ascii="Arial" w:hAnsi="Arial" w:cs="Arial"/>
          <w:b/>
          <w:sz w:val="24"/>
        </w:rPr>
      </w:pPr>
      <w:r w:rsidRPr="00DF39CA">
        <w:rPr>
          <w:rFonts w:ascii="Arial" w:hAnsi="Arial" w:cs="Arial"/>
          <w:b/>
          <w:sz w:val="24"/>
        </w:rPr>
        <w:t>ACTIVOS FINANCIEROS</w:t>
      </w:r>
    </w:p>
    <w:p w14:paraId="6153810F" w14:textId="77777777" w:rsidR="00CA7ADD" w:rsidRPr="00DF39CA" w:rsidRDefault="00CA7ADD" w:rsidP="00CD61C9">
      <w:pPr>
        <w:spacing w:after="0"/>
        <w:jc w:val="both"/>
        <w:rPr>
          <w:rFonts w:ascii="Arial" w:hAnsi="Arial" w:cs="Arial"/>
          <w:b/>
          <w:sz w:val="24"/>
        </w:rPr>
      </w:pPr>
    </w:p>
    <w:p w14:paraId="3DDA75D5" w14:textId="1F1820EE" w:rsidR="00DC7020" w:rsidRDefault="0045517A" w:rsidP="00A921A7">
      <w:pPr>
        <w:jc w:val="both"/>
        <w:rPr>
          <w:rFonts w:ascii="Arial" w:hAnsi="Arial" w:cs="Arial"/>
          <w:sz w:val="24"/>
        </w:rPr>
      </w:pPr>
      <w:r w:rsidRPr="00DF39CA">
        <w:rPr>
          <w:rFonts w:ascii="Arial" w:hAnsi="Arial" w:cs="Arial"/>
          <w:sz w:val="24"/>
        </w:rPr>
        <w:t xml:space="preserve">En esta partida </w:t>
      </w:r>
      <w:r w:rsidR="00970C87" w:rsidRPr="00DF39CA">
        <w:rPr>
          <w:rFonts w:ascii="Arial" w:hAnsi="Arial" w:cs="Arial"/>
          <w:sz w:val="24"/>
        </w:rPr>
        <w:t xml:space="preserve">se </w:t>
      </w:r>
      <w:r w:rsidRPr="00DF39CA">
        <w:rPr>
          <w:rFonts w:ascii="Arial" w:hAnsi="Arial" w:cs="Arial"/>
          <w:sz w:val="24"/>
        </w:rPr>
        <w:t>presupuest</w:t>
      </w:r>
      <w:r w:rsidR="00970C87" w:rsidRPr="00DF39CA">
        <w:rPr>
          <w:rFonts w:ascii="Arial" w:hAnsi="Arial" w:cs="Arial"/>
          <w:sz w:val="24"/>
        </w:rPr>
        <w:t xml:space="preserve">ó la suma de </w:t>
      </w:r>
      <w:r w:rsidR="00970C87" w:rsidRPr="00DF39CA">
        <w:rPr>
          <w:rFonts w:ascii="Arial" w:hAnsi="Arial" w:cs="Arial"/>
          <w:b/>
          <w:sz w:val="24"/>
        </w:rPr>
        <w:t>¢</w:t>
      </w:r>
      <w:r w:rsidR="00A921A7" w:rsidRPr="00DF39CA">
        <w:rPr>
          <w:rFonts w:ascii="Arial" w:hAnsi="Arial" w:cs="Arial"/>
          <w:b/>
          <w:sz w:val="24"/>
        </w:rPr>
        <w:t>776.531.834</w:t>
      </w:r>
      <w:r w:rsidR="00227D14" w:rsidRPr="00DF39CA">
        <w:rPr>
          <w:rFonts w:ascii="Arial" w:hAnsi="Arial" w:cs="Arial"/>
          <w:sz w:val="24"/>
        </w:rPr>
        <w:t xml:space="preserve"> de los cuales </w:t>
      </w:r>
      <w:r w:rsidR="006A7ABB" w:rsidRPr="00DF39CA">
        <w:rPr>
          <w:rFonts w:ascii="Arial" w:hAnsi="Arial" w:cs="Arial"/>
          <w:sz w:val="24"/>
        </w:rPr>
        <w:t>al cierre del periodo se ejecutó la suma de</w:t>
      </w:r>
      <w:r w:rsidR="00970C87" w:rsidRPr="00DF39CA">
        <w:rPr>
          <w:rFonts w:ascii="Arial" w:hAnsi="Arial" w:cs="Arial"/>
          <w:sz w:val="24"/>
        </w:rPr>
        <w:t xml:space="preserve"> </w:t>
      </w:r>
      <w:r w:rsidR="00970C87" w:rsidRPr="00DF39CA">
        <w:rPr>
          <w:rFonts w:ascii="Arial" w:hAnsi="Arial" w:cs="Arial"/>
          <w:b/>
          <w:sz w:val="24"/>
        </w:rPr>
        <w:t>¢</w:t>
      </w:r>
      <w:r w:rsidR="00A921A7" w:rsidRPr="00DF39CA">
        <w:rPr>
          <w:rFonts w:ascii="Arial" w:hAnsi="Arial" w:cs="Arial"/>
          <w:b/>
          <w:sz w:val="24"/>
        </w:rPr>
        <w:t>303.915.337,70</w:t>
      </w:r>
      <w:r w:rsidR="00F877B6" w:rsidRPr="00DF39CA">
        <w:rPr>
          <w:rFonts w:ascii="Arial" w:hAnsi="Arial" w:cs="Arial"/>
          <w:b/>
          <w:sz w:val="24"/>
        </w:rPr>
        <w:t>,</w:t>
      </w:r>
      <w:r w:rsidR="00F877B6" w:rsidRPr="00DF39CA">
        <w:rPr>
          <w:rFonts w:ascii="Arial" w:hAnsi="Arial" w:cs="Arial"/>
          <w:sz w:val="24"/>
        </w:rPr>
        <w:t xml:space="preserve"> lo que equivale a</w:t>
      </w:r>
      <w:r w:rsidR="006A7ABB" w:rsidRPr="00DF39CA">
        <w:rPr>
          <w:rFonts w:ascii="Arial" w:hAnsi="Arial" w:cs="Arial"/>
          <w:sz w:val="24"/>
        </w:rPr>
        <w:t xml:space="preserve"> un</w:t>
      </w:r>
      <w:r w:rsidR="00F877B6" w:rsidRPr="00DF39CA">
        <w:rPr>
          <w:rFonts w:ascii="Arial" w:hAnsi="Arial" w:cs="Arial"/>
          <w:sz w:val="24"/>
        </w:rPr>
        <w:t xml:space="preserve"> </w:t>
      </w:r>
      <w:r w:rsidR="00A921A7" w:rsidRPr="00DF39CA">
        <w:rPr>
          <w:rFonts w:ascii="Arial" w:hAnsi="Arial" w:cs="Arial"/>
          <w:sz w:val="24"/>
        </w:rPr>
        <w:t>39.14</w:t>
      </w:r>
      <w:r w:rsidR="00227D14" w:rsidRPr="00DF39CA">
        <w:rPr>
          <w:rFonts w:ascii="Arial" w:hAnsi="Arial" w:cs="Arial"/>
          <w:b/>
          <w:sz w:val="24"/>
        </w:rPr>
        <w:t>%</w:t>
      </w:r>
      <w:r w:rsidR="00A921A7" w:rsidRPr="00DF39CA">
        <w:rPr>
          <w:rFonts w:ascii="Arial" w:hAnsi="Arial" w:cs="Arial"/>
          <w:sz w:val="24"/>
        </w:rPr>
        <w:t xml:space="preserve">. </w:t>
      </w:r>
      <w:r w:rsidR="0073704A" w:rsidRPr="00DF39CA">
        <w:rPr>
          <w:rFonts w:ascii="Arial" w:hAnsi="Arial" w:cs="Arial"/>
          <w:sz w:val="24"/>
        </w:rPr>
        <w:t xml:space="preserve">Estos recursos se destinan </w:t>
      </w:r>
      <w:r w:rsidRPr="00DF39CA">
        <w:rPr>
          <w:rFonts w:ascii="Arial" w:hAnsi="Arial" w:cs="Arial"/>
          <w:sz w:val="24"/>
        </w:rPr>
        <w:t xml:space="preserve">al otorgamiento de créditos en el Sector Forestal, principalmente para atender las necesidades de financiamiento </w:t>
      </w:r>
      <w:r w:rsidR="00D135B5" w:rsidRPr="00DF39CA">
        <w:rPr>
          <w:rFonts w:ascii="Arial" w:hAnsi="Arial" w:cs="Arial"/>
          <w:sz w:val="24"/>
        </w:rPr>
        <w:t xml:space="preserve">tales como </w:t>
      </w:r>
      <w:r w:rsidRPr="00DF39CA">
        <w:rPr>
          <w:rFonts w:ascii="Arial" w:hAnsi="Arial" w:cs="Arial"/>
          <w:sz w:val="24"/>
        </w:rPr>
        <w:t xml:space="preserve">capital de trabajo, </w:t>
      </w:r>
      <w:r w:rsidR="00F877B6" w:rsidRPr="00DF39CA">
        <w:rPr>
          <w:rFonts w:ascii="Arial" w:hAnsi="Arial" w:cs="Arial"/>
          <w:sz w:val="24"/>
        </w:rPr>
        <w:t xml:space="preserve">viveros forestales, reforestación, industria forestal, crédito puente, estudios técnicos, de acuerdo al reglamento de crédito del fideicomiso y el programa crediticio.  </w:t>
      </w:r>
    </w:p>
    <w:p w14:paraId="0D3FFF17" w14:textId="720F0FD5" w:rsidR="00860717" w:rsidRPr="00044BE4" w:rsidRDefault="00860717" w:rsidP="00A921A7">
      <w:pPr>
        <w:jc w:val="both"/>
        <w:rPr>
          <w:rFonts w:ascii="Arial" w:hAnsi="Arial" w:cs="Arial"/>
          <w:b/>
          <w:bCs/>
          <w:sz w:val="24"/>
        </w:rPr>
      </w:pPr>
      <w:r w:rsidRPr="00044BE4">
        <w:rPr>
          <w:rFonts w:ascii="Arial" w:hAnsi="Arial" w:cs="Arial"/>
          <w:b/>
          <w:bCs/>
          <w:sz w:val="24"/>
        </w:rPr>
        <w:t>BIENES DURADEROS</w:t>
      </w:r>
    </w:p>
    <w:p w14:paraId="46DF584A" w14:textId="33FAFB45" w:rsidR="00860717" w:rsidRDefault="00860717" w:rsidP="00A921A7">
      <w:pPr>
        <w:jc w:val="both"/>
        <w:rPr>
          <w:rFonts w:ascii="Arial" w:hAnsi="Arial" w:cs="Arial"/>
          <w:sz w:val="24"/>
        </w:rPr>
      </w:pPr>
      <w:r w:rsidRPr="00DF39CA">
        <w:rPr>
          <w:rFonts w:ascii="Arial" w:hAnsi="Arial" w:cs="Arial"/>
          <w:sz w:val="24"/>
        </w:rPr>
        <w:t>En</w:t>
      </w:r>
      <w:r w:rsidRPr="003C7166">
        <w:rPr>
          <w:rFonts w:ascii="Arial" w:hAnsi="Arial" w:cs="Arial"/>
        </w:rPr>
        <w:t xml:space="preserve"> </w:t>
      </w:r>
      <w:r w:rsidRPr="00DF39CA">
        <w:rPr>
          <w:rFonts w:ascii="Arial" w:hAnsi="Arial" w:cs="Arial"/>
          <w:sz w:val="24"/>
        </w:rPr>
        <w:t xml:space="preserve">este grupo se presupuestó la suma de </w:t>
      </w:r>
      <w:r w:rsidRPr="00DF39CA">
        <w:rPr>
          <w:rFonts w:ascii="Arial" w:hAnsi="Arial" w:cs="Arial"/>
          <w:b/>
          <w:sz w:val="24"/>
        </w:rPr>
        <w:t>¢</w:t>
      </w:r>
      <w:r>
        <w:rPr>
          <w:rFonts w:ascii="Arial" w:hAnsi="Arial" w:cs="Arial"/>
          <w:b/>
          <w:sz w:val="24"/>
        </w:rPr>
        <w:t>1.515.334.450</w:t>
      </w:r>
      <w:r w:rsidRPr="00DF39CA">
        <w:rPr>
          <w:rFonts w:ascii="Arial" w:hAnsi="Arial" w:cs="Arial"/>
          <w:b/>
          <w:sz w:val="24"/>
        </w:rPr>
        <w:t xml:space="preserve"> </w:t>
      </w:r>
      <w:r w:rsidRPr="00DF39CA">
        <w:rPr>
          <w:rFonts w:ascii="Arial" w:hAnsi="Arial" w:cs="Arial"/>
          <w:sz w:val="24"/>
        </w:rPr>
        <w:t xml:space="preserve">de los cuales </w:t>
      </w:r>
      <w:r w:rsidR="0082081E">
        <w:rPr>
          <w:rFonts w:ascii="Arial" w:hAnsi="Arial" w:cs="Arial"/>
          <w:sz w:val="24"/>
        </w:rPr>
        <w:t xml:space="preserve">al cierre del primer semestre no se han ejecutado recursos, sin embargo, a la fecha indicada había compromisos por la suma de </w:t>
      </w:r>
      <w:r w:rsidR="0082081E" w:rsidRPr="00A76A6F">
        <w:rPr>
          <w:rFonts w:ascii="Arial" w:hAnsi="Arial" w:cs="Arial"/>
          <w:b/>
          <w:bCs/>
          <w:sz w:val="24"/>
        </w:rPr>
        <w:t>¢984.355.736</w:t>
      </w:r>
      <w:r w:rsidR="0082081E">
        <w:rPr>
          <w:rFonts w:ascii="Arial" w:hAnsi="Arial" w:cs="Arial"/>
          <w:sz w:val="24"/>
        </w:rPr>
        <w:t xml:space="preserve"> los cuales en su mayoría corresponden a contrataciones en proceso para la adquisición de </w:t>
      </w:r>
      <w:r w:rsidR="0082081E" w:rsidRPr="0082081E">
        <w:rPr>
          <w:rFonts w:ascii="Arial" w:hAnsi="Arial" w:cs="Arial"/>
          <w:sz w:val="24"/>
        </w:rPr>
        <w:t xml:space="preserve">bienes duraderos </w:t>
      </w:r>
      <w:r w:rsidR="0082081E" w:rsidRPr="0082081E">
        <w:rPr>
          <w:rFonts w:ascii="Arial" w:hAnsi="Arial" w:cs="Arial"/>
          <w:sz w:val="24"/>
        </w:rPr>
        <w:lastRenderedPageBreak/>
        <w:t>requeridos para la implementación del Acuerdo de Pago Basados en Desempeño, tanto en el Fonafifo como en el SINAC</w:t>
      </w:r>
      <w:r w:rsidR="0082081E">
        <w:rPr>
          <w:rFonts w:ascii="Arial" w:hAnsi="Arial" w:cs="Arial"/>
          <w:sz w:val="24"/>
        </w:rPr>
        <w:t>.</w:t>
      </w:r>
    </w:p>
    <w:p w14:paraId="3E8665AD" w14:textId="77777777" w:rsidR="00445408" w:rsidRDefault="00445408" w:rsidP="00A921A7">
      <w:pPr>
        <w:jc w:val="both"/>
        <w:rPr>
          <w:rFonts w:ascii="Arial" w:hAnsi="Arial" w:cs="Arial"/>
          <w:sz w:val="24"/>
        </w:rPr>
      </w:pPr>
    </w:p>
    <w:p w14:paraId="4FCA1E38" w14:textId="77777777" w:rsidR="00860717" w:rsidRPr="00DF39CA" w:rsidRDefault="00860717" w:rsidP="00A921A7">
      <w:pPr>
        <w:jc w:val="both"/>
        <w:rPr>
          <w:rFonts w:ascii="Arial" w:hAnsi="Arial" w:cs="Arial"/>
          <w:sz w:val="24"/>
        </w:rPr>
      </w:pPr>
    </w:p>
    <w:p w14:paraId="00E737FC" w14:textId="44F76EFF" w:rsidR="0064010E" w:rsidRDefault="0064010E" w:rsidP="0064010E">
      <w:pPr>
        <w:spacing w:after="0" w:line="240" w:lineRule="auto"/>
        <w:rPr>
          <w:rFonts w:ascii="Arial" w:hAnsi="Arial" w:cs="Arial"/>
          <w:b/>
          <w:sz w:val="24"/>
        </w:rPr>
      </w:pPr>
      <w:bookmarkStart w:id="22" w:name="_Hlk94515336"/>
      <w:r w:rsidRPr="00DF39CA">
        <w:rPr>
          <w:rFonts w:ascii="Arial" w:hAnsi="Arial" w:cs="Arial"/>
          <w:b/>
          <w:sz w:val="24"/>
        </w:rPr>
        <w:t>TRANSFERENCIAS CORRIENTES</w:t>
      </w:r>
    </w:p>
    <w:p w14:paraId="6369FB9C" w14:textId="77777777" w:rsidR="00445408" w:rsidRPr="00DF39CA" w:rsidRDefault="00445408" w:rsidP="0064010E">
      <w:pPr>
        <w:spacing w:after="0" w:line="240" w:lineRule="auto"/>
        <w:rPr>
          <w:rFonts w:ascii="Arial" w:hAnsi="Arial" w:cs="Arial"/>
          <w:b/>
          <w:sz w:val="24"/>
        </w:rPr>
      </w:pPr>
    </w:p>
    <w:p w14:paraId="6DC76F9E" w14:textId="7D08F13D" w:rsidR="0064010E" w:rsidRDefault="0064010E" w:rsidP="00452713">
      <w:pPr>
        <w:jc w:val="both"/>
        <w:rPr>
          <w:rFonts w:ascii="Arial" w:hAnsi="Arial" w:cs="Arial"/>
        </w:rPr>
      </w:pPr>
      <w:r w:rsidRPr="00DF39CA">
        <w:rPr>
          <w:rFonts w:ascii="Arial" w:hAnsi="Arial" w:cs="Arial"/>
          <w:sz w:val="24"/>
        </w:rPr>
        <w:t>En</w:t>
      </w:r>
      <w:r w:rsidRPr="003C7166">
        <w:rPr>
          <w:rFonts w:ascii="Arial" w:hAnsi="Arial" w:cs="Arial"/>
        </w:rPr>
        <w:t xml:space="preserve"> </w:t>
      </w:r>
      <w:r w:rsidRPr="00DF39CA">
        <w:rPr>
          <w:rFonts w:ascii="Arial" w:hAnsi="Arial" w:cs="Arial"/>
          <w:sz w:val="24"/>
        </w:rPr>
        <w:t xml:space="preserve">este grupo se presupuestó la suma de </w:t>
      </w:r>
      <w:r w:rsidRPr="00DF39CA">
        <w:rPr>
          <w:rFonts w:ascii="Arial" w:hAnsi="Arial" w:cs="Arial"/>
          <w:b/>
          <w:sz w:val="24"/>
        </w:rPr>
        <w:t>¢</w:t>
      </w:r>
      <w:r w:rsidR="00C94B36" w:rsidRPr="00DF39CA">
        <w:rPr>
          <w:rFonts w:ascii="Arial" w:hAnsi="Arial" w:cs="Arial"/>
          <w:b/>
          <w:sz w:val="24"/>
        </w:rPr>
        <w:t>167.865.745</w:t>
      </w:r>
      <w:r w:rsidR="00B855F5" w:rsidRPr="00DF39CA">
        <w:rPr>
          <w:rFonts w:ascii="Arial" w:hAnsi="Arial" w:cs="Arial"/>
          <w:b/>
          <w:sz w:val="24"/>
        </w:rPr>
        <w:t xml:space="preserve"> </w:t>
      </w:r>
      <w:r w:rsidR="00515CE6" w:rsidRPr="00DF39CA">
        <w:rPr>
          <w:rFonts w:ascii="Arial" w:hAnsi="Arial" w:cs="Arial"/>
          <w:sz w:val="24"/>
        </w:rPr>
        <w:t xml:space="preserve">de los cuales se </w:t>
      </w:r>
      <w:r w:rsidR="00405C2C" w:rsidRPr="00DF39CA">
        <w:rPr>
          <w:rFonts w:ascii="Arial" w:hAnsi="Arial" w:cs="Arial"/>
          <w:sz w:val="24"/>
        </w:rPr>
        <w:t xml:space="preserve">ejecutó </w:t>
      </w:r>
      <w:r w:rsidR="00405C2C" w:rsidRPr="00DF39CA">
        <w:rPr>
          <w:rFonts w:ascii="Arial" w:hAnsi="Arial" w:cs="Arial"/>
          <w:b/>
          <w:sz w:val="24"/>
        </w:rPr>
        <w:t>¢</w:t>
      </w:r>
      <w:r w:rsidR="00C94B36" w:rsidRPr="00DF39CA">
        <w:rPr>
          <w:rFonts w:ascii="Arial" w:hAnsi="Arial" w:cs="Arial"/>
          <w:b/>
          <w:sz w:val="24"/>
        </w:rPr>
        <w:t>712.331</w:t>
      </w:r>
      <w:r w:rsidRPr="00DF39CA">
        <w:rPr>
          <w:rFonts w:ascii="Arial" w:hAnsi="Arial" w:cs="Arial"/>
          <w:sz w:val="24"/>
        </w:rPr>
        <w:t xml:space="preserve"> equivale</w:t>
      </w:r>
      <w:r w:rsidR="00B551AE" w:rsidRPr="00DF39CA">
        <w:rPr>
          <w:rFonts w:ascii="Arial" w:hAnsi="Arial" w:cs="Arial"/>
          <w:sz w:val="24"/>
        </w:rPr>
        <w:t>nte</w:t>
      </w:r>
      <w:r w:rsidRPr="00DF39CA">
        <w:rPr>
          <w:rFonts w:ascii="Arial" w:hAnsi="Arial" w:cs="Arial"/>
          <w:sz w:val="24"/>
        </w:rPr>
        <w:t xml:space="preserve"> </w:t>
      </w:r>
      <w:r w:rsidR="006C58D7" w:rsidRPr="00DF39CA">
        <w:rPr>
          <w:rFonts w:ascii="Arial" w:hAnsi="Arial" w:cs="Arial"/>
          <w:sz w:val="24"/>
        </w:rPr>
        <w:t>al</w:t>
      </w:r>
      <w:r w:rsidRPr="00DF39CA">
        <w:rPr>
          <w:rFonts w:ascii="Arial" w:hAnsi="Arial" w:cs="Arial"/>
          <w:sz w:val="24"/>
        </w:rPr>
        <w:t xml:space="preserve"> </w:t>
      </w:r>
      <w:r w:rsidR="003C7166" w:rsidRPr="00DF39CA">
        <w:rPr>
          <w:rFonts w:ascii="Arial" w:hAnsi="Arial" w:cs="Arial"/>
          <w:b/>
          <w:bCs/>
          <w:sz w:val="24"/>
        </w:rPr>
        <w:t>0.42</w:t>
      </w:r>
      <w:r w:rsidRPr="00DF39CA">
        <w:rPr>
          <w:rFonts w:ascii="Arial" w:hAnsi="Arial" w:cs="Arial"/>
          <w:b/>
          <w:bCs/>
          <w:sz w:val="24"/>
        </w:rPr>
        <w:t>%</w:t>
      </w:r>
      <w:r w:rsidR="00BB49EF" w:rsidRPr="00DF39CA">
        <w:rPr>
          <w:rFonts w:ascii="Arial" w:hAnsi="Arial" w:cs="Arial"/>
          <w:b/>
          <w:bCs/>
          <w:sz w:val="24"/>
        </w:rPr>
        <w:t>,</w:t>
      </w:r>
      <w:r w:rsidR="006C58D7" w:rsidRPr="00DF39CA">
        <w:rPr>
          <w:rFonts w:ascii="Arial" w:hAnsi="Arial" w:cs="Arial"/>
          <w:b/>
          <w:bCs/>
          <w:sz w:val="24"/>
        </w:rPr>
        <w:t xml:space="preserve"> </w:t>
      </w:r>
      <w:r w:rsidR="003C7166" w:rsidRPr="00DF39CA">
        <w:rPr>
          <w:rFonts w:ascii="Arial" w:hAnsi="Arial" w:cs="Arial"/>
          <w:sz w:val="24"/>
        </w:rPr>
        <w:t>del monto anterior</w:t>
      </w:r>
      <w:r w:rsidR="006C58D7" w:rsidRPr="00DF39CA">
        <w:rPr>
          <w:rFonts w:ascii="Arial" w:hAnsi="Arial" w:cs="Arial"/>
          <w:sz w:val="24"/>
        </w:rPr>
        <w:t xml:space="preserve">. </w:t>
      </w:r>
      <w:r w:rsidR="00405C2C" w:rsidRPr="00DF39CA">
        <w:rPr>
          <w:rFonts w:ascii="Arial" w:hAnsi="Arial" w:cs="Arial"/>
          <w:sz w:val="24"/>
        </w:rPr>
        <w:t>E</w:t>
      </w:r>
      <w:r w:rsidR="006C58D7" w:rsidRPr="00DF39CA">
        <w:rPr>
          <w:rFonts w:ascii="Arial" w:hAnsi="Arial" w:cs="Arial"/>
          <w:sz w:val="24"/>
        </w:rPr>
        <w:t xml:space="preserve">stos recursos </w:t>
      </w:r>
      <w:r w:rsidR="003C2209" w:rsidRPr="00DF39CA">
        <w:rPr>
          <w:rFonts w:ascii="Arial" w:hAnsi="Arial" w:cs="Arial"/>
          <w:sz w:val="24"/>
        </w:rPr>
        <w:t>se utilizaron especialmente para el</w:t>
      </w:r>
      <w:r w:rsidR="006C58D7" w:rsidRPr="00DF39CA">
        <w:rPr>
          <w:rFonts w:ascii="Arial" w:hAnsi="Arial" w:cs="Arial"/>
          <w:sz w:val="24"/>
        </w:rPr>
        <w:t xml:space="preserve"> pago de incapacidades, </w:t>
      </w:r>
      <w:r w:rsidR="00044BE4">
        <w:rPr>
          <w:rFonts w:ascii="Arial" w:hAnsi="Arial" w:cs="Arial"/>
          <w:sz w:val="24"/>
        </w:rPr>
        <w:t>y</w:t>
      </w:r>
      <w:r w:rsidR="006C58D7" w:rsidRPr="00DF39CA">
        <w:rPr>
          <w:rFonts w:ascii="Arial" w:hAnsi="Arial" w:cs="Arial"/>
          <w:sz w:val="24"/>
        </w:rPr>
        <w:t xml:space="preserve"> liquidaciones laborales</w:t>
      </w:r>
      <w:r w:rsidR="003C2209" w:rsidRPr="00DF39CA">
        <w:rPr>
          <w:rFonts w:ascii="Arial" w:hAnsi="Arial" w:cs="Arial"/>
          <w:sz w:val="24"/>
        </w:rPr>
        <w:t>, se</w:t>
      </w:r>
      <w:r w:rsidR="006C58D7" w:rsidRPr="00DF39CA">
        <w:rPr>
          <w:rFonts w:ascii="Arial" w:hAnsi="Arial" w:cs="Arial"/>
          <w:sz w:val="24"/>
        </w:rPr>
        <w:t xml:space="preserve"> </w:t>
      </w:r>
      <w:r w:rsidRPr="00DF39CA">
        <w:rPr>
          <w:rFonts w:ascii="Arial" w:hAnsi="Arial" w:cs="Arial"/>
          <w:sz w:val="24"/>
        </w:rPr>
        <w:t>distribu</w:t>
      </w:r>
      <w:r w:rsidR="003C2209" w:rsidRPr="00DF39CA">
        <w:rPr>
          <w:rFonts w:ascii="Arial" w:hAnsi="Arial" w:cs="Arial"/>
          <w:sz w:val="24"/>
        </w:rPr>
        <w:t>ye en</w:t>
      </w:r>
      <w:r w:rsidRPr="00DF39CA">
        <w:rPr>
          <w:rFonts w:ascii="Arial" w:hAnsi="Arial" w:cs="Arial"/>
          <w:sz w:val="24"/>
        </w:rPr>
        <w:t xml:space="preserve"> la</w:t>
      </w:r>
      <w:r w:rsidR="003C2209" w:rsidRPr="00DF39CA">
        <w:rPr>
          <w:rFonts w:ascii="Arial" w:hAnsi="Arial" w:cs="Arial"/>
          <w:sz w:val="24"/>
        </w:rPr>
        <w:t>s</w:t>
      </w:r>
      <w:r w:rsidRPr="00DF39CA">
        <w:rPr>
          <w:rFonts w:ascii="Arial" w:hAnsi="Arial" w:cs="Arial"/>
          <w:sz w:val="24"/>
        </w:rPr>
        <w:t xml:space="preserve"> siguiente</w:t>
      </w:r>
      <w:r w:rsidR="003C2209" w:rsidRPr="00DF39CA">
        <w:rPr>
          <w:rFonts w:ascii="Arial" w:hAnsi="Arial" w:cs="Arial"/>
          <w:sz w:val="24"/>
        </w:rPr>
        <w:t>s</w:t>
      </w:r>
      <w:r w:rsidRPr="00DF39CA">
        <w:rPr>
          <w:rFonts w:ascii="Arial" w:hAnsi="Arial" w:cs="Arial"/>
          <w:sz w:val="24"/>
        </w:rPr>
        <w:t xml:space="preserve"> subpartidas presupuestarias</w:t>
      </w:r>
      <w:r w:rsidRPr="003C7166">
        <w:rPr>
          <w:rFonts w:ascii="Arial" w:hAnsi="Arial" w:cs="Arial"/>
        </w:rPr>
        <w:t>:</w:t>
      </w:r>
    </w:p>
    <w:tbl>
      <w:tblPr>
        <w:tblW w:w="9799" w:type="dxa"/>
        <w:tblInd w:w="-577" w:type="dxa"/>
        <w:tblCellMar>
          <w:left w:w="70" w:type="dxa"/>
          <w:right w:w="70" w:type="dxa"/>
        </w:tblCellMar>
        <w:tblLook w:val="04A0" w:firstRow="1" w:lastRow="0" w:firstColumn="1" w:lastColumn="0" w:noHBand="0" w:noVBand="1"/>
      </w:tblPr>
      <w:tblGrid>
        <w:gridCol w:w="807"/>
        <w:gridCol w:w="5112"/>
        <w:gridCol w:w="1592"/>
        <w:gridCol w:w="1459"/>
        <w:gridCol w:w="1382"/>
        <w:gridCol w:w="160"/>
      </w:tblGrid>
      <w:tr w:rsidR="00044BE4" w:rsidRPr="00044BE4" w14:paraId="5958A2D0" w14:textId="77777777" w:rsidTr="00044BE4">
        <w:trPr>
          <w:gridAfter w:val="1"/>
          <w:wAfter w:w="160" w:type="dxa"/>
          <w:trHeight w:val="509"/>
        </w:trPr>
        <w:tc>
          <w:tcPr>
            <w:tcW w:w="770"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14:paraId="17E0810D" w14:textId="77777777" w:rsidR="00044BE4" w:rsidRPr="00044BE4" w:rsidRDefault="00044BE4" w:rsidP="00044BE4">
            <w:pPr>
              <w:spacing w:after="0" w:line="240" w:lineRule="auto"/>
              <w:jc w:val="center"/>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CUENTA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14:paraId="1AC37D35" w14:textId="77777777" w:rsidR="00044BE4" w:rsidRPr="00044BE4" w:rsidRDefault="00044BE4" w:rsidP="00044BE4">
            <w:pPr>
              <w:spacing w:after="0" w:line="240" w:lineRule="auto"/>
              <w:jc w:val="center"/>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NOMBRE PARTIDA, GRUPO Y SUBPARTIDA</w:t>
            </w:r>
          </w:p>
        </w:tc>
        <w:tc>
          <w:tcPr>
            <w:tcW w:w="1592" w:type="dxa"/>
            <w:vMerge w:val="restart"/>
            <w:tcBorders>
              <w:top w:val="single" w:sz="8" w:space="0" w:color="auto"/>
              <w:left w:val="single" w:sz="4" w:space="0" w:color="auto"/>
              <w:bottom w:val="single" w:sz="8" w:space="0" w:color="000000"/>
              <w:right w:val="single" w:sz="4" w:space="0" w:color="auto"/>
            </w:tcBorders>
            <w:shd w:val="clear" w:color="000000" w:fill="00B050"/>
            <w:noWrap/>
            <w:vAlign w:val="center"/>
            <w:hideMark/>
          </w:tcPr>
          <w:p w14:paraId="58A7178B" w14:textId="77777777" w:rsidR="00044BE4" w:rsidRPr="00044BE4" w:rsidRDefault="00044BE4" w:rsidP="00044BE4">
            <w:pPr>
              <w:spacing w:after="0" w:line="240" w:lineRule="auto"/>
              <w:jc w:val="center"/>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PRESUPUESTO APROBADO</w:t>
            </w:r>
          </w:p>
        </w:tc>
        <w:tc>
          <w:tcPr>
            <w:tcW w:w="1459" w:type="dxa"/>
            <w:vMerge w:val="restart"/>
            <w:tcBorders>
              <w:top w:val="single" w:sz="8" w:space="0" w:color="auto"/>
              <w:left w:val="single" w:sz="4" w:space="0" w:color="auto"/>
              <w:bottom w:val="single" w:sz="8" w:space="0" w:color="000000"/>
              <w:right w:val="single" w:sz="4" w:space="0" w:color="auto"/>
            </w:tcBorders>
            <w:shd w:val="clear" w:color="000000" w:fill="00B050"/>
            <w:noWrap/>
            <w:vAlign w:val="center"/>
            <w:hideMark/>
          </w:tcPr>
          <w:p w14:paraId="1D3F1FAB" w14:textId="77777777" w:rsidR="00044BE4" w:rsidRPr="00044BE4" w:rsidRDefault="00044BE4" w:rsidP="00044BE4">
            <w:pPr>
              <w:spacing w:after="0" w:line="240" w:lineRule="auto"/>
              <w:jc w:val="center"/>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TOTAL I SEMESTRE</w:t>
            </w:r>
          </w:p>
        </w:tc>
        <w:tc>
          <w:tcPr>
            <w:tcW w:w="1382" w:type="dxa"/>
            <w:vMerge w:val="restart"/>
            <w:tcBorders>
              <w:top w:val="single" w:sz="8" w:space="0" w:color="auto"/>
              <w:left w:val="single" w:sz="4" w:space="0" w:color="auto"/>
              <w:bottom w:val="single" w:sz="8" w:space="0" w:color="000000"/>
              <w:right w:val="single" w:sz="8" w:space="0" w:color="auto"/>
            </w:tcBorders>
            <w:shd w:val="clear" w:color="000000" w:fill="00B050"/>
            <w:noWrap/>
            <w:vAlign w:val="center"/>
            <w:hideMark/>
          </w:tcPr>
          <w:p w14:paraId="19AE9361" w14:textId="77777777" w:rsidR="00044BE4" w:rsidRPr="00044BE4" w:rsidRDefault="00044BE4" w:rsidP="00044BE4">
            <w:pPr>
              <w:spacing w:after="0" w:line="240" w:lineRule="auto"/>
              <w:jc w:val="center"/>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 EJECUTADO</w:t>
            </w:r>
          </w:p>
        </w:tc>
      </w:tr>
      <w:tr w:rsidR="00044BE4" w:rsidRPr="00044BE4" w14:paraId="2E7EF957" w14:textId="77777777" w:rsidTr="00044BE4">
        <w:trPr>
          <w:trHeight w:val="48"/>
        </w:trPr>
        <w:tc>
          <w:tcPr>
            <w:tcW w:w="770" w:type="dxa"/>
            <w:vMerge/>
            <w:tcBorders>
              <w:top w:val="single" w:sz="8" w:space="0" w:color="auto"/>
              <w:left w:val="single" w:sz="8" w:space="0" w:color="auto"/>
              <w:bottom w:val="single" w:sz="8" w:space="0" w:color="000000"/>
              <w:right w:val="single" w:sz="8" w:space="0" w:color="auto"/>
            </w:tcBorders>
            <w:vAlign w:val="center"/>
            <w:hideMark/>
          </w:tcPr>
          <w:p w14:paraId="386AF6B4" w14:textId="77777777" w:rsidR="00044BE4" w:rsidRPr="00044BE4" w:rsidRDefault="00044BE4" w:rsidP="00044BE4">
            <w:pPr>
              <w:spacing w:after="0" w:line="240" w:lineRule="auto"/>
              <w:rPr>
                <w:rFonts w:ascii="Arial" w:eastAsia="Times New Roman" w:hAnsi="Arial" w:cs="Arial"/>
                <w:b/>
                <w:bCs/>
                <w:color w:val="000000"/>
                <w:sz w:val="16"/>
                <w:szCs w:val="16"/>
                <w:lang w:val="es-US" w:eastAsia="es-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A873BDE" w14:textId="77777777" w:rsidR="00044BE4" w:rsidRPr="00044BE4" w:rsidRDefault="00044BE4" w:rsidP="00044BE4">
            <w:pPr>
              <w:spacing w:after="0" w:line="240" w:lineRule="auto"/>
              <w:rPr>
                <w:rFonts w:ascii="Arial" w:eastAsia="Times New Roman" w:hAnsi="Arial" w:cs="Arial"/>
                <w:b/>
                <w:bCs/>
                <w:color w:val="000000"/>
                <w:sz w:val="16"/>
                <w:szCs w:val="16"/>
                <w:lang w:val="es-US" w:eastAsia="es-US"/>
              </w:rPr>
            </w:pPr>
          </w:p>
        </w:tc>
        <w:tc>
          <w:tcPr>
            <w:tcW w:w="1592" w:type="dxa"/>
            <w:vMerge/>
            <w:tcBorders>
              <w:top w:val="single" w:sz="8" w:space="0" w:color="auto"/>
              <w:left w:val="single" w:sz="4" w:space="0" w:color="auto"/>
              <w:bottom w:val="single" w:sz="8" w:space="0" w:color="000000"/>
              <w:right w:val="single" w:sz="4" w:space="0" w:color="auto"/>
            </w:tcBorders>
            <w:vAlign w:val="center"/>
            <w:hideMark/>
          </w:tcPr>
          <w:p w14:paraId="3110A3BE" w14:textId="77777777" w:rsidR="00044BE4" w:rsidRPr="00044BE4" w:rsidRDefault="00044BE4" w:rsidP="00044BE4">
            <w:pPr>
              <w:spacing w:after="0" w:line="240" w:lineRule="auto"/>
              <w:rPr>
                <w:rFonts w:ascii="Arial" w:eastAsia="Times New Roman" w:hAnsi="Arial" w:cs="Arial"/>
                <w:b/>
                <w:bCs/>
                <w:color w:val="000000"/>
                <w:sz w:val="16"/>
                <w:szCs w:val="16"/>
                <w:lang w:val="es-US" w:eastAsia="es-US"/>
              </w:rPr>
            </w:pPr>
          </w:p>
        </w:tc>
        <w:tc>
          <w:tcPr>
            <w:tcW w:w="1459" w:type="dxa"/>
            <w:vMerge/>
            <w:tcBorders>
              <w:top w:val="single" w:sz="8" w:space="0" w:color="auto"/>
              <w:left w:val="single" w:sz="4" w:space="0" w:color="auto"/>
              <w:bottom w:val="single" w:sz="8" w:space="0" w:color="000000"/>
              <w:right w:val="single" w:sz="4" w:space="0" w:color="auto"/>
            </w:tcBorders>
            <w:vAlign w:val="center"/>
            <w:hideMark/>
          </w:tcPr>
          <w:p w14:paraId="66667FAC" w14:textId="77777777" w:rsidR="00044BE4" w:rsidRPr="00044BE4" w:rsidRDefault="00044BE4" w:rsidP="00044BE4">
            <w:pPr>
              <w:spacing w:after="0" w:line="240" w:lineRule="auto"/>
              <w:rPr>
                <w:rFonts w:ascii="Arial" w:eastAsia="Times New Roman" w:hAnsi="Arial" w:cs="Arial"/>
                <w:b/>
                <w:bCs/>
                <w:color w:val="000000"/>
                <w:sz w:val="16"/>
                <w:szCs w:val="16"/>
                <w:lang w:val="es-US" w:eastAsia="es-US"/>
              </w:rPr>
            </w:pPr>
          </w:p>
        </w:tc>
        <w:tc>
          <w:tcPr>
            <w:tcW w:w="1382" w:type="dxa"/>
            <w:vMerge/>
            <w:tcBorders>
              <w:top w:val="single" w:sz="8" w:space="0" w:color="auto"/>
              <w:left w:val="single" w:sz="4" w:space="0" w:color="auto"/>
              <w:bottom w:val="single" w:sz="8" w:space="0" w:color="000000"/>
              <w:right w:val="single" w:sz="8" w:space="0" w:color="auto"/>
            </w:tcBorders>
            <w:vAlign w:val="center"/>
            <w:hideMark/>
          </w:tcPr>
          <w:p w14:paraId="053CC68D" w14:textId="77777777" w:rsidR="00044BE4" w:rsidRPr="00044BE4" w:rsidRDefault="00044BE4" w:rsidP="00044BE4">
            <w:pPr>
              <w:spacing w:after="0" w:line="240" w:lineRule="auto"/>
              <w:rPr>
                <w:rFonts w:ascii="Arial" w:eastAsia="Times New Roman" w:hAnsi="Arial" w:cs="Arial"/>
                <w:b/>
                <w:bCs/>
                <w:color w:val="000000"/>
                <w:sz w:val="16"/>
                <w:szCs w:val="16"/>
                <w:lang w:val="es-US" w:eastAsia="es-US"/>
              </w:rPr>
            </w:pPr>
          </w:p>
        </w:tc>
        <w:tc>
          <w:tcPr>
            <w:tcW w:w="160" w:type="dxa"/>
            <w:tcBorders>
              <w:top w:val="nil"/>
              <w:left w:val="nil"/>
              <w:bottom w:val="nil"/>
              <w:right w:val="nil"/>
            </w:tcBorders>
            <w:shd w:val="clear" w:color="auto" w:fill="auto"/>
            <w:noWrap/>
            <w:vAlign w:val="bottom"/>
            <w:hideMark/>
          </w:tcPr>
          <w:p w14:paraId="0799B344" w14:textId="77777777" w:rsidR="00044BE4" w:rsidRPr="00044BE4" w:rsidRDefault="00044BE4" w:rsidP="00044BE4">
            <w:pPr>
              <w:spacing w:after="0" w:line="240" w:lineRule="auto"/>
              <w:jc w:val="center"/>
              <w:rPr>
                <w:rFonts w:ascii="Arial" w:eastAsia="Times New Roman" w:hAnsi="Arial" w:cs="Arial"/>
                <w:b/>
                <w:bCs/>
                <w:color w:val="000000"/>
                <w:sz w:val="16"/>
                <w:szCs w:val="16"/>
                <w:lang w:val="es-US" w:eastAsia="es-US"/>
              </w:rPr>
            </w:pPr>
          </w:p>
        </w:tc>
      </w:tr>
      <w:tr w:rsidR="00044BE4" w:rsidRPr="00044BE4" w14:paraId="347F54A6" w14:textId="77777777" w:rsidTr="00044BE4">
        <w:trPr>
          <w:trHeight w:val="276"/>
        </w:trPr>
        <w:tc>
          <w:tcPr>
            <w:tcW w:w="770" w:type="dxa"/>
            <w:tcBorders>
              <w:top w:val="nil"/>
              <w:left w:val="single" w:sz="8" w:space="0" w:color="auto"/>
              <w:bottom w:val="single" w:sz="4" w:space="0" w:color="auto"/>
              <w:right w:val="single" w:sz="4" w:space="0" w:color="auto"/>
            </w:tcBorders>
            <w:shd w:val="clear" w:color="000000" w:fill="00B050"/>
            <w:noWrap/>
            <w:vAlign w:val="center"/>
            <w:hideMark/>
          </w:tcPr>
          <w:p w14:paraId="58305CF0" w14:textId="77777777" w:rsidR="00044BE4" w:rsidRPr="00044BE4" w:rsidRDefault="00044BE4" w:rsidP="00044BE4">
            <w:pPr>
              <w:spacing w:after="0" w:line="240" w:lineRule="auto"/>
              <w:rPr>
                <w:rFonts w:ascii="Arial" w:eastAsia="Times New Roman" w:hAnsi="Arial" w:cs="Arial"/>
                <w:b/>
                <w:bCs/>
                <w:sz w:val="16"/>
                <w:szCs w:val="16"/>
                <w:lang w:val="es-US" w:eastAsia="es-US"/>
              </w:rPr>
            </w:pPr>
            <w:r w:rsidRPr="00044BE4">
              <w:rPr>
                <w:rFonts w:ascii="Arial" w:eastAsia="Times New Roman" w:hAnsi="Arial" w:cs="Arial"/>
                <w:b/>
                <w:bCs/>
                <w:sz w:val="16"/>
                <w:szCs w:val="16"/>
                <w:lang w:val="es-US" w:eastAsia="es-US"/>
              </w:rPr>
              <w:t xml:space="preserve">          6 </w:t>
            </w:r>
          </w:p>
        </w:tc>
        <w:tc>
          <w:tcPr>
            <w:tcW w:w="0" w:type="auto"/>
            <w:tcBorders>
              <w:top w:val="nil"/>
              <w:left w:val="nil"/>
              <w:bottom w:val="single" w:sz="4" w:space="0" w:color="auto"/>
              <w:right w:val="single" w:sz="4" w:space="0" w:color="auto"/>
            </w:tcBorders>
            <w:shd w:val="clear" w:color="000000" w:fill="00B050"/>
            <w:noWrap/>
            <w:vAlign w:val="center"/>
            <w:hideMark/>
          </w:tcPr>
          <w:p w14:paraId="526A5753" w14:textId="77777777" w:rsidR="00044BE4" w:rsidRPr="00044BE4" w:rsidRDefault="00044BE4" w:rsidP="00044BE4">
            <w:pPr>
              <w:spacing w:after="0" w:line="240" w:lineRule="auto"/>
              <w:rPr>
                <w:rFonts w:ascii="Arial" w:eastAsia="Times New Roman" w:hAnsi="Arial" w:cs="Arial"/>
                <w:b/>
                <w:bCs/>
                <w:sz w:val="16"/>
                <w:szCs w:val="16"/>
                <w:lang w:val="es-US" w:eastAsia="es-US"/>
              </w:rPr>
            </w:pPr>
            <w:r w:rsidRPr="00044BE4">
              <w:rPr>
                <w:rFonts w:ascii="Arial" w:eastAsia="Times New Roman" w:hAnsi="Arial" w:cs="Arial"/>
                <w:b/>
                <w:bCs/>
                <w:sz w:val="16"/>
                <w:szCs w:val="16"/>
                <w:lang w:val="es-US" w:eastAsia="es-US"/>
              </w:rPr>
              <w:t xml:space="preserve"> Transferencias Corrientes </w:t>
            </w:r>
          </w:p>
        </w:tc>
        <w:tc>
          <w:tcPr>
            <w:tcW w:w="1592" w:type="dxa"/>
            <w:tcBorders>
              <w:top w:val="nil"/>
              <w:left w:val="nil"/>
              <w:bottom w:val="single" w:sz="4" w:space="0" w:color="auto"/>
              <w:right w:val="single" w:sz="4" w:space="0" w:color="auto"/>
            </w:tcBorders>
            <w:shd w:val="clear" w:color="000000" w:fill="00B050"/>
            <w:noWrap/>
            <w:vAlign w:val="center"/>
            <w:hideMark/>
          </w:tcPr>
          <w:p w14:paraId="54A4F9D2" w14:textId="77777777" w:rsidR="00044BE4" w:rsidRPr="00044BE4" w:rsidRDefault="00044BE4" w:rsidP="00044BE4">
            <w:pPr>
              <w:spacing w:after="0" w:line="240" w:lineRule="auto"/>
              <w:jc w:val="right"/>
              <w:rPr>
                <w:rFonts w:ascii="Arial" w:eastAsia="Times New Roman" w:hAnsi="Arial" w:cs="Arial"/>
                <w:b/>
                <w:bCs/>
                <w:sz w:val="16"/>
                <w:szCs w:val="16"/>
                <w:lang w:val="es-US" w:eastAsia="es-US"/>
              </w:rPr>
            </w:pPr>
            <w:r w:rsidRPr="00044BE4">
              <w:rPr>
                <w:rFonts w:ascii="Arial" w:eastAsia="Times New Roman" w:hAnsi="Arial" w:cs="Arial"/>
                <w:b/>
                <w:bCs/>
                <w:sz w:val="16"/>
                <w:szCs w:val="16"/>
                <w:lang w:val="es-US" w:eastAsia="es-US"/>
              </w:rPr>
              <w:t xml:space="preserve">                         167,865,745 </w:t>
            </w:r>
          </w:p>
        </w:tc>
        <w:tc>
          <w:tcPr>
            <w:tcW w:w="1459" w:type="dxa"/>
            <w:tcBorders>
              <w:top w:val="nil"/>
              <w:left w:val="nil"/>
              <w:bottom w:val="single" w:sz="4" w:space="0" w:color="auto"/>
              <w:right w:val="single" w:sz="4" w:space="0" w:color="auto"/>
            </w:tcBorders>
            <w:shd w:val="clear" w:color="000000" w:fill="00B050"/>
            <w:noWrap/>
            <w:vAlign w:val="center"/>
            <w:hideMark/>
          </w:tcPr>
          <w:p w14:paraId="5810D1FE" w14:textId="77777777" w:rsidR="00044BE4" w:rsidRPr="00044BE4" w:rsidRDefault="00044BE4" w:rsidP="00044BE4">
            <w:pPr>
              <w:spacing w:after="0" w:line="240" w:lineRule="auto"/>
              <w:jc w:val="right"/>
              <w:rPr>
                <w:rFonts w:ascii="Arial" w:eastAsia="Times New Roman" w:hAnsi="Arial" w:cs="Arial"/>
                <w:b/>
                <w:bCs/>
                <w:sz w:val="16"/>
                <w:szCs w:val="16"/>
                <w:lang w:val="es-US" w:eastAsia="es-US"/>
              </w:rPr>
            </w:pPr>
            <w:r w:rsidRPr="00044BE4">
              <w:rPr>
                <w:rFonts w:ascii="Arial" w:eastAsia="Times New Roman" w:hAnsi="Arial" w:cs="Arial"/>
                <w:b/>
                <w:bCs/>
                <w:sz w:val="16"/>
                <w:szCs w:val="16"/>
                <w:lang w:val="es-US" w:eastAsia="es-US"/>
              </w:rPr>
              <w:t xml:space="preserve">                   712,331 </w:t>
            </w:r>
          </w:p>
        </w:tc>
        <w:tc>
          <w:tcPr>
            <w:tcW w:w="1382" w:type="dxa"/>
            <w:tcBorders>
              <w:top w:val="nil"/>
              <w:left w:val="nil"/>
              <w:bottom w:val="single" w:sz="4" w:space="0" w:color="auto"/>
              <w:right w:val="single" w:sz="8" w:space="0" w:color="auto"/>
            </w:tcBorders>
            <w:shd w:val="clear" w:color="000000" w:fill="00B050"/>
            <w:noWrap/>
            <w:vAlign w:val="bottom"/>
            <w:hideMark/>
          </w:tcPr>
          <w:p w14:paraId="1854DBE9" w14:textId="77777777" w:rsidR="00044BE4" w:rsidRPr="00044BE4" w:rsidRDefault="00044BE4" w:rsidP="00044BE4">
            <w:pPr>
              <w:spacing w:after="0" w:line="240" w:lineRule="auto"/>
              <w:jc w:val="right"/>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0.42%</w:t>
            </w:r>
          </w:p>
        </w:tc>
        <w:tc>
          <w:tcPr>
            <w:tcW w:w="160" w:type="dxa"/>
            <w:vAlign w:val="center"/>
            <w:hideMark/>
          </w:tcPr>
          <w:p w14:paraId="0A853CEF" w14:textId="77777777" w:rsidR="00044BE4" w:rsidRPr="00044BE4" w:rsidRDefault="00044BE4" w:rsidP="00044BE4">
            <w:pPr>
              <w:spacing w:after="0" w:line="240" w:lineRule="auto"/>
              <w:rPr>
                <w:rFonts w:ascii="Arial" w:eastAsia="Times New Roman" w:hAnsi="Arial" w:cs="Arial"/>
                <w:sz w:val="16"/>
                <w:szCs w:val="16"/>
                <w:lang w:val="es-US" w:eastAsia="es-US"/>
              </w:rPr>
            </w:pPr>
          </w:p>
        </w:tc>
      </w:tr>
      <w:tr w:rsidR="00044BE4" w:rsidRPr="00044BE4" w14:paraId="75CF54BD" w14:textId="77777777" w:rsidTr="00044BE4">
        <w:trPr>
          <w:trHeight w:val="288"/>
        </w:trPr>
        <w:tc>
          <w:tcPr>
            <w:tcW w:w="770" w:type="dxa"/>
            <w:tcBorders>
              <w:top w:val="nil"/>
              <w:left w:val="single" w:sz="8" w:space="0" w:color="auto"/>
              <w:bottom w:val="single" w:sz="4" w:space="0" w:color="auto"/>
              <w:right w:val="single" w:sz="8" w:space="0" w:color="auto"/>
            </w:tcBorders>
            <w:shd w:val="clear" w:color="auto" w:fill="auto"/>
            <w:noWrap/>
            <w:vAlign w:val="center"/>
            <w:hideMark/>
          </w:tcPr>
          <w:p w14:paraId="13DF2426"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6.01.08</w:t>
            </w:r>
          </w:p>
        </w:tc>
        <w:tc>
          <w:tcPr>
            <w:tcW w:w="0" w:type="auto"/>
            <w:tcBorders>
              <w:top w:val="nil"/>
              <w:left w:val="nil"/>
              <w:bottom w:val="single" w:sz="4" w:space="0" w:color="auto"/>
              <w:right w:val="single" w:sz="8" w:space="0" w:color="auto"/>
            </w:tcBorders>
            <w:shd w:val="clear" w:color="auto" w:fill="auto"/>
            <w:noWrap/>
            <w:vAlign w:val="center"/>
            <w:hideMark/>
          </w:tcPr>
          <w:p w14:paraId="727A6FFD"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Fondos en fideicomiso para gasto corriente</w:t>
            </w:r>
          </w:p>
        </w:tc>
        <w:tc>
          <w:tcPr>
            <w:tcW w:w="1592" w:type="dxa"/>
            <w:tcBorders>
              <w:top w:val="nil"/>
              <w:left w:val="nil"/>
              <w:bottom w:val="single" w:sz="4" w:space="0" w:color="auto"/>
              <w:right w:val="single" w:sz="4" w:space="0" w:color="auto"/>
            </w:tcBorders>
            <w:shd w:val="clear" w:color="auto" w:fill="auto"/>
            <w:noWrap/>
            <w:vAlign w:val="center"/>
            <w:hideMark/>
          </w:tcPr>
          <w:p w14:paraId="5E2720DD"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315,000.00 </w:t>
            </w:r>
          </w:p>
        </w:tc>
        <w:tc>
          <w:tcPr>
            <w:tcW w:w="1459" w:type="dxa"/>
            <w:tcBorders>
              <w:top w:val="nil"/>
              <w:left w:val="nil"/>
              <w:bottom w:val="single" w:sz="4" w:space="0" w:color="auto"/>
              <w:right w:val="single" w:sz="4" w:space="0" w:color="auto"/>
            </w:tcBorders>
            <w:shd w:val="clear" w:color="auto" w:fill="auto"/>
            <w:noWrap/>
            <w:vAlign w:val="center"/>
            <w:hideMark/>
          </w:tcPr>
          <w:p w14:paraId="1E24A41D"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299,070.00 </w:t>
            </w:r>
          </w:p>
        </w:tc>
        <w:tc>
          <w:tcPr>
            <w:tcW w:w="1382" w:type="dxa"/>
            <w:tcBorders>
              <w:top w:val="nil"/>
              <w:left w:val="nil"/>
              <w:bottom w:val="single" w:sz="4" w:space="0" w:color="auto"/>
              <w:right w:val="single" w:sz="8" w:space="0" w:color="auto"/>
            </w:tcBorders>
            <w:shd w:val="clear" w:color="auto" w:fill="auto"/>
            <w:noWrap/>
            <w:vAlign w:val="bottom"/>
            <w:hideMark/>
          </w:tcPr>
          <w:p w14:paraId="7EB8C09A" w14:textId="77777777" w:rsidR="00044BE4" w:rsidRPr="00044BE4" w:rsidRDefault="00044BE4" w:rsidP="00044BE4">
            <w:pPr>
              <w:spacing w:after="0" w:line="240" w:lineRule="auto"/>
              <w:jc w:val="right"/>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94.94%</w:t>
            </w:r>
          </w:p>
        </w:tc>
        <w:tc>
          <w:tcPr>
            <w:tcW w:w="160" w:type="dxa"/>
            <w:vAlign w:val="center"/>
            <w:hideMark/>
          </w:tcPr>
          <w:p w14:paraId="10C1CC82" w14:textId="77777777" w:rsidR="00044BE4" w:rsidRPr="00044BE4" w:rsidRDefault="00044BE4" w:rsidP="00044BE4">
            <w:pPr>
              <w:spacing w:after="0" w:line="240" w:lineRule="auto"/>
              <w:rPr>
                <w:rFonts w:ascii="Arial" w:eastAsia="Times New Roman" w:hAnsi="Arial" w:cs="Arial"/>
                <w:sz w:val="16"/>
                <w:szCs w:val="16"/>
                <w:lang w:val="es-US" w:eastAsia="es-US"/>
              </w:rPr>
            </w:pPr>
          </w:p>
        </w:tc>
      </w:tr>
      <w:tr w:rsidR="00044BE4" w:rsidRPr="00044BE4" w14:paraId="74335DDD" w14:textId="77777777" w:rsidTr="00044BE4">
        <w:trPr>
          <w:trHeight w:val="288"/>
        </w:trPr>
        <w:tc>
          <w:tcPr>
            <w:tcW w:w="770" w:type="dxa"/>
            <w:tcBorders>
              <w:top w:val="nil"/>
              <w:left w:val="single" w:sz="8" w:space="0" w:color="auto"/>
              <w:bottom w:val="single" w:sz="4" w:space="0" w:color="auto"/>
              <w:right w:val="single" w:sz="8" w:space="0" w:color="auto"/>
            </w:tcBorders>
            <w:shd w:val="clear" w:color="auto" w:fill="auto"/>
            <w:noWrap/>
            <w:vAlign w:val="center"/>
            <w:hideMark/>
          </w:tcPr>
          <w:p w14:paraId="2DF2DBBC"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6.02.99</w:t>
            </w:r>
          </w:p>
        </w:tc>
        <w:tc>
          <w:tcPr>
            <w:tcW w:w="0" w:type="auto"/>
            <w:tcBorders>
              <w:top w:val="nil"/>
              <w:left w:val="nil"/>
              <w:bottom w:val="single" w:sz="4" w:space="0" w:color="auto"/>
              <w:right w:val="single" w:sz="8" w:space="0" w:color="auto"/>
            </w:tcBorders>
            <w:shd w:val="clear" w:color="auto" w:fill="auto"/>
            <w:noWrap/>
            <w:vAlign w:val="center"/>
            <w:hideMark/>
          </w:tcPr>
          <w:p w14:paraId="58E4858D"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Otras transferencias a personas</w:t>
            </w:r>
          </w:p>
        </w:tc>
        <w:tc>
          <w:tcPr>
            <w:tcW w:w="1592" w:type="dxa"/>
            <w:tcBorders>
              <w:top w:val="nil"/>
              <w:left w:val="nil"/>
              <w:bottom w:val="single" w:sz="4" w:space="0" w:color="auto"/>
              <w:right w:val="single" w:sz="4" w:space="0" w:color="auto"/>
            </w:tcBorders>
            <w:shd w:val="clear" w:color="auto" w:fill="auto"/>
            <w:noWrap/>
            <w:vAlign w:val="center"/>
            <w:hideMark/>
          </w:tcPr>
          <w:p w14:paraId="51E44C49"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1,620,000.00 </w:t>
            </w:r>
          </w:p>
        </w:tc>
        <w:tc>
          <w:tcPr>
            <w:tcW w:w="1459" w:type="dxa"/>
            <w:tcBorders>
              <w:top w:val="nil"/>
              <w:left w:val="nil"/>
              <w:bottom w:val="single" w:sz="4" w:space="0" w:color="auto"/>
              <w:right w:val="single" w:sz="4" w:space="0" w:color="auto"/>
            </w:tcBorders>
            <w:shd w:val="clear" w:color="auto" w:fill="auto"/>
            <w:noWrap/>
            <w:vAlign w:val="center"/>
            <w:hideMark/>
          </w:tcPr>
          <w:p w14:paraId="3E4F7319"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   </w:t>
            </w:r>
          </w:p>
        </w:tc>
        <w:tc>
          <w:tcPr>
            <w:tcW w:w="1382" w:type="dxa"/>
            <w:tcBorders>
              <w:top w:val="nil"/>
              <w:left w:val="nil"/>
              <w:bottom w:val="single" w:sz="4" w:space="0" w:color="auto"/>
              <w:right w:val="single" w:sz="8" w:space="0" w:color="auto"/>
            </w:tcBorders>
            <w:shd w:val="clear" w:color="auto" w:fill="auto"/>
            <w:noWrap/>
            <w:vAlign w:val="bottom"/>
            <w:hideMark/>
          </w:tcPr>
          <w:p w14:paraId="08FF531D" w14:textId="77777777" w:rsidR="00044BE4" w:rsidRPr="00044BE4" w:rsidRDefault="00044BE4" w:rsidP="00044BE4">
            <w:pPr>
              <w:spacing w:after="0" w:line="240" w:lineRule="auto"/>
              <w:jc w:val="right"/>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0.00%</w:t>
            </w:r>
          </w:p>
        </w:tc>
        <w:tc>
          <w:tcPr>
            <w:tcW w:w="160" w:type="dxa"/>
            <w:vAlign w:val="center"/>
            <w:hideMark/>
          </w:tcPr>
          <w:p w14:paraId="46242885" w14:textId="77777777" w:rsidR="00044BE4" w:rsidRPr="00044BE4" w:rsidRDefault="00044BE4" w:rsidP="00044BE4">
            <w:pPr>
              <w:spacing w:after="0" w:line="240" w:lineRule="auto"/>
              <w:rPr>
                <w:rFonts w:ascii="Arial" w:eastAsia="Times New Roman" w:hAnsi="Arial" w:cs="Arial"/>
                <w:sz w:val="16"/>
                <w:szCs w:val="16"/>
                <w:lang w:val="es-US" w:eastAsia="es-US"/>
              </w:rPr>
            </w:pPr>
          </w:p>
        </w:tc>
      </w:tr>
      <w:tr w:rsidR="00044BE4" w:rsidRPr="00044BE4" w14:paraId="2B1DD00B" w14:textId="77777777" w:rsidTr="00044BE4">
        <w:trPr>
          <w:trHeight w:val="288"/>
        </w:trPr>
        <w:tc>
          <w:tcPr>
            <w:tcW w:w="770" w:type="dxa"/>
            <w:tcBorders>
              <w:top w:val="nil"/>
              <w:left w:val="single" w:sz="8" w:space="0" w:color="auto"/>
              <w:bottom w:val="single" w:sz="4" w:space="0" w:color="auto"/>
              <w:right w:val="single" w:sz="8" w:space="0" w:color="auto"/>
            </w:tcBorders>
            <w:shd w:val="clear" w:color="auto" w:fill="auto"/>
            <w:noWrap/>
            <w:vAlign w:val="center"/>
            <w:hideMark/>
          </w:tcPr>
          <w:p w14:paraId="71A4E889"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6.03.01</w:t>
            </w:r>
          </w:p>
        </w:tc>
        <w:tc>
          <w:tcPr>
            <w:tcW w:w="0" w:type="auto"/>
            <w:tcBorders>
              <w:top w:val="nil"/>
              <w:left w:val="nil"/>
              <w:bottom w:val="single" w:sz="4" w:space="0" w:color="auto"/>
              <w:right w:val="single" w:sz="8" w:space="0" w:color="auto"/>
            </w:tcBorders>
            <w:shd w:val="clear" w:color="auto" w:fill="auto"/>
            <w:noWrap/>
            <w:vAlign w:val="center"/>
            <w:hideMark/>
          </w:tcPr>
          <w:p w14:paraId="5E79B658"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Prestaciones Legales</w:t>
            </w:r>
          </w:p>
        </w:tc>
        <w:tc>
          <w:tcPr>
            <w:tcW w:w="1592" w:type="dxa"/>
            <w:tcBorders>
              <w:top w:val="nil"/>
              <w:left w:val="nil"/>
              <w:bottom w:val="single" w:sz="4" w:space="0" w:color="auto"/>
              <w:right w:val="single" w:sz="4" w:space="0" w:color="auto"/>
            </w:tcBorders>
            <w:shd w:val="clear" w:color="auto" w:fill="auto"/>
            <w:noWrap/>
            <w:vAlign w:val="center"/>
            <w:hideMark/>
          </w:tcPr>
          <w:p w14:paraId="7E55416E"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23,414,842.00 </w:t>
            </w:r>
          </w:p>
        </w:tc>
        <w:tc>
          <w:tcPr>
            <w:tcW w:w="1459" w:type="dxa"/>
            <w:tcBorders>
              <w:top w:val="nil"/>
              <w:left w:val="nil"/>
              <w:bottom w:val="single" w:sz="4" w:space="0" w:color="auto"/>
              <w:right w:val="single" w:sz="4" w:space="0" w:color="auto"/>
            </w:tcBorders>
            <w:shd w:val="clear" w:color="auto" w:fill="auto"/>
            <w:noWrap/>
            <w:vAlign w:val="center"/>
            <w:hideMark/>
          </w:tcPr>
          <w:p w14:paraId="27BC15A5"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152,705.56 </w:t>
            </w:r>
          </w:p>
        </w:tc>
        <w:tc>
          <w:tcPr>
            <w:tcW w:w="1382" w:type="dxa"/>
            <w:tcBorders>
              <w:top w:val="nil"/>
              <w:left w:val="nil"/>
              <w:bottom w:val="single" w:sz="4" w:space="0" w:color="auto"/>
              <w:right w:val="single" w:sz="8" w:space="0" w:color="auto"/>
            </w:tcBorders>
            <w:shd w:val="clear" w:color="auto" w:fill="auto"/>
            <w:noWrap/>
            <w:vAlign w:val="bottom"/>
            <w:hideMark/>
          </w:tcPr>
          <w:p w14:paraId="75971801" w14:textId="77777777" w:rsidR="00044BE4" w:rsidRPr="00044BE4" w:rsidRDefault="00044BE4" w:rsidP="00044BE4">
            <w:pPr>
              <w:spacing w:after="0" w:line="240" w:lineRule="auto"/>
              <w:jc w:val="right"/>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0.65%</w:t>
            </w:r>
          </w:p>
        </w:tc>
        <w:tc>
          <w:tcPr>
            <w:tcW w:w="160" w:type="dxa"/>
            <w:vAlign w:val="center"/>
            <w:hideMark/>
          </w:tcPr>
          <w:p w14:paraId="4080DFFD" w14:textId="77777777" w:rsidR="00044BE4" w:rsidRPr="00044BE4" w:rsidRDefault="00044BE4" w:rsidP="00044BE4">
            <w:pPr>
              <w:spacing w:after="0" w:line="240" w:lineRule="auto"/>
              <w:rPr>
                <w:rFonts w:ascii="Arial" w:eastAsia="Times New Roman" w:hAnsi="Arial" w:cs="Arial"/>
                <w:sz w:val="16"/>
                <w:szCs w:val="16"/>
                <w:lang w:val="es-US" w:eastAsia="es-US"/>
              </w:rPr>
            </w:pPr>
          </w:p>
        </w:tc>
      </w:tr>
      <w:tr w:rsidR="00044BE4" w:rsidRPr="00044BE4" w14:paraId="0F4E7DA0" w14:textId="77777777" w:rsidTr="00044BE4">
        <w:trPr>
          <w:trHeight w:val="288"/>
        </w:trPr>
        <w:tc>
          <w:tcPr>
            <w:tcW w:w="770" w:type="dxa"/>
            <w:tcBorders>
              <w:top w:val="nil"/>
              <w:left w:val="single" w:sz="8" w:space="0" w:color="auto"/>
              <w:bottom w:val="single" w:sz="4" w:space="0" w:color="auto"/>
              <w:right w:val="single" w:sz="8" w:space="0" w:color="auto"/>
            </w:tcBorders>
            <w:shd w:val="clear" w:color="auto" w:fill="auto"/>
            <w:noWrap/>
            <w:vAlign w:val="center"/>
            <w:hideMark/>
          </w:tcPr>
          <w:p w14:paraId="31C2F563"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6.03.99</w:t>
            </w:r>
          </w:p>
        </w:tc>
        <w:tc>
          <w:tcPr>
            <w:tcW w:w="0" w:type="auto"/>
            <w:tcBorders>
              <w:top w:val="nil"/>
              <w:left w:val="nil"/>
              <w:bottom w:val="single" w:sz="4" w:space="0" w:color="auto"/>
              <w:right w:val="single" w:sz="8" w:space="0" w:color="auto"/>
            </w:tcBorders>
            <w:shd w:val="clear" w:color="auto" w:fill="auto"/>
            <w:noWrap/>
            <w:vAlign w:val="center"/>
            <w:hideMark/>
          </w:tcPr>
          <w:p w14:paraId="1F4CA412"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Otras prestaciones</w:t>
            </w:r>
          </w:p>
        </w:tc>
        <w:tc>
          <w:tcPr>
            <w:tcW w:w="1592" w:type="dxa"/>
            <w:tcBorders>
              <w:top w:val="nil"/>
              <w:left w:val="nil"/>
              <w:bottom w:val="single" w:sz="4" w:space="0" w:color="auto"/>
              <w:right w:val="single" w:sz="4" w:space="0" w:color="auto"/>
            </w:tcBorders>
            <w:shd w:val="clear" w:color="auto" w:fill="auto"/>
            <w:noWrap/>
            <w:vAlign w:val="center"/>
            <w:hideMark/>
          </w:tcPr>
          <w:p w14:paraId="5A3EF67E"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6,176,979.00 </w:t>
            </w:r>
          </w:p>
        </w:tc>
        <w:tc>
          <w:tcPr>
            <w:tcW w:w="1459" w:type="dxa"/>
            <w:tcBorders>
              <w:top w:val="nil"/>
              <w:left w:val="nil"/>
              <w:bottom w:val="single" w:sz="4" w:space="0" w:color="auto"/>
              <w:right w:val="single" w:sz="4" w:space="0" w:color="auto"/>
            </w:tcBorders>
            <w:shd w:val="clear" w:color="auto" w:fill="auto"/>
            <w:noWrap/>
            <w:vAlign w:val="center"/>
            <w:hideMark/>
          </w:tcPr>
          <w:p w14:paraId="3C832334"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260,555.44 </w:t>
            </w:r>
          </w:p>
        </w:tc>
        <w:tc>
          <w:tcPr>
            <w:tcW w:w="1382" w:type="dxa"/>
            <w:tcBorders>
              <w:top w:val="nil"/>
              <w:left w:val="nil"/>
              <w:bottom w:val="single" w:sz="4" w:space="0" w:color="auto"/>
              <w:right w:val="single" w:sz="8" w:space="0" w:color="auto"/>
            </w:tcBorders>
            <w:shd w:val="clear" w:color="auto" w:fill="auto"/>
            <w:noWrap/>
            <w:vAlign w:val="bottom"/>
            <w:hideMark/>
          </w:tcPr>
          <w:p w14:paraId="0DEA5D28" w14:textId="77777777" w:rsidR="00044BE4" w:rsidRPr="00044BE4" w:rsidRDefault="00044BE4" w:rsidP="00044BE4">
            <w:pPr>
              <w:spacing w:after="0" w:line="240" w:lineRule="auto"/>
              <w:jc w:val="right"/>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4.22%</w:t>
            </w:r>
          </w:p>
        </w:tc>
        <w:tc>
          <w:tcPr>
            <w:tcW w:w="160" w:type="dxa"/>
            <w:vAlign w:val="center"/>
            <w:hideMark/>
          </w:tcPr>
          <w:p w14:paraId="73048425" w14:textId="77777777" w:rsidR="00044BE4" w:rsidRPr="00044BE4" w:rsidRDefault="00044BE4" w:rsidP="00044BE4">
            <w:pPr>
              <w:spacing w:after="0" w:line="240" w:lineRule="auto"/>
              <w:rPr>
                <w:rFonts w:ascii="Arial" w:eastAsia="Times New Roman" w:hAnsi="Arial" w:cs="Arial"/>
                <w:sz w:val="16"/>
                <w:szCs w:val="16"/>
                <w:lang w:val="es-US" w:eastAsia="es-US"/>
              </w:rPr>
            </w:pPr>
          </w:p>
        </w:tc>
      </w:tr>
      <w:tr w:rsidR="00044BE4" w:rsidRPr="00044BE4" w14:paraId="299D5405" w14:textId="77777777" w:rsidTr="00044BE4">
        <w:trPr>
          <w:trHeight w:val="288"/>
        </w:trPr>
        <w:tc>
          <w:tcPr>
            <w:tcW w:w="770" w:type="dxa"/>
            <w:tcBorders>
              <w:top w:val="nil"/>
              <w:left w:val="single" w:sz="8" w:space="0" w:color="auto"/>
              <w:bottom w:val="single" w:sz="4" w:space="0" w:color="auto"/>
              <w:right w:val="single" w:sz="8" w:space="0" w:color="auto"/>
            </w:tcBorders>
            <w:shd w:val="clear" w:color="auto" w:fill="auto"/>
            <w:noWrap/>
            <w:vAlign w:val="center"/>
            <w:hideMark/>
          </w:tcPr>
          <w:p w14:paraId="5136121B"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6.04.04</w:t>
            </w:r>
          </w:p>
        </w:tc>
        <w:tc>
          <w:tcPr>
            <w:tcW w:w="0" w:type="auto"/>
            <w:tcBorders>
              <w:top w:val="nil"/>
              <w:left w:val="nil"/>
              <w:bottom w:val="single" w:sz="4" w:space="0" w:color="auto"/>
              <w:right w:val="single" w:sz="8" w:space="0" w:color="auto"/>
            </w:tcBorders>
            <w:shd w:val="clear" w:color="auto" w:fill="auto"/>
            <w:noWrap/>
            <w:vAlign w:val="center"/>
            <w:hideMark/>
          </w:tcPr>
          <w:p w14:paraId="22616B61"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Transferencias corrientes a otras entidades privadas sin fines de lucro</w:t>
            </w:r>
          </w:p>
        </w:tc>
        <w:tc>
          <w:tcPr>
            <w:tcW w:w="1592" w:type="dxa"/>
            <w:tcBorders>
              <w:top w:val="nil"/>
              <w:left w:val="nil"/>
              <w:bottom w:val="single" w:sz="4" w:space="0" w:color="auto"/>
              <w:right w:val="single" w:sz="4" w:space="0" w:color="auto"/>
            </w:tcBorders>
            <w:shd w:val="clear" w:color="auto" w:fill="auto"/>
            <w:noWrap/>
            <w:vAlign w:val="center"/>
            <w:hideMark/>
          </w:tcPr>
          <w:p w14:paraId="0E612C5A"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130,338,924.00 </w:t>
            </w:r>
          </w:p>
        </w:tc>
        <w:tc>
          <w:tcPr>
            <w:tcW w:w="1459" w:type="dxa"/>
            <w:tcBorders>
              <w:top w:val="nil"/>
              <w:left w:val="nil"/>
              <w:bottom w:val="single" w:sz="4" w:space="0" w:color="auto"/>
              <w:right w:val="single" w:sz="4" w:space="0" w:color="auto"/>
            </w:tcBorders>
            <w:shd w:val="clear" w:color="auto" w:fill="auto"/>
            <w:noWrap/>
            <w:vAlign w:val="center"/>
            <w:hideMark/>
          </w:tcPr>
          <w:p w14:paraId="40EF3071"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   </w:t>
            </w:r>
          </w:p>
        </w:tc>
        <w:tc>
          <w:tcPr>
            <w:tcW w:w="1382" w:type="dxa"/>
            <w:tcBorders>
              <w:top w:val="nil"/>
              <w:left w:val="nil"/>
              <w:bottom w:val="single" w:sz="4" w:space="0" w:color="auto"/>
              <w:right w:val="single" w:sz="8" w:space="0" w:color="auto"/>
            </w:tcBorders>
            <w:shd w:val="clear" w:color="auto" w:fill="auto"/>
            <w:noWrap/>
            <w:vAlign w:val="bottom"/>
            <w:hideMark/>
          </w:tcPr>
          <w:p w14:paraId="33223E49" w14:textId="77777777" w:rsidR="00044BE4" w:rsidRPr="00044BE4" w:rsidRDefault="00044BE4" w:rsidP="00044BE4">
            <w:pPr>
              <w:spacing w:after="0" w:line="240" w:lineRule="auto"/>
              <w:jc w:val="right"/>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0.00%</w:t>
            </w:r>
          </w:p>
        </w:tc>
        <w:tc>
          <w:tcPr>
            <w:tcW w:w="160" w:type="dxa"/>
            <w:vAlign w:val="center"/>
            <w:hideMark/>
          </w:tcPr>
          <w:p w14:paraId="43BC4B30" w14:textId="77777777" w:rsidR="00044BE4" w:rsidRPr="00044BE4" w:rsidRDefault="00044BE4" w:rsidP="00044BE4">
            <w:pPr>
              <w:spacing w:after="0" w:line="240" w:lineRule="auto"/>
              <w:rPr>
                <w:rFonts w:ascii="Arial" w:eastAsia="Times New Roman" w:hAnsi="Arial" w:cs="Arial"/>
                <w:sz w:val="16"/>
                <w:szCs w:val="16"/>
                <w:lang w:val="es-US" w:eastAsia="es-US"/>
              </w:rPr>
            </w:pPr>
          </w:p>
        </w:tc>
      </w:tr>
      <w:tr w:rsidR="00044BE4" w:rsidRPr="00044BE4" w14:paraId="74D19EA3" w14:textId="77777777" w:rsidTr="00044BE4">
        <w:trPr>
          <w:trHeight w:val="288"/>
        </w:trPr>
        <w:tc>
          <w:tcPr>
            <w:tcW w:w="770" w:type="dxa"/>
            <w:tcBorders>
              <w:top w:val="nil"/>
              <w:left w:val="single" w:sz="8" w:space="0" w:color="auto"/>
              <w:bottom w:val="single" w:sz="4" w:space="0" w:color="auto"/>
              <w:right w:val="single" w:sz="8" w:space="0" w:color="auto"/>
            </w:tcBorders>
            <w:shd w:val="clear" w:color="auto" w:fill="auto"/>
            <w:noWrap/>
            <w:vAlign w:val="center"/>
            <w:hideMark/>
          </w:tcPr>
          <w:p w14:paraId="13AD06A8"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6.06.01</w:t>
            </w:r>
          </w:p>
        </w:tc>
        <w:tc>
          <w:tcPr>
            <w:tcW w:w="0" w:type="auto"/>
            <w:tcBorders>
              <w:top w:val="nil"/>
              <w:left w:val="nil"/>
              <w:bottom w:val="single" w:sz="4" w:space="0" w:color="auto"/>
              <w:right w:val="single" w:sz="8" w:space="0" w:color="auto"/>
            </w:tcBorders>
            <w:shd w:val="clear" w:color="auto" w:fill="auto"/>
            <w:noWrap/>
            <w:vAlign w:val="center"/>
            <w:hideMark/>
          </w:tcPr>
          <w:p w14:paraId="6FE50F67" w14:textId="77777777" w:rsidR="00044BE4" w:rsidRPr="00044BE4" w:rsidRDefault="00044BE4" w:rsidP="00044BE4">
            <w:pPr>
              <w:spacing w:after="0" w:line="240" w:lineRule="auto"/>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Indemnizaciones</w:t>
            </w:r>
          </w:p>
        </w:tc>
        <w:tc>
          <w:tcPr>
            <w:tcW w:w="1592" w:type="dxa"/>
            <w:tcBorders>
              <w:top w:val="nil"/>
              <w:left w:val="nil"/>
              <w:bottom w:val="single" w:sz="4" w:space="0" w:color="auto"/>
              <w:right w:val="single" w:sz="4" w:space="0" w:color="auto"/>
            </w:tcBorders>
            <w:shd w:val="clear" w:color="auto" w:fill="auto"/>
            <w:noWrap/>
            <w:vAlign w:val="center"/>
            <w:hideMark/>
          </w:tcPr>
          <w:p w14:paraId="418CE159"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6,000,000.00 </w:t>
            </w:r>
          </w:p>
        </w:tc>
        <w:tc>
          <w:tcPr>
            <w:tcW w:w="1459" w:type="dxa"/>
            <w:tcBorders>
              <w:top w:val="nil"/>
              <w:left w:val="nil"/>
              <w:bottom w:val="single" w:sz="4" w:space="0" w:color="auto"/>
              <w:right w:val="single" w:sz="4" w:space="0" w:color="auto"/>
            </w:tcBorders>
            <w:shd w:val="clear" w:color="auto" w:fill="auto"/>
            <w:noWrap/>
            <w:vAlign w:val="center"/>
            <w:hideMark/>
          </w:tcPr>
          <w:p w14:paraId="54ADE1C8" w14:textId="77777777" w:rsidR="00044BE4" w:rsidRPr="00044BE4" w:rsidRDefault="00044BE4" w:rsidP="00044BE4">
            <w:pPr>
              <w:spacing w:after="0" w:line="240" w:lineRule="auto"/>
              <w:jc w:val="right"/>
              <w:rPr>
                <w:rFonts w:ascii="Arial" w:eastAsia="Times New Roman" w:hAnsi="Arial" w:cs="Arial"/>
                <w:sz w:val="16"/>
                <w:szCs w:val="16"/>
                <w:lang w:val="es-US" w:eastAsia="es-US"/>
              </w:rPr>
            </w:pPr>
            <w:r w:rsidRPr="00044BE4">
              <w:rPr>
                <w:rFonts w:ascii="Arial" w:eastAsia="Times New Roman" w:hAnsi="Arial" w:cs="Arial"/>
                <w:sz w:val="16"/>
                <w:szCs w:val="16"/>
                <w:lang w:val="es-US" w:eastAsia="es-US"/>
              </w:rPr>
              <w:t xml:space="preserve">                            -   </w:t>
            </w:r>
          </w:p>
        </w:tc>
        <w:tc>
          <w:tcPr>
            <w:tcW w:w="1382" w:type="dxa"/>
            <w:tcBorders>
              <w:top w:val="nil"/>
              <w:left w:val="nil"/>
              <w:bottom w:val="single" w:sz="4" w:space="0" w:color="auto"/>
              <w:right w:val="single" w:sz="8" w:space="0" w:color="auto"/>
            </w:tcBorders>
            <w:shd w:val="clear" w:color="auto" w:fill="auto"/>
            <w:noWrap/>
            <w:vAlign w:val="bottom"/>
            <w:hideMark/>
          </w:tcPr>
          <w:p w14:paraId="2DBB9651" w14:textId="77777777" w:rsidR="00044BE4" w:rsidRPr="00044BE4" w:rsidRDefault="00044BE4" w:rsidP="00044BE4">
            <w:pPr>
              <w:spacing w:after="0" w:line="240" w:lineRule="auto"/>
              <w:jc w:val="right"/>
              <w:rPr>
                <w:rFonts w:ascii="Arial" w:eastAsia="Times New Roman" w:hAnsi="Arial" w:cs="Arial"/>
                <w:b/>
                <w:bCs/>
                <w:color w:val="000000"/>
                <w:sz w:val="16"/>
                <w:szCs w:val="16"/>
                <w:lang w:val="es-US" w:eastAsia="es-US"/>
              </w:rPr>
            </w:pPr>
            <w:r w:rsidRPr="00044BE4">
              <w:rPr>
                <w:rFonts w:ascii="Arial" w:eastAsia="Times New Roman" w:hAnsi="Arial" w:cs="Arial"/>
                <w:b/>
                <w:bCs/>
                <w:color w:val="000000"/>
                <w:sz w:val="16"/>
                <w:szCs w:val="16"/>
                <w:lang w:val="es-US" w:eastAsia="es-US"/>
              </w:rPr>
              <w:t>0.00%</w:t>
            </w:r>
          </w:p>
        </w:tc>
        <w:tc>
          <w:tcPr>
            <w:tcW w:w="160" w:type="dxa"/>
            <w:vAlign w:val="center"/>
            <w:hideMark/>
          </w:tcPr>
          <w:p w14:paraId="1082610B" w14:textId="77777777" w:rsidR="00044BE4" w:rsidRPr="00044BE4" w:rsidRDefault="00044BE4" w:rsidP="00044BE4">
            <w:pPr>
              <w:spacing w:after="0" w:line="240" w:lineRule="auto"/>
              <w:rPr>
                <w:rFonts w:ascii="Arial" w:eastAsia="Times New Roman" w:hAnsi="Arial" w:cs="Arial"/>
                <w:sz w:val="16"/>
                <w:szCs w:val="16"/>
                <w:lang w:val="es-US" w:eastAsia="es-US"/>
              </w:rPr>
            </w:pPr>
          </w:p>
        </w:tc>
      </w:tr>
    </w:tbl>
    <w:p w14:paraId="29B82CBB" w14:textId="5B1BB209" w:rsidR="00DF39CA" w:rsidRDefault="00DF39CA" w:rsidP="0064010E">
      <w:pPr>
        <w:jc w:val="both"/>
        <w:rPr>
          <w:rFonts w:ascii="Arial" w:hAnsi="Arial" w:cs="Arial"/>
        </w:rPr>
      </w:pPr>
    </w:p>
    <w:p w14:paraId="6576825A" w14:textId="77777777" w:rsidR="00DF39CA" w:rsidRPr="00DF39CA" w:rsidRDefault="006C5A94" w:rsidP="00DF39CA">
      <w:pPr>
        <w:rPr>
          <w:sz w:val="2"/>
        </w:rPr>
      </w:pPr>
      <w:r w:rsidRPr="006C5A94">
        <w:rPr>
          <w:highlight w:val="lightGray"/>
        </w:rPr>
        <w:t xml:space="preserve"> </w:t>
      </w:r>
      <w:r w:rsidR="006B5904" w:rsidRPr="006B5904">
        <w:rPr>
          <w:highlight w:val="lightGray"/>
        </w:rPr>
        <w:t xml:space="preserve"> </w:t>
      </w:r>
    </w:p>
    <w:p w14:paraId="3F559407" w14:textId="67DEB299" w:rsidR="00844CC5" w:rsidRPr="00DF39CA" w:rsidRDefault="00844CC5" w:rsidP="00DF39CA">
      <w:pPr>
        <w:rPr>
          <w:rFonts w:ascii="Arial" w:hAnsi="Arial" w:cs="Arial"/>
          <w:b/>
          <w:sz w:val="24"/>
          <w:szCs w:val="24"/>
        </w:rPr>
      </w:pPr>
      <w:r w:rsidRPr="00DF39CA">
        <w:rPr>
          <w:rFonts w:ascii="Arial" w:hAnsi="Arial" w:cs="Arial"/>
          <w:b/>
          <w:sz w:val="24"/>
          <w:szCs w:val="24"/>
        </w:rPr>
        <w:t>TRANSFERENCIAS DE CAPITAL</w:t>
      </w:r>
    </w:p>
    <w:p w14:paraId="440FBB85" w14:textId="1E034D9F" w:rsidR="00DE6212" w:rsidRDefault="00844CC5" w:rsidP="00844CC5">
      <w:pPr>
        <w:pStyle w:val="paragraph"/>
        <w:spacing w:before="0" w:beforeAutospacing="0" w:after="0" w:afterAutospacing="0"/>
        <w:jc w:val="both"/>
        <w:textAlignment w:val="baseline"/>
        <w:rPr>
          <w:rStyle w:val="normaltextrun"/>
          <w:rFonts w:ascii="Arial" w:hAnsi="Arial" w:cs="Arial"/>
          <w:b/>
          <w:bCs/>
          <w:lang w:val="es-CR"/>
        </w:rPr>
      </w:pPr>
      <w:r w:rsidRPr="00DF39CA">
        <w:rPr>
          <w:rStyle w:val="normaltextrun"/>
          <w:rFonts w:ascii="Arial" w:hAnsi="Arial" w:cs="Arial"/>
          <w:lang w:val="es-CR"/>
        </w:rPr>
        <w:t>En este grupo se presupuestó la suma de </w:t>
      </w:r>
      <w:r w:rsidRPr="00DF39CA">
        <w:rPr>
          <w:rStyle w:val="normaltextrun"/>
          <w:rFonts w:ascii="Arial" w:hAnsi="Arial" w:cs="Arial"/>
          <w:b/>
          <w:bCs/>
          <w:lang w:val="es-CR"/>
        </w:rPr>
        <w:t>¢</w:t>
      </w:r>
      <w:r w:rsidR="00617B5E" w:rsidRPr="00DF39CA">
        <w:rPr>
          <w:rStyle w:val="normaltextrun"/>
          <w:rFonts w:ascii="Arial" w:hAnsi="Arial" w:cs="Arial"/>
          <w:b/>
          <w:bCs/>
          <w:lang w:val="es-CR"/>
        </w:rPr>
        <w:t>22.639.691.843</w:t>
      </w:r>
      <w:r w:rsidRPr="00DF39CA">
        <w:rPr>
          <w:rStyle w:val="normaltextrun"/>
          <w:rFonts w:ascii="Arial" w:hAnsi="Arial" w:cs="Arial"/>
          <w:b/>
          <w:bCs/>
          <w:lang w:val="es-CR"/>
        </w:rPr>
        <w:t>, </w:t>
      </w:r>
      <w:r w:rsidRPr="00DF39CA">
        <w:rPr>
          <w:rStyle w:val="normaltextrun"/>
          <w:rFonts w:ascii="Arial" w:hAnsi="Arial" w:cs="Arial"/>
          <w:lang w:val="es-CR"/>
        </w:rPr>
        <w:t>de los cuales al cierre del </w:t>
      </w:r>
      <w:r w:rsidR="00617B5E" w:rsidRPr="00DF39CA">
        <w:rPr>
          <w:rStyle w:val="normaltextrun"/>
          <w:rFonts w:ascii="Arial" w:hAnsi="Arial" w:cs="Arial"/>
          <w:lang w:val="es-CR"/>
        </w:rPr>
        <w:t xml:space="preserve">semestre </w:t>
      </w:r>
      <w:r w:rsidR="004B7236" w:rsidRPr="00DF39CA">
        <w:rPr>
          <w:rStyle w:val="normaltextrun"/>
          <w:rFonts w:ascii="Arial" w:hAnsi="Arial" w:cs="Arial"/>
          <w:lang w:val="es-CR"/>
        </w:rPr>
        <w:t xml:space="preserve">se ejecutó un total del </w:t>
      </w:r>
      <w:r w:rsidR="004B7236" w:rsidRPr="00DF39CA">
        <w:rPr>
          <w:rStyle w:val="normaltextrun"/>
          <w:rFonts w:ascii="Arial" w:hAnsi="Arial" w:cs="Arial"/>
          <w:b/>
          <w:lang w:val="es-CR"/>
        </w:rPr>
        <w:t>¢</w:t>
      </w:r>
      <w:r w:rsidR="00617B5E" w:rsidRPr="00DF39CA">
        <w:rPr>
          <w:rStyle w:val="normaltextrun"/>
          <w:rFonts w:ascii="Arial" w:hAnsi="Arial" w:cs="Arial"/>
          <w:b/>
          <w:lang w:val="es-CR"/>
        </w:rPr>
        <w:t>3.279.193.995</w:t>
      </w:r>
      <w:r w:rsidRPr="00DF39CA">
        <w:rPr>
          <w:rStyle w:val="normaltextrun"/>
          <w:rFonts w:ascii="Arial" w:hAnsi="Arial" w:cs="Arial"/>
          <w:b/>
          <w:bCs/>
          <w:lang w:val="es-CR"/>
        </w:rPr>
        <w:t> </w:t>
      </w:r>
      <w:r w:rsidRPr="00DF39CA">
        <w:rPr>
          <w:rStyle w:val="normaltextrun"/>
          <w:rFonts w:ascii="Arial" w:hAnsi="Arial" w:cs="Arial"/>
          <w:lang w:val="es-CR"/>
        </w:rPr>
        <w:t xml:space="preserve">equivalente a un </w:t>
      </w:r>
      <w:r w:rsidR="00617B5E" w:rsidRPr="00DF39CA">
        <w:rPr>
          <w:rStyle w:val="normaltextrun"/>
          <w:rFonts w:ascii="Arial" w:hAnsi="Arial" w:cs="Arial"/>
          <w:b/>
          <w:bCs/>
          <w:lang w:val="es-CR"/>
        </w:rPr>
        <w:t>14.48</w:t>
      </w:r>
      <w:r w:rsidRPr="00DF39CA">
        <w:rPr>
          <w:rStyle w:val="normaltextrun"/>
          <w:rFonts w:ascii="Arial" w:hAnsi="Arial" w:cs="Arial"/>
          <w:b/>
          <w:bCs/>
          <w:lang w:val="es-CR"/>
        </w:rPr>
        <w:t>%.</w:t>
      </w:r>
    </w:p>
    <w:p w14:paraId="7FC59A9C" w14:textId="77777777" w:rsidR="00811976" w:rsidRDefault="00811976" w:rsidP="00844CC5">
      <w:pPr>
        <w:pStyle w:val="paragraph"/>
        <w:spacing w:before="0" w:beforeAutospacing="0" w:after="0" w:afterAutospacing="0"/>
        <w:jc w:val="both"/>
        <w:textAlignment w:val="baseline"/>
        <w:rPr>
          <w:rStyle w:val="normaltextrun"/>
          <w:rFonts w:ascii="Arial" w:hAnsi="Arial" w:cs="Arial"/>
          <w:b/>
          <w:bCs/>
          <w:lang w:val="es-CR"/>
        </w:rPr>
      </w:pPr>
    </w:p>
    <w:p w14:paraId="73811AA8" w14:textId="2A932B8A" w:rsidR="00811976" w:rsidRDefault="002579D0" w:rsidP="00844CC5">
      <w:pPr>
        <w:pStyle w:val="paragraph"/>
        <w:spacing w:before="0" w:beforeAutospacing="0" w:after="0" w:afterAutospacing="0"/>
        <w:jc w:val="both"/>
        <w:textAlignment w:val="baseline"/>
        <w:rPr>
          <w:rStyle w:val="normaltextrun"/>
          <w:rFonts w:ascii="Arial" w:hAnsi="Arial" w:cs="Arial"/>
          <w:shd w:val="clear" w:color="auto" w:fill="FFFFFF"/>
        </w:rPr>
      </w:pPr>
      <w:r>
        <w:rPr>
          <w:rStyle w:val="normaltextrun"/>
          <w:rFonts w:ascii="Arial" w:hAnsi="Arial" w:cs="Arial"/>
          <w:lang w:val="es-CR"/>
        </w:rPr>
        <w:t>E</w:t>
      </w:r>
      <w:r w:rsidRPr="00A7797A">
        <w:rPr>
          <w:rStyle w:val="normaltextrun"/>
          <w:rFonts w:ascii="Arial" w:hAnsi="Arial" w:cs="Arial"/>
          <w:shd w:val="clear" w:color="auto" w:fill="FFFFFF"/>
        </w:rPr>
        <w:t>n cumplimiento</w:t>
      </w:r>
      <w:r>
        <w:rPr>
          <w:rStyle w:val="normaltextrun"/>
          <w:rFonts w:ascii="Arial" w:hAnsi="Arial" w:cs="Arial"/>
          <w:shd w:val="clear" w:color="auto" w:fill="FFFFFF"/>
        </w:rPr>
        <w:t xml:space="preserve"> </w:t>
      </w:r>
      <w:r w:rsidRPr="00A7797A">
        <w:rPr>
          <w:rStyle w:val="normaltextrun"/>
          <w:rFonts w:ascii="Arial" w:hAnsi="Arial" w:cs="Arial"/>
          <w:shd w:val="clear" w:color="auto" w:fill="FFFFFF"/>
        </w:rPr>
        <w:t>con lo establecido en la Ley Forestal N° 7575</w:t>
      </w:r>
      <w:r w:rsidR="00811976">
        <w:rPr>
          <w:rStyle w:val="normaltextrun"/>
          <w:rFonts w:ascii="Arial" w:hAnsi="Arial" w:cs="Arial"/>
          <w:shd w:val="clear" w:color="auto" w:fill="FFFFFF"/>
        </w:rPr>
        <w:t xml:space="preserve">, </w:t>
      </w:r>
      <w:r w:rsidR="00DE6212">
        <w:rPr>
          <w:rStyle w:val="normaltextrun"/>
          <w:rFonts w:ascii="Arial" w:hAnsi="Arial" w:cs="Arial"/>
          <w:lang w:val="es-CR"/>
        </w:rPr>
        <w:t xml:space="preserve">se destinaron recursos para el </w:t>
      </w:r>
      <w:r w:rsidR="00DE6212" w:rsidRPr="00395463">
        <w:rPr>
          <w:rStyle w:val="normaltextrun"/>
          <w:rFonts w:ascii="Arial" w:hAnsi="Arial" w:cs="Arial"/>
          <w:shd w:val="clear" w:color="auto" w:fill="FFFFFF"/>
        </w:rPr>
        <w:t>reconocimiento financiero por parte del Estado, a los (las) propietarios(as) y poseedores(as) de bosques y plantaciones forestales por los servicios ambientales que éstos proveen y que inciden en la protección</w:t>
      </w:r>
      <w:r>
        <w:rPr>
          <w:rStyle w:val="normaltextrun"/>
          <w:rFonts w:ascii="Arial" w:hAnsi="Arial" w:cs="Arial"/>
          <w:shd w:val="clear" w:color="auto" w:fill="FFFFFF"/>
        </w:rPr>
        <w:t xml:space="preserve"> </w:t>
      </w:r>
      <w:r w:rsidR="00DE6212" w:rsidRPr="00395463">
        <w:rPr>
          <w:rStyle w:val="normaltextrun"/>
          <w:rFonts w:ascii="Arial" w:hAnsi="Arial" w:cs="Arial"/>
          <w:shd w:val="clear" w:color="auto" w:fill="FFFFFF"/>
        </w:rPr>
        <w:t>y mejoramiento del medio ambiente</w:t>
      </w:r>
      <w:r>
        <w:rPr>
          <w:rStyle w:val="normaltextrun"/>
          <w:rFonts w:ascii="Arial" w:hAnsi="Arial" w:cs="Arial"/>
          <w:shd w:val="clear" w:color="auto" w:fill="FFFFFF"/>
        </w:rPr>
        <w:t xml:space="preserve">, </w:t>
      </w:r>
      <w:r w:rsidR="00445408">
        <w:rPr>
          <w:rStyle w:val="normaltextrun"/>
          <w:rFonts w:ascii="Arial" w:hAnsi="Arial" w:cs="Arial"/>
          <w:shd w:val="clear" w:color="auto" w:fill="FFFFFF"/>
        </w:rPr>
        <w:t>comúnmente denominado</w:t>
      </w:r>
      <w:r>
        <w:rPr>
          <w:rStyle w:val="normaltextrun"/>
          <w:rFonts w:ascii="Arial" w:hAnsi="Arial" w:cs="Arial"/>
          <w:shd w:val="clear" w:color="auto" w:fill="FFFFFF"/>
        </w:rPr>
        <w:t xml:space="preserve"> PSA</w:t>
      </w:r>
      <w:r w:rsidR="00811976">
        <w:rPr>
          <w:rStyle w:val="normaltextrun"/>
          <w:rFonts w:ascii="Arial" w:hAnsi="Arial" w:cs="Arial"/>
          <w:shd w:val="clear" w:color="auto" w:fill="FFFFFF"/>
        </w:rPr>
        <w:t>.</w:t>
      </w:r>
    </w:p>
    <w:p w14:paraId="052C80D9" w14:textId="77777777" w:rsidR="00811976" w:rsidRDefault="00811976" w:rsidP="00844CC5">
      <w:pPr>
        <w:pStyle w:val="paragraph"/>
        <w:spacing w:before="0" w:beforeAutospacing="0" w:after="0" w:afterAutospacing="0"/>
        <w:jc w:val="both"/>
        <w:textAlignment w:val="baseline"/>
        <w:rPr>
          <w:rStyle w:val="normaltextrun"/>
          <w:rFonts w:ascii="Arial" w:hAnsi="Arial" w:cs="Arial"/>
          <w:shd w:val="clear" w:color="auto" w:fill="FFFFFF"/>
        </w:rPr>
      </w:pPr>
    </w:p>
    <w:p w14:paraId="2923188B" w14:textId="73C6C4F4" w:rsidR="00DE6212" w:rsidRDefault="00811976" w:rsidP="00844CC5">
      <w:pPr>
        <w:pStyle w:val="paragraph"/>
        <w:spacing w:before="0" w:beforeAutospacing="0" w:after="0" w:afterAutospacing="0"/>
        <w:jc w:val="both"/>
        <w:textAlignment w:val="baseline"/>
        <w:rPr>
          <w:rStyle w:val="normaltextrun"/>
          <w:rFonts w:ascii="Arial" w:hAnsi="Arial" w:cs="Arial"/>
          <w:lang w:val="es-CR"/>
        </w:rPr>
      </w:pPr>
      <w:r>
        <w:rPr>
          <w:rStyle w:val="normaltextrun"/>
          <w:rFonts w:ascii="Arial" w:hAnsi="Arial" w:cs="Arial"/>
          <w:shd w:val="clear" w:color="auto" w:fill="FFFFFF"/>
        </w:rPr>
        <w:t>También se destinaron</w:t>
      </w:r>
      <w:r w:rsidR="00DE6212">
        <w:rPr>
          <w:rStyle w:val="normaltextrun"/>
          <w:rFonts w:ascii="Arial" w:hAnsi="Arial" w:cs="Arial"/>
          <w:shd w:val="clear" w:color="auto" w:fill="FFFFFF"/>
        </w:rPr>
        <w:t xml:space="preserve"> recursos para la </w:t>
      </w:r>
      <w:r w:rsidR="00DE6212" w:rsidRPr="00BA613E">
        <w:rPr>
          <w:rStyle w:val="normaltextrun"/>
          <w:rFonts w:ascii="Arial" w:hAnsi="Arial" w:cs="Arial"/>
          <w:shd w:val="clear" w:color="auto" w:fill="FFFFFF"/>
          <w:lang w:val="es-ES"/>
        </w:rPr>
        <w:t>ejecución de un nuevo esquema de incentivos forestales basado en Contratos de Reducción</w:t>
      </w:r>
      <w:r>
        <w:rPr>
          <w:rStyle w:val="normaltextrun"/>
          <w:rFonts w:ascii="Arial" w:hAnsi="Arial" w:cs="Arial"/>
          <w:shd w:val="clear" w:color="auto" w:fill="FFFFFF"/>
          <w:lang w:val="es-ES"/>
        </w:rPr>
        <w:t xml:space="preserve"> </w:t>
      </w:r>
      <w:r w:rsidR="00DE6212" w:rsidRPr="00BA613E">
        <w:rPr>
          <w:rStyle w:val="normaltextrun"/>
          <w:rFonts w:ascii="Arial" w:hAnsi="Arial" w:cs="Arial"/>
          <w:shd w:val="clear" w:color="auto" w:fill="FFFFFF"/>
          <w:lang w:val="es-ES"/>
        </w:rPr>
        <w:t>de Emisiones Forestales (CREF), que consiste en un p</w:t>
      </w:r>
      <w:r w:rsidR="00DE6212">
        <w:rPr>
          <w:rStyle w:val="normaltextrun"/>
          <w:rFonts w:ascii="Arial" w:hAnsi="Arial" w:cs="Arial"/>
          <w:shd w:val="clear" w:color="auto" w:fill="FFFFFF"/>
          <w:lang w:val="es-ES"/>
        </w:rPr>
        <w:t>ago a propietarios (as) por la reducción de e</w:t>
      </w:r>
      <w:r w:rsidR="00DE6212" w:rsidRPr="00BA613E">
        <w:rPr>
          <w:rStyle w:val="normaltextrun"/>
          <w:rFonts w:ascii="Arial" w:hAnsi="Arial" w:cs="Arial"/>
          <w:shd w:val="clear" w:color="auto" w:fill="FFFFFF"/>
          <w:lang w:val="es-ES"/>
        </w:rPr>
        <w:t xml:space="preserve">misiones </w:t>
      </w:r>
      <w:r w:rsidR="00DE6212" w:rsidRPr="00BA613E">
        <w:rPr>
          <w:rStyle w:val="normaltextrun"/>
          <w:rFonts w:ascii="Arial" w:hAnsi="Arial" w:cs="Arial"/>
          <w:shd w:val="clear" w:color="auto" w:fill="FFFFFF"/>
          <w:lang w:val="es-ES"/>
        </w:rPr>
        <w:lastRenderedPageBreak/>
        <w:t>generadas en su bosque</w:t>
      </w:r>
      <w:r w:rsidR="002579D0">
        <w:rPr>
          <w:rStyle w:val="normaltextrun"/>
          <w:rFonts w:ascii="Arial" w:hAnsi="Arial" w:cs="Arial"/>
          <w:shd w:val="clear" w:color="auto" w:fill="FFFFFF"/>
          <w:lang w:val="es-ES"/>
        </w:rPr>
        <w:t xml:space="preserve">, sin </w:t>
      </w:r>
      <w:r>
        <w:rPr>
          <w:rStyle w:val="normaltextrun"/>
          <w:rFonts w:ascii="Arial" w:hAnsi="Arial" w:cs="Arial"/>
          <w:shd w:val="clear" w:color="auto" w:fill="FFFFFF"/>
          <w:lang w:val="es-ES"/>
        </w:rPr>
        <w:t>embargo,</w:t>
      </w:r>
      <w:r w:rsidR="002579D0">
        <w:rPr>
          <w:rStyle w:val="normaltextrun"/>
          <w:rFonts w:ascii="Arial" w:hAnsi="Arial" w:cs="Arial"/>
          <w:shd w:val="clear" w:color="auto" w:fill="FFFFFF"/>
          <w:lang w:val="es-ES"/>
        </w:rPr>
        <w:t xml:space="preserve"> en este último esquema a la fecha no se han ejecutado pagos.</w:t>
      </w:r>
    </w:p>
    <w:p w14:paraId="695D2057" w14:textId="77777777" w:rsidR="00844CC5" w:rsidRPr="00DF39CA" w:rsidRDefault="00844CC5" w:rsidP="00844CC5">
      <w:pPr>
        <w:pStyle w:val="paragraph"/>
        <w:spacing w:before="0" w:beforeAutospacing="0" w:after="0" w:afterAutospacing="0"/>
        <w:jc w:val="both"/>
        <w:textAlignment w:val="baseline"/>
        <w:rPr>
          <w:rFonts w:ascii="Segoe UI" w:hAnsi="Segoe UI" w:cs="Segoe UI"/>
        </w:rPr>
      </w:pPr>
      <w:r w:rsidRPr="00DF39CA">
        <w:rPr>
          <w:rStyle w:val="eop"/>
          <w:rFonts w:ascii="Arial" w:hAnsi="Arial" w:cs="Arial"/>
          <w:color w:val="FF0000"/>
        </w:rPr>
        <w:t> </w:t>
      </w:r>
    </w:p>
    <w:p w14:paraId="3A767A02" w14:textId="1FBB0A09" w:rsidR="00BB7547" w:rsidRPr="00DF39CA" w:rsidRDefault="00844CC5" w:rsidP="00A8142C">
      <w:pPr>
        <w:pStyle w:val="paragraph"/>
        <w:spacing w:before="0" w:beforeAutospacing="0" w:after="0" w:afterAutospacing="0"/>
        <w:jc w:val="both"/>
        <w:textAlignment w:val="baseline"/>
        <w:rPr>
          <w:rFonts w:ascii="Arial" w:hAnsi="Arial" w:cs="Arial"/>
          <w:color w:val="FF0000"/>
          <w:highlight w:val="lightGray"/>
        </w:rPr>
      </w:pPr>
      <w:r w:rsidRPr="00DF39CA">
        <w:rPr>
          <w:rStyle w:val="normaltextrun"/>
          <w:rFonts w:ascii="Arial" w:hAnsi="Arial" w:cs="Arial"/>
          <w:lang w:val="es-CR"/>
        </w:rPr>
        <w:t>A continuación, se detallan por año de contrato y actividad, los pagos</w:t>
      </w:r>
      <w:r w:rsidR="00811976">
        <w:rPr>
          <w:rStyle w:val="normaltextrun"/>
          <w:rFonts w:ascii="Arial" w:hAnsi="Arial" w:cs="Arial"/>
          <w:lang w:val="es-CR"/>
        </w:rPr>
        <w:t xml:space="preserve"> de PSA</w:t>
      </w:r>
      <w:r w:rsidRPr="00DF39CA">
        <w:rPr>
          <w:rStyle w:val="normaltextrun"/>
          <w:rFonts w:ascii="Arial" w:hAnsi="Arial" w:cs="Arial"/>
          <w:lang w:val="es-CR"/>
        </w:rPr>
        <w:t xml:space="preserve"> realizados:</w:t>
      </w:r>
      <w:r w:rsidRPr="00DF39CA">
        <w:rPr>
          <w:rStyle w:val="eop"/>
          <w:rFonts w:ascii="Arial" w:hAnsi="Arial" w:cs="Arial"/>
        </w:rPr>
        <w:t> </w:t>
      </w:r>
    </w:p>
    <w:p w14:paraId="49511986" w14:textId="0F8D4AAD" w:rsidR="00E609AB" w:rsidRPr="00F31BF4" w:rsidRDefault="00E609AB" w:rsidP="00844CC5">
      <w:pPr>
        <w:spacing w:after="0" w:line="240" w:lineRule="auto"/>
        <w:jc w:val="both"/>
        <w:rPr>
          <w:rFonts w:ascii="Arial" w:hAnsi="Arial" w:cs="Arial"/>
          <w:color w:val="FF0000"/>
          <w:highlight w:val="lightGray"/>
          <w:lang w:val="es-US"/>
        </w:rPr>
        <w:sectPr w:rsidR="00E609AB" w:rsidRPr="00F31BF4" w:rsidSect="00BB7547">
          <w:pgSz w:w="12240" w:h="15840"/>
          <w:pgMar w:top="1412" w:right="1701" w:bottom="1412" w:left="1701" w:header="709" w:footer="709" w:gutter="0"/>
          <w:cols w:space="708"/>
          <w:docGrid w:linePitch="360"/>
        </w:sectPr>
      </w:pPr>
    </w:p>
    <w:tbl>
      <w:tblPr>
        <w:tblW w:w="13325" w:type="dxa"/>
        <w:jc w:val="center"/>
        <w:tblLayout w:type="fixed"/>
        <w:tblCellMar>
          <w:left w:w="70" w:type="dxa"/>
          <w:right w:w="70" w:type="dxa"/>
        </w:tblCellMar>
        <w:tblLook w:val="04A0" w:firstRow="1" w:lastRow="0" w:firstColumn="1" w:lastColumn="0" w:noHBand="0" w:noVBand="1"/>
      </w:tblPr>
      <w:tblGrid>
        <w:gridCol w:w="493"/>
        <w:gridCol w:w="906"/>
        <w:gridCol w:w="1295"/>
        <w:gridCol w:w="709"/>
        <w:gridCol w:w="1134"/>
        <w:gridCol w:w="709"/>
        <w:gridCol w:w="174"/>
        <w:gridCol w:w="392"/>
        <w:gridCol w:w="911"/>
        <w:gridCol w:w="507"/>
        <w:gridCol w:w="567"/>
        <w:gridCol w:w="992"/>
        <w:gridCol w:w="709"/>
        <w:gridCol w:w="1275"/>
        <w:gridCol w:w="709"/>
        <w:gridCol w:w="1843"/>
      </w:tblGrid>
      <w:tr w:rsidR="00866791" w:rsidRPr="00866791" w14:paraId="2A58B551" w14:textId="77777777" w:rsidTr="00866791">
        <w:trPr>
          <w:trHeight w:val="288"/>
          <w:jc w:val="center"/>
        </w:trPr>
        <w:tc>
          <w:tcPr>
            <w:tcW w:w="13325" w:type="dxa"/>
            <w:gridSpan w:val="16"/>
            <w:tcBorders>
              <w:top w:val="nil"/>
              <w:left w:val="nil"/>
              <w:bottom w:val="nil"/>
              <w:right w:val="nil"/>
            </w:tcBorders>
            <w:shd w:val="clear" w:color="000000" w:fill="FFFFFF"/>
            <w:noWrap/>
            <w:vAlign w:val="bottom"/>
            <w:hideMark/>
          </w:tcPr>
          <w:p w14:paraId="131F1441"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bookmarkStart w:id="23" w:name="_Hlk109986746"/>
            <w:r w:rsidRPr="00866791">
              <w:rPr>
                <w:rFonts w:ascii="Arial" w:eastAsia="Times New Roman" w:hAnsi="Arial" w:cs="Arial"/>
                <w:b/>
                <w:bCs/>
                <w:color w:val="000000"/>
                <w:sz w:val="14"/>
                <w:szCs w:val="14"/>
                <w:lang w:val="es-US" w:eastAsia="es-US"/>
              </w:rPr>
              <w:lastRenderedPageBreak/>
              <w:t>Detalle de pagos por Servicios Ambientales</w:t>
            </w:r>
          </w:p>
        </w:tc>
      </w:tr>
      <w:tr w:rsidR="00866791" w:rsidRPr="00866791" w14:paraId="6D28F49A" w14:textId="77777777" w:rsidTr="00866791">
        <w:trPr>
          <w:trHeight w:val="288"/>
          <w:jc w:val="center"/>
        </w:trPr>
        <w:tc>
          <w:tcPr>
            <w:tcW w:w="13325" w:type="dxa"/>
            <w:gridSpan w:val="16"/>
            <w:tcBorders>
              <w:top w:val="nil"/>
              <w:left w:val="nil"/>
              <w:bottom w:val="nil"/>
              <w:right w:val="nil"/>
            </w:tcBorders>
            <w:shd w:val="clear" w:color="000000" w:fill="FFFFFF"/>
            <w:noWrap/>
            <w:vAlign w:val="bottom"/>
            <w:hideMark/>
          </w:tcPr>
          <w:p w14:paraId="2830A4A4"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Del 01/01/2022 al 30/06/2022</w:t>
            </w:r>
          </w:p>
        </w:tc>
      </w:tr>
      <w:tr w:rsidR="00866791" w:rsidRPr="00866791" w14:paraId="4DDEEDA8" w14:textId="77777777" w:rsidTr="00866791">
        <w:trPr>
          <w:trHeight w:val="300"/>
          <w:jc w:val="center"/>
        </w:trPr>
        <w:tc>
          <w:tcPr>
            <w:tcW w:w="13325" w:type="dxa"/>
            <w:gridSpan w:val="16"/>
            <w:tcBorders>
              <w:top w:val="nil"/>
              <w:left w:val="nil"/>
              <w:bottom w:val="single" w:sz="8" w:space="0" w:color="auto"/>
              <w:right w:val="nil"/>
            </w:tcBorders>
            <w:shd w:val="clear" w:color="000000" w:fill="FFFFFF"/>
            <w:noWrap/>
            <w:vAlign w:val="bottom"/>
            <w:hideMark/>
          </w:tcPr>
          <w:p w14:paraId="573CADA8"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(Expresado en colones)</w:t>
            </w:r>
          </w:p>
        </w:tc>
      </w:tr>
      <w:tr w:rsidR="00866791" w:rsidRPr="00866791" w14:paraId="03128F46" w14:textId="77777777" w:rsidTr="00866791">
        <w:trPr>
          <w:trHeight w:val="300"/>
          <w:jc w:val="center"/>
        </w:trPr>
        <w:tc>
          <w:tcPr>
            <w:tcW w:w="493" w:type="dxa"/>
            <w:vMerge w:val="restart"/>
            <w:tcBorders>
              <w:top w:val="nil"/>
              <w:left w:val="single" w:sz="8" w:space="0" w:color="auto"/>
              <w:bottom w:val="single" w:sz="8" w:space="0" w:color="000000"/>
              <w:right w:val="single" w:sz="8" w:space="0" w:color="auto"/>
            </w:tcBorders>
            <w:shd w:val="clear" w:color="000000" w:fill="00B050"/>
            <w:vAlign w:val="center"/>
            <w:hideMark/>
          </w:tcPr>
          <w:p w14:paraId="7C5027E2"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Año del Contrato </w:t>
            </w:r>
          </w:p>
        </w:tc>
        <w:tc>
          <w:tcPr>
            <w:tcW w:w="2201" w:type="dxa"/>
            <w:gridSpan w:val="2"/>
            <w:tcBorders>
              <w:top w:val="single" w:sz="8" w:space="0" w:color="auto"/>
              <w:left w:val="nil"/>
              <w:bottom w:val="single" w:sz="8" w:space="0" w:color="auto"/>
              <w:right w:val="single" w:sz="8" w:space="0" w:color="000000"/>
            </w:tcBorders>
            <w:shd w:val="clear" w:color="000000" w:fill="00B050"/>
            <w:noWrap/>
            <w:vAlign w:val="center"/>
            <w:hideMark/>
          </w:tcPr>
          <w:p w14:paraId="2A1711D9"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Protección  de Bosque</w:t>
            </w:r>
          </w:p>
        </w:tc>
        <w:tc>
          <w:tcPr>
            <w:tcW w:w="1843" w:type="dxa"/>
            <w:gridSpan w:val="2"/>
            <w:tcBorders>
              <w:top w:val="single" w:sz="8" w:space="0" w:color="auto"/>
              <w:left w:val="nil"/>
              <w:bottom w:val="single" w:sz="8" w:space="0" w:color="auto"/>
              <w:right w:val="single" w:sz="8" w:space="0" w:color="000000"/>
            </w:tcBorders>
            <w:shd w:val="clear" w:color="000000" w:fill="00B050"/>
            <w:noWrap/>
            <w:vAlign w:val="center"/>
            <w:hideMark/>
          </w:tcPr>
          <w:p w14:paraId="52147857"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Reforestación  </w:t>
            </w:r>
          </w:p>
        </w:tc>
        <w:tc>
          <w:tcPr>
            <w:tcW w:w="2693" w:type="dxa"/>
            <w:gridSpan w:val="5"/>
            <w:tcBorders>
              <w:top w:val="single" w:sz="8" w:space="0" w:color="auto"/>
              <w:left w:val="nil"/>
              <w:bottom w:val="single" w:sz="8" w:space="0" w:color="auto"/>
              <w:right w:val="single" w:sz="8" w:space="0" w:color="000000"/>
            </w:tcBorders>
            <w:shd w:val="clear" w:color="000000" w:fill="00B050"/>
            <w:vAlign w:val="center"/>
            <w:hideMark/>
          </w:tcPr>
          <w:p w14:paraId="76597885"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SAF </w:t>
            </w:r>
          </w:p>
        </w:tc>
        <w:tc>
          <w:tcPr>
            <w:tcW w:w="1559" w:type="dxa"/>
            <w:gridSpan w:val="2"/>
            <w:tcBorders>
              <w:top w:val="single" w:sz="8" w:space="0" w:color="auto"/>
              <w:left w:val="nil"/>
              <w:bottom w:val="single" w:sz="8" w:space="0" w:color="auto"/>
              <w:right w:val="single" w:sz="8" w:space="0" w:color="000000"/>
            </w:tcBorders>
            <w:shd w:val="clear" w:color="000000" w:fill="00B050"/>
            <w:vAlign w:val="center"/>
            <w:hideMark/>
          </w:tcPr>
          <w:p w14:paraId="61717B21"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Manejo de Bosque  </w:t>
            </w:r>
          </w:p>
        </w:tc>
        <w:tc>
          <w:tcPr>
            <w:tcW w:w="1984" w:type="dxa"/>
            <w:gridSpan w:val="2"/>
            <w:tcBorders>
              <w:top w:val="single" w:sz="8" w:space="0" w:color="auto"/>
              <w:left w:val="nil"/>
              <w:bottom w:val="single" w:sz="8" w:space="0" w:color="auto"/>
              <w:right w:val="single" w:sz="8" w:space="0" w:color="000000"/>
            </w:tcBorders>
            <w:shd w:val="clear" w:color="000000" w:fill="00B050"/>
            <w:vAlign w:val="center"/>
            <w:hideMark/>
          </w:tcPr>
          <w:p w14:paraId="598D81B8"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Sistemas Mixtos</w:t>
            </w:r>
          </w:p>
        </w:tc>
        <w:tc>
          <w:tcPr>
            <w:tcW w:w="2552" w:type="dxa"/>
            <w:gridSpan w:val="2"/>
            <w:tcBorders>
              <w:top w:val="single" w:sz="8" w:space="0" w:color="auto"/>
              <w:left w:val="nil"/>
              <w:bottom w:val="single" w:sz="8" w:space="0" w:color="auto"/>
              <w:right w:val="nil"/>
            </w:tcBorders>
            <w:shd w:val="clear" w:color="000000" w:fill="00B050"/>
            <w:vAlign w:val="center"/>
            <w:hideMark/>
          </w:tcPr>
          <w:p w14:paraId="24B65CCB"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Regeneración </w:t>
            </w:r>
          </w:p>
        </w:tc>
      </w:tr>
      <w:tr w:rsidR="00866791" w:rsidRPr="00866791" w14:paraId="0AB0C260" w14:textId="77777777" w:rsidTr="00866791">
        <w:trPr>
          <w:trHeight w:val="300"/>
          <w:jc w:val="center"/>
        </w:trPr>
        <w:tc>
          <w:tcPr>
            <w:tcW w:w="493" w:type="dxa"/>
            <w:vMerge/>
            <w:tcBorders>
              <w:top w:val="nil"/>
              <w:left w:val="single" w:sz="8" w:space="0" w:color="auto"/>
              <w:bottom w:val="single" w:sz="8" w:space="0" w:color="000000"/>
              <w:right w:val="single" w:sz="8" w:space="0" w:color="auto"/>
            </w:tcBorders>
            <w:vAlign w:val="center"/>
            <w:hideMark/>
          </w:tcPr>
          <w:p w14:paraId="7A0F1464" w14:textId="77777777" w:rsidR="00866791" w:rsidRPr="00866791" w:rsidRDefault="00866791" w:rsidP="00866791">
            <w:pPr>
              <w:spacing w:after="0" w:line="240" w:lineRule="auto"/>
              <w:rPr>
                <w:rFonts w:ascii="Arial" w:eastAsia="Times New Roman" w:hAnsi="Arial" w:cs="Arial"/>
                <w:b/>
                <w:bCs/>
                <w:color w:val="000000"/>
                <w:sz w:val="14"/>
                <w:szCs w:val="14"/>
                <w:lang w:val="es-US" w:eastAsia="es-US"/>
              </w:rPr>
            </w:pPr>
          </w:p>
        </w:tc>
        <w:tc>
          <w:tcPr>
            <w:tcW w:w="906" w:type="dxa"/>
            <w:tcBorders>
              <w:top w:val="nil"/>
              <w:left w:val="nil"/>
              <w:bottom w:val="single" w:sz="8" w:space="0" w:color="auto"/>
              <w:right w:val="single" w:sz="8" w:space="0" w:color="auto"/>
            </w:tcBorders>
            <w:shd w:val="clear" w:color="000000" w:fill="00B050"/>
            <w:noWrap/>
            <w:vAlign w:val="center"/>
            <w:hideMark/>
          </w:tcPr>
          <w:p w14:paraId="2F8E47BA"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Has </w:t>
            </w:r>
          </w:p>
        </w:tc>
        <w:tc>
          <w:tcPr>
            <w:tcW w:w="1295" w:type="dxa"/>
            <w:tcBorders>
              <w:top w:val="nil"/>
              <w:left w:val="nil"/>
              <w:bottom w:val="single" w:sz="8" w:space="0" w:color="auto"/>
              <w:right w:val="single" w:sz="8" w:space="0" w:color="auto"/>
            </w:tcBorders>
            <w:shd w:val="clear" w:color="000000" w:fill="00B050"/>
            <w:noWrap/>
            <w:vAlign w:val="center"/>
            <w:hideMark/>
          </w:tcPr>
          <w:p w14:paraId="00627DAC"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Monto  </w:t>
            </w:r>
          </w:p>
        </w:tc>
        <w:tc>
          <w:tcPr>
            <w:tcW w:w="709" w:type="dxa"/>
            <w:tcBorders>
              <w:top w:val="nil"/>
              <w:left w:val="nil"/>
              <w:bottom w:val="single" w:sz="8" w:space="0" w:color="auto"/>
              <w:right w:val="single" w:sz="8" w:space="0" w:color="auto"/>
            </w:tcBorders>
            <w:shd w:val="clear" w:color="000000" w:fill="00B050"/>
            <w:noWrap/>
            <w:vAlign w:val="center"/>
            <w:hideMark/>
          </w:tcPr>
          <w:p w14:paraId="5D7BCD74"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Has </w:t>
            </w:r>
          </w:p>
        </w:tc>
        <w:tc>
          <w:tcPr>
            <w:tcW w:w="1134" w:type="dxa"/>
            <w:tcBorders>
              <w:top w:val="nil"/>
              <w:left w:val="nil"/>
              <w:bottom w:val="single" w:sz="8" w:space="0" w:color="auto"/>
              <w:right w:val="single" w:sz="8" w:space="0" w:color="auto"/>
            </w:tcBorders>
            <w:shd w:val="clear" w:color="000000" w:fill="00B050"/>
            <w:noWrap/>
            <w:vAlign w:val="center"/>
            <w:hideMark/>
          </w:tcPr>
          <w:p w14:paraId="7185CE28"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Monto  </w:t>
            </w:r>
          </w:p>
        </w:tc>
        <w:tc>
          <w:tcPr>
            <w:tcW w:w="709" w:type="dxa"/>
            <w:tcBorders>
              <w:top w:val="nil"/>
              <w:left w:val="nil"/>
              <w:bottom w:val="single" w:sz="8" w:space="0" w:color="auto"/>
              <w:right w:val="single" w:sz="8" w:space="0" w:color="auto"/>
            </w:tcBorders>
            <w:shd w:val="clear" w:color="000000" w:fill="00B050"/>
            <w:noWrap/>
            <w:vAlign w:val="center"/>
            <w:hideMark/>
          </w:tcPr>
          <w:p w14:paraId="3542B5CA"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Árboles </w:t>
            </w:r>
          </w:p>
        </w:tc>
        <w:tc>
          <w:tcPr>
            <w:tcW w:w="566" w:type="dxa"/>
            <w:gridSpan w:val="2"/>
            <w:tcBorders>
              <w:top w:val="nil"/>
              <w:left w:val="nil"/>
              <w:bottom w:val="single" w:sz="8" w:space="0" w:color="auto"/>
              <w:right w:val="single" w:sz="8" w:space="0" w:color="auto"/>
            </w:tcBorders>
            <w:shd w:val="clear" w:color="000000" w:fill="00B050"/>
            <w:noWrap/>
            <w:vAlign w:val="center"/>
            <w:hideMark/>
          </w:tcPr>
          <w:p w14:paraId="5B44D787"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Has </w:t>
            </w:r>
          </w:p>
        </w:tc>
        <w:tc>
          <w:tcPr>
            <w:tcW w:w="1418" w:type="dxa"/>
            <w:gridSpan w:val="2"/>
            <w:tcBorders>
              <w:top w:val="nil"/>
              <w:left w:val="nil"/>
              <w:bottom w:val="single" w:sz="8" w:space="0" w:color="auto"/>
              <w:right w:val="single" w:sz="8" w:space="0" w:color="auto"/>
            </w:tcBorders>
            <w:shd w:val="clear" w:color="000000" w:fill="00B050"/>
            <w:noWrap/>
            <w:vAlign w:val="center"/>
            <w:hideMark/>
          </w:tcPr>
          <w:p w14:paraId="7B0D4B61"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Monto  </w:t>
            </w:r>
          </w:p>
        </w:tc>
        <w:tc>
          <w:tcPr>
            <w:tcW w:w="567" w:type="dxa"/>
            <w:tcBorders>
              <w:top w:val="nil"/>
              <w:left w:val="nil"/>
              <w:bottom w:val="single" w:sz="8" w:space="0" w:color="auto"/>
              <w:right w:val="single" w:sz="8" w:space="0" w:color="auto"/>
            </w:tcBorders>
            <w:shd w:val="clear" w:color="000000" w:fill="00B050"/>
            <w:noWrap/>
            <w:vAlign w:val="center"/>
            <w:hideMark/>
          </w:tcPr>
          <w:p w14:paraId="4811B350"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Has </w:t>
            </w:r>
          </w:p>
        </w:tc>
        <w:tc>
          <w:tcPr>
            <w:tcW w:w="992" w:type="dxa"/>
            <w:tcBorders>
              <w:top w:val="nil"/>
              <w:left w:val="nil"/>
              <w:bottom w:val="single" w:sz="8" w:space="0" w:color="auto"/>
              <w:right w:val="single" w:sz="8" w:space="0" w:color="auto"/>
            </w:tcBorders>
            <w:shd w:val="clear" w:color="000000" w:fill="00B050"/>
            <w:noWrap/>
            <w:vAlign w:val="center"/>
            <w:hideMark/>
          </w:tcPr>
          <w:p w14:paraId="6A18CD44"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Monto  </w:t>
            </w:r>
          </w:p>
        </w:tc>
        <w:tc>
          <w:tcPr>
            <w:tcW w:w="709" w:type="dxa"/>
            <w:tcBorders>
              <w:top w:val="nil"/>
              <w:left w:val="nil"/>
              <w:bottom w:val="single" w:sz="8" w:space="0" w:color="auto"/>
              <w:right w:val="single" w:sz="8" w:space="0" w:color="auto"/>
            </w:tcBorders>
            <w:shd w:val="clear" w:color="000000" w:fill="00B050"/>
            <w:noWrap/>
            <w:vAlign w:val="center"/>
            <w:hideMark/>
          </w:tcPr>
          <w:p w14:paraId="5487954D"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Has </w:t>
            </w:r>
          </w:p>
        </w:tc>
        <w:tc>
          <w:tcPr>
            <w:tcW w:w="1275" w:type="dxa"/>
            <w:tcBorders>
              <w:top w:val="nil"/>
              <w:left w:val="nil"/>
              <w:bottom w:val="single" w:sz="8" w:space="0" w:color="auto"/>
              <w:right w:val="single" w:sz="8" w:space="0" w:color="auto"/>
            </w:tcBorders>
            <w:shd w:val="clear" w:color="000000" w:fill="00B050"/>
            <w:noWrap/>
            <w:vAlign w:val="center"/>
            <w:hideMark/>
          </w:tcPr>
          <w:p w14:paraId="70777E84"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Monto  </w:t>
            </w:r>
          </w:p>
        </w:tc>
        <w:tc>
          <w:tcPr>
            <w:tcW w:w="709" w:type="dxa"/>
            <w:tcBorders>
              <w:top w:val="nil"/>
              <w:left w:val="nil"/>
              <w:bottom w:val="single" w:sz="8" w:space="0" w:color="auto"/>
              <w:right w:val="single" w:sz="8" w:space="0" w:color="auto"/>
            </w:tcBorders>
            <w:shd w:val="clear" w:color="000000" w:fill="00B050"/>
            <w:noWrap/>
            <w:vAlign w:val="center"/>
            <w:hideMark/>
          </w:tcPr>
          <w:p w14:paraId="333D7C19"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Has </w:t>
            </w:r>
          </w:p>
        </w:tc>
        <w:tc>
          <w:tcPr>
            <w:tcW w:w="1843" w:type="dxa"/>
            <w:tcBorders>
              <w:top w:val="nil"/>
              <w:left w:val="nil"/>
              <w:bottom w:val="single" w:sz="8" w:space="0" w:color="auto"/>
              <w:right w:val="single" w:sz="8" w:space="0" w:color="auto"/>
            </w:tcBorders>
            <w:shd w:val="clear" w:color="000000" w:fill="00B050"/>
            <w:noWrap/>
            <w:vAlign w:val="center"/>
            <w:hideMark/>
          </w:tcPr>
          <w:p w14:paraId="58CEA585" w14:textId="77777777" w:rsidR="00866791" w:rsidRPr="00866791" w:rsidRDefault="00866791" w:rsidP="00866791">
            <w:pPr>
              <w:spacing w:after="0" w:line="240" w:lineRule="auto"/>
              <w:jc w:val="center"/>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Monto  </w:t>
            </w:r>
          </w:p>
        </w:tc>
      </w:tr>
      <w:tr w:rsidR="00866791" w:rsidRPr="00866791" w14:paraId="79E8248F" w14:textId="77777777" w:rsidTr="00866791">
        <w:trPr>
          <w:trHeight w:val="300"/>
          <w:jc w:val="center"/>
        </w:trPr>
        <w:tc>
          <w:tcPr>
            <w:tcW w:w="493" w:type="dxa"/>
            <w:tcBorders>
              <w:top w:val="nil"/>
              <w:left w:val="single" w:sz="8" w:space="0" w:color="auto"/>
              <w:bottom w:val="single" w:sz="8" w:space="0" w:color="auto"/>
              <w:right w:val="single" w:sz="8" w:space="0" w:color="auto"/>
            </w:tcBorders>
            <w:shd w:val="clear" w:color="auto" w:fill="auto"/>
            <w:noWrap/>
            <w:vAlign w:val="bottom"/>
            <w:hideMark/>
          </w:tcPr>
          <w:p w14:paraId="3A1D954C" w14:textId="77777777" w:rsidR="00866791" w:rsidRPr="00866791" w:rsidRDefault="00866791" w:rsidP="00866791">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2012</w:t>
            </w:r>
          </w:p>
        </w:tc>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1BF555D6"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2,028 </w:t>
            </w:r>
          </w:p>
        </w:tc>
        <w:tc>
          <w:tcPr>
            <w:tcW w:w="1295" w:type="dxa"/>
            <w:tcBorders>
              <w:top w:val="nil"/>
              <w:left w:val="nil"/>
              <w:bottom w:val="single" w:sz="4" w:space="0" w:color="auto"/>
              <w:right w:val="single" w:sz="4" w:space="0" w:color="auto"/>
            </w:tcBorders>
            <w:shd w:val="clear" w:color="auto" w:fill="auto"/>
            <w:noWrap/>
            <w:vAlign w:val="bottom"/>
            <w:hideMark/>
          </w:tcPr>
          <w:p w14:paraId="2DEAA253"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83,604,490 </w:t>
            </w:r>
          </w:p>
        </w:tc>
        <w:tc>
          <w:tcPr>
            <w:tcW w:w="709" w:type="dxa"/>
            <w:tcBorders>
              <w:top w:val="nil"/>
              <w:left w:val="nil"/>
              <w:bottom w:val="single" w:sz="4" w:space="0" w:color="auto"/>
              <w:right w:val="single" w:sz="4" w:space="0" w:color="auto"/>
            </w:tcBorders>
            <w:shd w:val="clear" w:color="auto" w:fill="auto"/>
            <w:noWrap/>
            <w:vAlign w:val="bottom"/>
            <w:hideMark/>
          </w:tcPr>
          <w:p w14:paraId="1D620AB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26 </w:t>
            </w:r>
          </w:p>
        </w:tc>
        <w:tc>
          <w:tcPr>
            <w:tcW w:w="1134" w:type="dxa"/>
            <w:tcBorders>
              <w:top w:val="nil"/>
              <w:left w:val="nil"/>
              <w:bottom w:val="single" w:sz="4" w:space="0" w:color="auto"/>
              <w:right w:val="single" w:sz="4" w:space="0" w:color="auto"/>
            </w:tcBorders>
            <w:shd w:val="clear" w:color="auto" w:fill="auto"/>
            <w:noWrap/>
            <w:vAlign w:val="bottom"/>
            <w:hideMark/>
          </w:tcPr>
          <w:p w14:paraId="5542E487"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1,243,540 </w:t>
            </w:r>
          </w:p>
        </w:tc>
        <w:tc>
          <w:tcPr>
            <w:tcW w:w="709" w:type="dxa"/>
            <w:tcBorders>
              <w:top w:val="nil"/>
              <w:left w:val="nil"/>
              <w:bottom w:val="single" w:sz="4" w:space="0" w:color="auto"/>
              <w:right w:val="single" w:sz="4" w:space="0" w:color="auto"/>
            </w:tcBorders>
            <w:shd w:val="clear" w:color="auto" w:fill="auto"/>
            <w:noWrap/>
            <w:vAlign w:val="bottom"/>
            <w:hideMark/>
          </w:tcPr>
          <w:p w14:paraId="0245F027"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566" w:type="dxa"/>
            <w:gridSpan w:val="2"/>
            <w:tcBorders>
              <w:top w:val="nil"/>
              <w:left w:val="nil"/>
              <w:bottom w:val="single" w:sz="4" w:space="0" w:color="auto"/>
              <w:right w:val="single" w:sz="4" w:space="0" w:color="auto"/>
            </w:tcBorders>
            <w:shd w:val="clear" w:color="auto" w:fill="auto"/>
            <w:noWrap/>
            <w:vAlign w:val="bottom"/>
            <w:hideMark/>
          </w:tcPr>
          <w:p w14:paraId="501ACB3A"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2EF35FB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567" w:type="dxa"/>
            <w:tcBorders>
              <w:top w:val="nil"/>
              <w:left w:val="nil"/>
              <w:bottom w:val="single" w:sz="4" w:space="0" w:color="auto"/>
              <w:right w:val="single" w:sz="4" w:space="0" w:color="auto"/>
            </w:tcBorders>
            <w:shd w:val="clear" w:color="auto" w:fill="auto"/>
            <w:noWrap/>
            <w:vAlign w:val="bottom"/>
            <w:hideMark/>
          </w:tcPr>
          <w:p w14:paraId="49ABD2AF"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E704B"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E6DC97"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275" w:type="dxa"/>
            <w:tcBorders>
              <w:top w:val="nil"/>
              <w:left w:val="nil"/>
              <w:bottom w:val="single" w:sz="4" w:space="0" w:color="auto"/>
              <w:right w:val="single" w:sz="4" w:space="0" w:color="auto"/>
            </w:tcBorders>
            <w:shd w:val="clear" w:color="auto" w:fill="auto"/>
            <w:noWrap/>
            <w:vAlign w:val="bottom"/>
            <w:hideMark/>
          </w:tcPr>
          <w:p w14:paraId="5EA9638C"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nil"/>
              <w:left w:val="nil"/>
              <w:bottom w:val="single" w:sz="4" w:space="0" w:color="auto"/>
              <w:right w:val="single" w:sz="4" w:space="0" w:color="auto"/>
            </w:tcBorders>
            <w:shd w:val="clear" w:color="auto" w:fill="auto"/>
            <w:noWrap/>
            <w:vAlign w:val="bottom"/>
            <w:hideMark/>
          </w:tcPr>
          <w:p w14:paraId="235CD1C5"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381 </w:t>
            </w:r>
          </w:p>
        </w:tc>
        <w:tc>
          <w:tcPr>
            <w:tcW w:w="1843" w:type="dxa"/>
            <w:tcBorders>
              <w:top w:val="nil"/>
              <w:left w:val="nil"/>
              <w:bottom w:val="single" w:sz="4" w:space="0" w:color="auto"/>
              <w:right w:val="single" w:sz="4" w:space="0" w:color="auto"/>
            </w:tcBorders>
            <w:shd w:val="clear" w:color="auto" w:fill="auto"/>
            <w:noWrap/>
            <w:vAlign w:val="bottom"/>
            <w:hideMark/>
          </w:tcPr>
          <w:p w14:paraId="3AE83939"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10,660,785 </w:t>
            </w:r>
          </w:p>
        </w:tc>
      </w:tr>
      <w:tr w:rsidR="00866791" w:rsidRPr="00866791" w14:paraId="41FCC9E7" w14:textId="77777777" w:rsidTr="00866791">
        <w:trPr>
          <w:trHeight w:val="300"/>
          <w:jc w:val="center"/>
        </w:trPr>
        <w:tc>
          <w:tcPr>
            <w:tcW w:w="493" w:type="dxa"/>
            <w:tcBorders>
              <w:top w:val="nil"/>
              <w:left w:val="single" w:sz="8" w:space="0" w:color="auto"/>
              <w:bottom w:val="single" w:sz="8" w:space="0" w:color="auto"/>
              <w:right w:val="single" w:sz="8" w:space="0" w:color="auto"/>
            </w:tcBorders>
            <w:shd w:val="clear" w:color="auto" w:fill="auto"/>
            <w:noWrap/>
            <w:vAlign w:val="bottom"/>
            <w:hideMark/>
          </w:tcPr>
          <w:p w14:paraId="59CF6E85" w14:textId="77777777" w:rsidR="00866791" w:rsidRPr="00866791" w:rsidRDefault="00866791" w:rsidP="00866791">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2013</w:t>
            </w:r>
          </w:p>
        </w:tc>
        <w:tc>
          <w:tcPr>
            <w:tcW w:w="9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5CFC5CD"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16,674 </w:t>
            </w:r>
          </w:p>
        </w:tc>
        <w:tc>
          <w:tcPr>
            <w:tcW w:w="1295" w:type="dxa"/>
            <w:tcBorders>
              <w:top w:val="single" w:sz="8" w:space="0" w:color="auto"/>
              <w:left w:val="nil"/>
              <w:bottom w:val="single" w:sz="4" w:space="0" w:color="auto"/>
              <w:right w:val="single" w:sz="4" w:space="0" w:color="auto"/>
            </w:tcBorders>
            <w:shd w:val="clear" w:color="auto" w:fill="auto"/>
            <w:noWrap/>
            <w:vAlign w:val="bottom"/>
            <w:hideMark/>
          </w:tcPr>
          <w:p w14:paraId="0EE40904"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733,643,569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5D3A9320"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18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B2B2711"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1,153,811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318674F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566" w:type="dxa"/>
            <w:gridSpan w:val="2"/>
            <w:tcBorders>
              <w:top w:val="single" w:sz="8" w:space="0" w:color="auto"/>
              <w:left w:val="nil"/>
              <w:bottom w:val="single" w:sz="4" w:space="0" w:color="auto"/>
              <w:right w:val="single" w:sz="4" w:space="0" w:color="auto"/>
            </w:tcBorders>
            <w:shd w:val="clear" w:color="auto" w:fill="auto"/>
            <w:noWrap/>
            <w:vAlign w:val="bottom"/>
            <w:hideMark/>
          </w:tcPr>
          <w:p w14:paraId="0E43087F"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14:paraId="3CA9A9E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53E804D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88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070EAAF6"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2,829,363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58C166B3"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0E8DB7DF"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6DD3AD7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452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6CB39F8D"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12,584,084 </w:t>
            </w:r>
          </w:p>
        </w:tc>
      </w:tr>
      <w:tr w:rsidR="00866791" w:rsidRPr="00866791" w14:paraId="36D3A42D" w14:textId="77777777" w:rsidTr="00866791">
        <w:trPr>
          <w:trHeight w:val="300"/>
          <w:jc w:val="center"/>
        </w:trPr>
        <w:tc>
          <w:tcPr>
            <w:tcW w:w="493" w:type="dxa"/>
            <w:tcBorders>
              <w:top w:val="nil"/>
              <w:left w:val="single" w:sz="8" w:space="0" w:color="auto"/>
              <w:bottom w:val="single" w:sz="8" w:space="0" w:color="auto"/>
              <w:right w:val="single" w:sz="8" w:space="0" w:color="auto"/>
            </w:tcBorders>
            <w:shd w:val="clear" w:color="auto" w:fill="auto"/>
            <w:noWrap/>
            <w:vAlign w:val="bottom"/>
            <w:hideMark/>
          </w:tcPr>
          <w:p w14:paraId="19DA6921" w14:textId="77777777" w:rsidR="00866791" w:rsidRPr="00866791" w:rsidRDefault="00866791" w:rsidP="00866791">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2014</w:t>
            </w:r>
          </w:p>
        </w:tc>
        <w:tc>
          <w:tcPr>
            <w:tcW w:w="9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AFFD20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85 </w:t>
            </w:r>
          </w:p>
        </w:tc>
        <w:tc>
          <w:tcPr>
            <w:tcW w:w="1295" w:type="dxa"/>
            <w:tcBorders>
              <w:top w:val="single" w:sz="8" w:space="0" w:color="auto"/>
              <w:left w:val="nil"/>
              <w:bottom w:val="single" w:sz="4" w:space="0" w:color="auto"/>
              <w:right w:val="single" w:sz="4" w:space="0" w:color="auto"/>
            </w:tcBorders>
            <w:shd w:val="clear" w:color="auto" w:fill="auto"/>
            <w:noWrap/>
            <w:vAlign w:val="bottom"/>
            <w:hideMark/>
          </w:tcPr>
          <w:p w14:paraId="73295BD6"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8,513,671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14B5265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48CAC5A"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23BCBCE2"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566" w:type="dxa"/>
            <w:gridSpan w:val="2"/>
            <w:tcBorders>
              <w:top w:val="single" w:sz="8" w:space="0" w:color="auto"/>
              <w:left w:val="nil"/>
              <w:bottom w:val="single" w:sz="4" w:space="0" w:color="auto"/>
              <w:right w:val="single" w:sz="4" w:space="0" w:color="auto"/>
            </w:tcBorders>
            <w:shd w:val="clear" w:color="auto" w:fill="auto"/>
            <w:noWrap/>
            <w:vAlign w:val="bottom"/>
            <w:hideMark/>
          </w:tcPr>
          <w:p w14:paraId="1AA6E8D2"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14:paraId="103E750B"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471CD5AD"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383E2DE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4473F1E0"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2F12FAFD"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063382DF"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01305904"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r>
      <w:tr w:rsidR="00866791" w:rsidRPr="00866791" w14:paraId="0D97C016" w14:textId="77777777" w:rsidTr="00866791">
        <w:trPr>
          <w:trHeight w:val="300"/>
          <w:jc w:val="center"/>
        </w:trPr>
        <w:tc>
          <w:tcPr>
            <w:tcW w:w="493" w:type="dxa"/>
            <w:tcBorders>
              <w:top w:val="nil"/>
              <w:left w:val="single" w:sz="8" w:space="0" w:color="auto"/>
              <w:bottom w:val="single" w:sz="8" w:space="0" w:color="auto"/>
              <w:right w:val="single" w:sz="8" w:space="0" w:color="auto"/>
            </w:tcBorders>
            <w:shd w:val="clear" w:color="auto" w:fill="auto"/>
            <w:noWrap/>
            <w:vAlign w:val="bottom"/>
            <w:hideMark/>
          </w:tcPr>
          <w:p w14:paraId="704E3540" w14:textId="77777777" w:rsidR="00866791" w:rsidRPr="00866791" w:rsidRDefault="00866791" w:rsidP="00866791">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2015</w:t>
            </w:r>
          </w:p>
        </w:tc>
        <w:tc>
          <w:tcPr>
            <w:tcW w:w="9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35DDAE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460 </w:t>
            </w:r>
          </w:p>
        </w:tc>
        <w:tc>
          <w:tcPr>
            <w:tcW w:w="1295" w:type="dxa"/>
            <w:tcBorders>
              <w:top w:val="single" w:sz="8" w:space="0" w:color="auto"/>
              <w:left w:val="nil"/>
              <w:bottom w:val="single" w:sz="4" w:space="0" w:color="auto"/>
              <w:right w:val="single" w:sz="4" w:space="0" w:color="auto"/>
            </w:tcBorders>
            <w:shd w:val="clear" w:color="auto" w:fill="auto"/>
            <w:noWrap/>
            <w:vAlign w:val="bottom"/>
            <w:hideMark/>
          </w:tcPr>
          <w:p w14:paraId="42A4878B"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16,341,498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3CF0CA5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43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C8F6C8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1,700,810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25447494"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566" w:type="dxa"/>
            <w:gridSpan w:val="2"/>
            <w:tcBorders>
              <w:top w:val="single" w:sz="8" w:space="0" w:color="auto"/>
              <w:left w:val="nil"/>
              <w:bottom w:val="single" w:sz="4" w:space="0" w:color="auto"/>
              <w:right w:val="single" w:sz="4" w:space="0" w:color="auto"/>
            </w:tcBorders>
            <w:shd w:val="clear" w:color="auto" w:fill="auto"/>
            <w:noWrap/>
            <w:vAlign w:val="bottom"/>
            <w:hideMark/>
          </w:tcPr>
          <w:p w14:paraId="4E39284F"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14:paraId="01CC30AD"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11740563"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65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AFF64B6"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1,814,419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22C75803"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54881FEA"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053D3006"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17680BC2"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r>
      <w:tr w:rsidR="00866791" w:rsidRPr="00866791" w14:paraId="38883272" w14:textId="77777777" w:rsidTr="00866791">
        <w:trPr>
          <w:trHeight w:val="300"/>
          <w:jc w:val="center"/>
        </w:trPr>
        <w:tc>
          <w:tcPr>
            <w:tcW w:w="493" w:type="dxa"/>
            <w:tcBorders>
              <w:top w:val="nil"/>
              <w:left w:val="single" w:sz="8" w:space="0" w:color="auto"/>
              <w:bottom w:val="single" w:sz="8" w:space="0" w:color="auto"/>
              <w:right w:val="single" w:sz="8" w:space="0" w:color="auto"/>
            </w:tcBorders>
            <w:shd w:val="clear" w:color="auto" w:fill="auto"/>
            <w:noWrap/>
            <w:vAlign w:val="bottom"/>
            <w:hideMark/>
          </w:tcPr>
          <w:p w14:paraId="11B0BEB9" w14:textId="77777777" w:rsidR="00866791" w:rsidRPr="00866791" w:rsidRDefault="00866791" w:rsidP="00866791">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2016</w:t>
            </w:r>
          </w:p>
        </w:tc>
        <w:tc>
          <w:tcPr>
            <w:tcW w:w="9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491718F"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575 </w:t>
            </w:r>
          </w:p>
        </w:tc>
        <w:tc>
          <w:tcPr>
            <w:tcW w:w="1295" w:type="dxa"/>
            <w:tcBorders>
              <w:top w:val="single" w:sz="8" w:space="0" w:color="auto"/>
              <w:left w:val="nil"/>
              <w:bottom w:val="single" w:sz="4" w:space="0" w:color="auto"/>
              <w:right w:val="single" w:sz="4" w:space="0" w:color="auto"/>
            </w:tcBorders>
            <w:shd w:val="clear" w:color="auto" w:fill="auto"/>
            <w:noWrap/>
            <w:vAlign w:val="bottom"/>
            <w:hideMark/>
          </w:tcPr>
          <w:p w14:paraId="1ABE5730"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40,060,458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132396EB"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10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7617DFA"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566,080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522ABA0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68,460 </w:t>
            </w:r>
          </w:p>
        </w:tc>
        <w:tc>
          <w:tcPr>
            <w:tcW w:w="566" w:type="dxa"/>
            <w:gridSpan w:val="2"/>
            <w:tcBorders>
              <w:top w:val="single" w:sz="8" w:space="0" w:color="auto"/>
              <w:left w:val="nil"/>
              <w:bottom w:val="single" w:sz="4" w:space="0" w:color="auto"/>
              <w:right w:val="single" w:sz="4" w:space="0" w:color="auto"/>
            </w:tcBorders>
            <w:shd w:val="clear" w:color="auto" w:fill="auto"/>
            <w:noWrap/>
            <w:vAlign w:val="bottom"/>
            <w:hideMark/>
          </w:tcPr>
          <w:p w14:paraId="4C2FB96B"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171 </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14:paraId="5DE92904"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17,155,099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54D774EA"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68AD1583"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531F40F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710D3A85"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238AEFE3"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18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24219CC7"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414,040 </w:t>
            </w:r>
          </w:p>
        </w:tc>
      </w:tr>
      <w:tr w:rsidR="00866791" w:rsidRPr="00866791" w14:paraId="7C27FAC8" w14:textId="77777777" w:rsidTr="00866791">
        <w:trPr>
          <w:trHeight w:val="300"/>
          <w:jc w:val="center"/>
        </w:trPr>
        <w:tc>
          <w:tcPr>
            <w:tcW w:w="493" w:type="dxa"/>
            <w:tcBorders>
              <w:top w:val="nil"/>
              <w:left w:val="single" w:sz="8" w:space="0" w:color="auto"/>
              <w:bottom w:val="single" w:sz="8" w:space="0" w:color="auto"/>
              <w:right w:val="single" w:sz="8" w:space="0" w:color="auto"/>
            </w:tcBorders>
            <w:shd w:val="clear" w:color="auto" w:fill="auto"/>
            <w:noWrap/>
            <w:vAlign w:val="bottom"/>
            <w:hideMark/>
          </w:tcPr>
          <w:p w14:paraId="5C040313" w14:textId="77777777" w:rsidR="00866791" w:rsidRPr="00866791" w:rsidRDefault="00866791" w:rsidP="00866791">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2017</w:t>
            </w:r>
          </w:p>
        </w:tc>
        <w:tc>
          <w:tcPr>
            <w:tcW w:w="9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0F6CA91"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3,325 </w:t>
            </w:r>
          </w:p>
        </w:tc>
        <w:tc>
          <w:tcPr>
            <w:tcW w:w="1295" w:type="dxa"/>
            <w:tcBorders>
              <w:top w:val="single" w:sz="8" w:space="0" w:color="auto"/>
              <w:left w:val="nil"/>
              <w:bottom w:val="single" w:sz="4" w:space="0" w:color="auto"/>
              <w:right w:val="single" w:sz="4" w:space="0" w:color="auto"/>
            </w:tcBorders>
            <w:shd w:val="clear" w:color="auto" w:fill="auto"/>
            <w:noWrap/>
            <w:vAlign w:val="bottom"/>
            <w:hideMark/>
          </w:tcPr>
          <w:p w14:paraId="36C5EE46"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131,228,891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6252C5D9"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286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C7D0E8B"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13,188,495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04A3B5E1"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37,772 </w:t>
            </w:r>
          </w:p>
        </w:tc>
        <w:tc>
          <w:tcPr>
            <w:tcW w:w="566" w:type="dxa"/>
            <w:gridSpan w:val="2"/>
            <w:tcBorders>
              <w:top w:val="single" w:sz="8" w:space="0" w:color="auto"/>
              <w:left w:val="nil"/>
              <w:bottom w:val="single" w:sz="4" w:space="0" w:color="auto"/>
              <w:right w:val="single" w:sz="4" w:space="0" w:color="auto"/>
            </w:tcBorders>
            <w:shd w:val="clear" w:color="auto" w:fill="auto"/>
            <w:noWrap/>
            <w:vAlign w:val="bottom"/>
            <w:hideMark/>
          </w:tcPr>
          <w:p w14:paraId="178521E0"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94 </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14:paraId="69715D7F"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9,739,886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3D1CCA25"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1483D4B2"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20836FA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6D6036D5"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1F24744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79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548E8F9A"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1,852,473 </w:t>
            </w:r>
          </w:p>
        </w:tc>
      </w:tr>
      <w:tr w:rsidR="00866791" w:rsidRPr="00866791" w14:paraId="6B83CD0B" w14:textId="77777777" w:rsidTr="00866791">
        <w:trPr>
          <w:trHeight w:val="300"/>
          <w:jc w:val="center"/>
        </w:trPr>
        <w:tc>
          <w:tcPr>
            <w:tcW w:w="493" w:type="dxa"/>
            <w:tcBorders>
              <w:top w:val="nil"/>
              <w:left w:val="single" w:sz="8" w:space="0" w:color="auto"/>
              <w:bottom w:val="single" w:sz="8" w:space="0" w:color="auto"/>
              <w:right w:val="single" w:sz="8" w:space="0" w:color="auto"/>
            </w:tcBorders>
            <w:shd w:val="clear" w:color="auto" w:fill="auto"/>
            <w:noWrap/>
            <w:vAlign w:val="bottom"/>
            <w:hideMark/>
          </w:tcPr>
          <w:p w14:paraId="24CCC3D1" w14:textId="77777777" w:rsidR="00866791" w:rsidRPr="00866791" w:rsidRDefault="00866791" w:rsidP="00866791">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2018</w:t>
            </w:r>
          </w:p>
        </w:tc>
        <w:tc>
          <w:tcPr>
            <w:tcW w:w="9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E80F7D3"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16,403 </w:t>
            </w:r>
          </w:p>
        </w:tc>
        <w:tc>
          <w:tcPr>
            <w:tcW w:w="1295" w:type="dxa"/>
            <w:tcBorders>
              <w:top w:val="single" w:sz="8" w:space="0" w:color="auto"/>
              <w:left w:val="nil"/>
              <w:bottom w:val="single" w:sz="4" w:space="0" w:color="auto"/>
              <w:right w:val="single" w:sz="4" w:space="0" w:color="auto"/>
            </w:tcBorders>
            <w:shd w:val="clear" w:color="auto" w:fill="auto"/>
            <w:noWrap/>
            <w:vAlign w:val="bottom"/>
            <w:hideMark/>
          </w:tcPr>
          <w:p w14:paraId="14B03DC2"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638,928,797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483E08BA"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478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EE1ABD4"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50,209,268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028998D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7,080 </w:t>
            </w:r>
          </w:p>
        </w:tc>
        <w:tc>
          <w:tcPr>
            <w:tcW w:w="566" w:type="dxa"/>
            <w:gridSpan w:val="2"/>
            <w:tcBorders>
              <w:top w:val="single" w:sz="8" w:space="0" w:color="auto"/>
              <w:left w:val="nil"/>
              <w:bottom w:val="single" w:sz="4" w:space="0" w:color="auto"/>
              <w:right w:val="single" w:sz="4" w:space="0" w:color="auto"/>
            </w:tcBorders>
            <w:shd w:val="clear" w:color="auto" w:fill="auto"/>
            <w:noWrap/>
            <w:vAlign w:val="bottom"/>
            <w:hideMark/>
          </w:tcPr>
          <w:p w14:paraId="73B94C1D"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18 </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14:paraId="26A9F6D7"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1,610,515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616F5BB6"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081E4B82"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0D436D6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9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6EC8E494"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1,048,121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2BF5EBA4"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688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145DBF62"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16,322,635 </w:t>
            </w:r>
          </w:p>
        </w:tc>
      </w:tr>
      <w:tr w:rsidR="00866791" w:rsidRPr="00866791" w14:paraId="692729BD" w14:textId="77777777" w:rsidTr="00866791">
        <w:trPr>
          <w:trHeight w:val="300"/>
          <w:jc w:val="center"/>
        </w:trPr>
        <w:tc>
          <w:tcPr>
            <w:tcW w:w="493" w:type="dxa"/>
            <w:tcBorders>
              <w:top w:val="nil"/>
              <w:left w:val="single" w:sz="8" w:space="0" w:color="auto"/>
              <w:bottom w:val="single" w:sz="8" w:space="0" w:color="auto"/>
              <w:right w:val="single" w:sz="8" w:space="0" w:color="auto"/>
            </w:tcBorders>
            <w:shd w:val="clear" w:color="auto" w:fill="auto"/>
            <w:noWrap/>
            <w:vAlign w:val="bottom"/>
            <w:hideMark/>
          </w:tcPr>
          <w:p w14:paraId="3A5E12E9" w14:textId="77777777" w:rsidR="00866791" w:rsidRPr="00866791" w:rsidRDefault="00866791" w:rsidP="00866791">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2019</w:t>
            </w:r>
          </w:p>
        </w:tc>
        <w:tc>
          <w:tcPr>
            <w:tcW w:w="9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6084E7C"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14,309 </w:t>
            </w:r>
          </w:p>
        </w:tc>
        <w:tc>
          <w:tcPr>
            <w:tcW w:w="1295" w:type="dxa"/>
            <w:tcBorders>
              <w:top w:val="single" w:sz="8" w:space="0" w:color="auto"/>
              <w:left w:val="nil"/>
              <w:bottom w:val="single" w:sz="4" w:space="0" w:color="auto"/>
              <w:right w:val="single" w:sz="4" w:space="0" w:color="auto"/>
            </w:tcBorders>
            <w:shd w:val="clear" w:color="auto" w:fill="auto"/>
            <w:noWrap/>
            <w:vAlign w:val="bottom"/>
            <w:hideMark/>
          </w:tcPr>
          <w:p w14:paraId="47B7BCB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557,805,140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6ECFB83B"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668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1DBA406"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112,468,058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523045E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11,991 </w:t>
            </w:r>
          </w:p>
        </w:tc>
        <w:tc>
          <w:tcPr>
            <w:tcW w:w="566" w:type="dxa"/>
            <w:gridSpan w:val="2"/>
            <w:tcBorders>
              <w:top w:val="single" w:sz="8" w:space="0" w:color="auto"/>
              <w:left w:val="nil"/>
              <w:bottom w:val="single" w:sz="4" w:space="0" w:color="auto"/>
              <w:right w:val="single" w:sz="4" w:space="0" w:color="auto"/>
            </w:tcBorders>
            <w:shd w:val="clear" w:color="auto" w:fill="auto"/>
            <w:noWrap/>
            <w:vAlign w:val="bottom"/>
            <w:hideMark/>
          </w:tcPr>
          <w:p w14:paraId="20F7ADC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30 </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14:paraId="58D3725B"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2,972,148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42D6E194"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4898C069"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271A4739"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39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362B2FB2"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3,613,877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31D19F46"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210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51D81194"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4,880,334 </w:t>
            </w:r>
          </w:p>
        </w:tc>
      </w:tr>
      <w:tr w:rsidR="00866791" w:rsidRPr="00866791" w14:paraId="549A357D" w14:textId="77777777" w:rsidTr="00866791">
        <w:trPr>
          <w:trHeight w:val="300"/>
          <w:jc w:val="center"/>
        </w:trPr>
        <w:tc>
          <w:tcPr>
            <w:tcW w:w="493" w:type="dxa"/>
            <w:tcBorders>
              <w:top w:val="nil"/>
              <w:left w:val="single" w:sz="8" w:space="0" w:color="auto"/>
              <w:bottom w:val="single" w:sz="8" w:space="0" w:color="auto"/>
              <w:right w:val="single" w:sz="8" w:space="0" w:color="auto"/>
            </w:tcBorders>
            <w:shd w:val="clear" w:color="auto" w:fill="auto"/>
            <w:noWrap/>
            <w:vAlign w:val="bottom"/>
            <w:hideMark/>
          </w:tcPr>
          <w:p w14:paraId="1E7922BC" w14:textId="77777777" w:rsidR="00866791" w:rsidRPr="00866791" w:rsidRDefault="00866791" w:rsidP="00866791">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2020</w:t>
            </w:r>
          </w:p>
        </w:tc>
        <w:tc>
          <w:tcPr>
            <w:tcW w:w="9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8364F6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13,827 </w:t>
            </w:r>
          </w:p>
        </w:tc>
        <w:tc>
          <w:tcPr>
            <w:tcW w:w="1295" w:type="dxa"/>
            <w:tcBorders>
              <w:top w:val="single" w:sz="8" w:space="0" w:color="auto"/>
              <w:left w:val="nil"/>
              <w:bottom w:val="single" w:sz="4" w:space="0" w:color="auto"/>
              <w:right w:val="single" w:sz="4" w:space="0" w:color="auto"/>
            </w:tcBorders>
            <w:shd w:val="clear" w:color="auto" w:fill="auto"/>
            <w:noWrap/>
            <w:vAlign w:val="bottom"/>
            <w:hideMark/>
          </w:tcPr>
          <w:p w14:paraId="4691ED3A"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532,872,099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6746A1BC"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96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BB79712"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18,648,697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6D2B44FC"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156,245 </w:t>
            </w:r>
          </w:p>
        </w:tc>
        <w:tc>
          <w:tcPr>
            <w:tcW w:w="566" w:type="dxa"/>
            <w:gridSpan w:val="2"/>
            <w:tcBorders>
              <w:top w:val="single" w:sz="8" w:space="0" w:color="auto"/>
              <w:left w:val="nil"/>
              <w:bottom w:val="single" w:sz="4" w:space="0" w:color="auto"/>
              <w:right w:val="single" w:sz="4" w:space="0" w:color="auto"/>
            </w:tcBorders>
            <w:shd w:val="clear" w:color="auto" w:fill="auto"/>
            <w:noWrap/>
            <w:vAlign w:val="bottom"/>
            <w:hideMark/>
          </w:tcPr>
          <w:p w14:paraId="30026146"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391 </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14:paraId="665A794B"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77,888,133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37EC1B4C"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77DFFF6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67563FF3"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70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72E04130"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5,738,090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2031CE91"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351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31CE5B8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7,950,365 </w:t>
            </w:r>
          </w:p>
        </w:tc>
      </w:tr>
      <w:tr w:rsidR="00866791" w:rsidRPr="00866791" w14:paraId="785678CC" w14:textId="77777777" w:rsidTr="00866791">
        <w:trPr>
          <w:trHeight w:val="300"/>
          <w:jc w:val="center"/>
        </w:trPr>
        <w:tc>
          <w:tcPr>
            <w:tcW w:w="493" w:type="dxa"/>
            <w:tcBorders>
              <w:top w:val="nil"/>
              <w:left w:val="single" w:sz="8" w:space="0" w:color="auto"/>
              <w:bottom w:val="single" w:sz="8" w:space="0" w:color="auto"/>
              <w:right w:val="single" w:sz="8" w:space="0" w:color="auto"/>
            </w:tcBorders>
            <w:shd w:val="clear" w:color="auto" w:fill="auto"/>
            <w:noWrap/>
            <w:vAlign w:val="bottom"/>
            <w:hideMark/>
          </w:tcPr>
          <w:p w14:paraId="3B02E862" w14:textId="77777777" w:rsidR="00866791" w:rsidRPr="00866791" w:rsidRDefault="00866791" w:rsidP="00866791">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2021</w:t>
            </w:r>
          </w:p>
        </w:tc>
        <w:tc>
          <w:tcPr>
            <w:tcW w:w="9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999C79F"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3,423 </w:t>
            </w:r>
          </w:p>
        </w:tc>
        <w:tc>
          <w:tcPr>
            <w:tcW w:w="1295" w:type="dxa"/>
            <w:tcBorders>
              <w:top w:val="single" w:sz="8" w:space="0" w:color="auto"/>
              <w:left w:val="nil"/>
              <w:bottom w:val="single" w:sz="4" w:space="0" w:color="auto"/>
              <w:right w:val="single" w:sz="4" w:space="0" w:color="auto"/>
            </w:tcBorders>
            <w:shd w:val="clear" w:color="auto" w:fill="auto"/>
            <w:noWrap/>
            <w:vAlign w:val="bottom"/>
            <w:hideMark/>
          </w:tcPr>
          <w:p w14:paraId="1B8C1EAB"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135,440,634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69813BF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DE7701E"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52C4F781"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18,439 </w:t>
            </w:r>
          </w:p>
        </w:tc>
        <w:tc>
          <w:tcPr>
            <w:tcW w:w="566" w:type="dxa"/>
            <w:gridSpan w:val="2"/>
            <w:tcBorders>
              <w:top w:val="single" w:sz="8" w:space="0" w:color="auto"/>
              <w:left w:val="nil"/>
              <w:bottom w:val="single" w:sz="4" w:space="0" w:color="auto"/>
              <w:right w:val="single" w:sz="4" w:space="0" w:color="auto"/>
            </w:tcBorders>
            <w:shd w:val="clear" w:color="auto" w:fill="auto"/>
            <w:noWrap/>
            <w:vAlign w:val="bottom"/>
            <w:hideMark/>
          </w:tcPr>
          <w:p w14:paraId="6957EA13"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46 </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14:paraId="6CBBCF6A"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22,023,542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7C1100A7"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3352FD48"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11CB7B51"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12 </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464682D4"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xml:space="preserve">                     478,081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1A15E5E5"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552144BA" w14:textId="77777777" w:rsidR="00866791" w:rsidRPr="00866791" w:rsidRDefault="00866791" w:rsidP="00866791">
            <w:pPr>
              <w:spacing w:after="0" w:line="240" w:lineRule="auto"/>
              <w:jc w:val="right"/>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 </w:t>
            </w:r>
          </w:p>
        </w:tc>
      </w:tr>
      <w:tr w:rsidR="00866791" w:rsidRPr="00866791" w14:paraId="10F526C6" w14:textId="77777777" w:rsidTr="00866791">
        <w:trPr>
          <w:trHeight w:val="300"/>
          <w:jc w:val="center"/>
        </w:trPr>
        <w:tc>
          <w:tcPr>
            <w:tcW w:w="493" w:type="dxa"/>
            <w:tcBorders>
              <w:top w:val="nil"/>
              <w:left w:val="single" w:sz="8" w:space="0" w:color="auto"/>
              <w:bottom w:val="single" w:sz="8" w:space="0" w:color="auto"/>
              <w:right w:val="single" w:sz="8" w:space="0" w:color="auto"/>
            </w:tcBorders>
            <w:shd w:val="clear" w:color="000000" w:fill="00B050"/>
            <w:noWrap/>
            <w:vAlign w:val="center"/>
            <w:hideMark/>
          </w:tcPr>
          <w:p w14:paraId="28651329" w14:textId="77777777" w:rsidR="00866791" w:rsidRPr="00866791" w:rsidRDefault="00866791" w:rsidP="00866791">
            <w:pPr>
              <w:spacing w:after="0" w:line="240" w:lineRule="auto"/>
              <w:rPr>
                <w:rFonts w:ascii="Arial" w:eastAsia="Times New Roman" w:hAnsi="Arial" w:cs="Arial"/>
                <w:b/>
                <w:bCs/>
                <w:color w:val="000000"/>
                <w:sz w:val="14"/>
                <w:szCs w:val="14"/>
                <w:lang w:val="es-US" w:eastAsia="es-US"/>
              </w:rPr>
            </w:pPr>
            <w:proofErr w:type="spellStart"/>
            <w:r w:rsidRPr="00866791">
              <w:rPr>
                <w:rFonts w:ascii="Arial" w:eastAsia="Times New Roman" w:hAnsi="Arial" w:cs="Arial"/>
                <w:b/>
                <w:bCs/>
                <w:color w:val="000000"/>
                <w:sz w:val="14"/>
                <w:szCs w:val="14"/>
                <w:lang w:val="es-US" w:eastAsia="es-US"/>
              </w:rPr>
              <w:t>SubTotal</w:t>
            </w:r>
            <w:proofErr w:type="spellEnd"/>
          </w:p>
        </w:tc>
        <w:tc>
          <w:tcPr>
            <w:tcW w:w="906" w:type="dxa"/>
            <w:tcBorders>
              <w:top w:val="single" w:sz="8" w:space="0" w:color="auto"/>
              <w:left w:val="nil"/>
              <w:bottom w:val="single" w:sz="8" w:space="0" w:color="auto"/>
              <w:right w:val="single" w:sz="8" w:space="0" w:color="auto"/>
            </w:tcBorders>
            <w:shd w:val="clear" w:color="000000" w:fill="00B050"/>
            <w:noWrap/>
            <w:vAlign w:val="center"/>
            <w:hideMark/>
          </w:tcPr>
          <w:p w14:paraId="489CD8D8"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71,108 </w:t>
            </w:r>
          </w:p>
        </w:tc>
        <w:tc>
          <w:tcPr>
            <w:tcW w:w="1295" w:type="dxa"/>
            <w:tcBorders>
              <w:top w:val="single" w:sz="8" w:space="0" w:color="auto"/>
              <w:left w:val="nil"/>
              <w:bottom w:val="single" w:sz="8" w:space="0" w:color="auto"/>
              <w:right w:val="single" w:sz="8" w:space="0" w:color="auto"/>
            </w:tcBorders>
            <w:shd w:val="clear" w:color="000000" w:fill="00B050"/>
            <w:noWrap/>
            <w:vAlign w:val="center"/>
            <w:hideMark/>
          </w:tcPr>
          <w:p w14:paraId="4437C536"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2,878,439,246 </w:t>
            </w:r>
          </w:p>
        </w:tc>
        <w:tc>
          <w:tcPr>
            <w:tcW w:w="709" w:type="dxa"/>
            <w:tcBorders>
              <w:top w:val="single" w:sz="8" w:space="0" w:color="auto"/>
              <w:left w:val="nil"/>
              <w:bottom w:val="single" w:sz="8" w:space="0" w:color="auto"/>
              <w:right w:val="single" w:sz="8" w:space="0" w:color="auto"/>
            </w:tcBorders>
            <w:shd w:val="clear" w:color="000000" w:fill="00B050"/>
            <w:noWrap/>
            <w:vAlign w:val="center"/>
            <w:hideMark/>
          </w:tcPr>
          <w:p w14:paraId="2A95944A"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1,625 </w:t>
            </w:r>
          </w:p>
        </w:tc>
        <w:tc>
          <w:tcPr>
            <w:tcW w:w="1134" w:type="dxa"/>
            <w:tcBorders>
              <w:top w:val="single" w:sz="8" w:space="0" w:color="auto"/>
              <w:left w:val="nil"/>
              <w:bottom w:val="single" w:sz="8" w:space="0" w:color="auto"/>
              <w:right w:val="single" w:sz="8" w:space="0" w:color="auto"/>
            </w:tcBorders>
            <w:shd w:val="clear" w:color="000000" w:fill="00B050"/>
            <w:noWrap/>
            <w:vAlign w:val="center"/>
            <w:hideMark/>
          </w:tcPr>
          <w:p w14:paraId="4766B565"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199,178,759 </w:t>
            </w:r>
          </w:p>
        </w:tc>
        <w:tc>
          <w:tcPr>
            <w:tcW w:w="709" w:type="dxa"/>
            <w:tcBorders>
              <w:top w:val="single" w:sz="8" w:space="0" w:color="auto"/>
              <w:left w:val="nil"/>
              <w:bottom w:val="single" w:sz="8" w:space="0" w:color="auto"/>
              <w:right w:val="single" w:sz="8" w:space="0" w:color="auto"/>
            </w:tcBorders>
            <w:shd w:val="clear" w:color="000000" w:fill="00B050"/>
            <w:noWrap/>
            <w:vAlign w:val="center"/>
            <w:hideMark/>
          </w:tcPr>
          <w:p w14:paraId="4A49CDB7"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299,987 </w:t>
            </w:r>
          </w:p>
        </w:tc>
        <w:tc>
          <w:tcPr>
            <w:tcW w:w="566" w:type="dxa"/>
            <w:gridSpan w:val="2"/>
            <w:tcBorders>
              <w:top w:val="single" w:sz="8" w:space="0" w:color="auto"/>
              <w:left w:val="nil"/>
              <w:bottom w:val="single" w:sz="8" w:space="0" w:color="auto"/>
              <w:right w:val="single" w:sz="8" w:space="0" w:color="auto"/>
            </w:tcBorders>
            <w:shd w:val="clear" w:color="000000" w:fill="00B050"/>
            <w:noWrap/>
            <w:vAlign w:val="center"/>
            <w:hideMark/>
          </w:tcPr>
          <w:p w14:paraId="0C65C026"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750 </w:t>
            </w:r>
          </w:p>
        </w:tc>
        <w:tc>
          <w:tcPr>
            <w:tcW w:w="1418" w:type="dxa"/>
            <w:gridSpan w:val="2"/>
            <w:tcBorders>
              <w:top w:val="single" w:sz="8" w:space="0" w:color="auto"/>
              <w:left w:val="nil"/>
              <w:bottom w:val="single" w:sz="8" w:space="0" w:color="auto"/>
              <w:right w:val="single" w:sz="8" w:space="0" w:color="auto"/>
            </w:tcBorders>
            <w:shd w:val="clear" w:color="000000" w:fill="00B050"/>
            <w:noWrap/>
            <w:vAlign w:val="center"/>
            <w:hideMark/>
          </w:tcPr>
          <w:p w14:paraId="36891D0A"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131,389,323 </w:t>
            </w:r>
          </w:p>
        </w:tc>
        <w:tc>
          <w:tcPr>
            <w:tcW w:w="567" w:type="dxa"/>
            <w:tcBorders>
              <w:top w:val="single" w:sz="8" w:space="0" w:color="auto"/>
              <w:left w:val="nil"/>
              <w:bottom w:val="single" w:sz="8" w:space="0" w:color="auto"/>
              <w:right w:val="single" w:sz="8" w:space="0" w:color="auto"/>
            </w:tcBorders>
            <w:shd w:val="clear" w:color="000000" w:fill="00B050"/>
            <w:noWrap/>
            <w:vAlign w:val="center"/>
            <w:hideMark/>
          </w:tcPr>
          <w:p w14:paraId="452BDB0E"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153 </w:t>
            </w:r>
          </w:p>
        </w:tc>
        <w:tc>
          <w:tcPr>
            <w:tcW w:w="992" w:type="dxa"/>
            <w:tcBorders>
              <w:top w:val="single" w:sz="8" w:space="0" w:color="auto"/>
              <w:left w:val="nil"/>
              <w:bottom w:val="single" w:sz="8" w:space="0" w:color="auto"/>
              <w:right w:val="single" w:sz="8" w:space="0" w:color="auto"/>
            </w:tcBorders>
            <w:shd w:val="clear" w:color="000000" w:fill="00B050"/>
            <w:noWrap/>
            <w:vAlign w:val="center"/>
            <w:hideMark/>
          </w:tcPr>
          <w:p w14:paraId="3E7F7A6F"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4,643,783 </w:t>
            </w:r>
          </w:p>
        </w:tc>
        <w:tc>
          <w:tcPr>
            <w:tcW w:w="709" w:type="dxa"/>
            <w:tcBorders>
              <w:top w:val="single" w:sz="8" w:space="0" w:color="auto"/>
              <w:left w:val="nil"/>
              <w:bottom w:val="single" w:sz="8" w:space="0" w:color="auto"/>
              <w:right w:val="single" w:sz="8" w:space="0" w:color="auto"/>
            </w:tcBorders>
            <w:shd w:val="clear" w:color="000000" w:fill="00B050"/>
            <w:noWrap/>
            <w:vAlign w:val="center"/>
            <w:hideMark/>
          </w:tcPr>
          <w:p w14:paraId="3B88BFB4"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130 </w:t>
            </w:r>
          </w:p>
        </w:tc>
        <w:tc>
          <w:tcPr>
            <w:tcW w:w="1275" w:type="dxa"/>
            <w:tcBorders>
              <w:top w:val="single" w:sz="8" w:space="0" w:color="auto"/>
              <w:left w:val="nil"/>
              <w:bottom w:val="single" w:sz="8" w:space="0" w:color="auto"/>
              <w:right w:val="single" w:sz="8" w:space="0" w:color="auto"/>
            </w:tcBorders>
            <w:shd w:val="clear" w:color="000000" w:fill="00B050"/>
            <w:noWrap/>
            <w:vAlign w:val="center"/>
            <w:hideMark/>
          </w:tcPr>
          <w:p w14:paraId="082F2BE5"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10,878,169 </w:t>
            </w:r>
          </w:p>
        </w:tc>
        <w:tc>
          <w:tcPr>
            <w:tcW w:w="709" w:type="dxa"/>
            <w:tcBorders>
              <w:top w:val="single" w:sz="8" w:space="0" w:color="auto"/>
              <w:left w:val="nil"/>
              <w:bottom w:val="single" w:sz="8" w:space="0" w:color="auto"/>
              <w:right w:val="single" w:sz="8" w:space="0" w:color="auto"/>
            </w:tcBorders>
            <w:shd w:val="clear" w:color="000000" w:fill="00B050"/>
            <w:noWrap/>
            <w:vAlign w:val="center"/>
            <w:hideMark/>
          </w:tcPr>
          <w:p w14:paraId="14B398F5"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2,179 </w:t>
            </w:r>
          </w:p>
        </w:tc>
        <w:tc>
          <w:tcPr>
            <w:tcW w:w="1843" w:type="dxa"/>
            <w:tcBorders>
              <w:top w:val="single" w:sz="8" w:space="0" w:color="auto"/>
              <w:left w:val="nil"/>
              <w:bottom w:val="single" w:sz="8" w:space="0" w:color="auto"/>
              <w:right w:val="single" w:sz="8" w:space="0" w:color="auto"/>
            </w:tcBorders>
            <w:shd w:val="clear" w:color="000000" w:fill="00B050"/>
            <w:noWrap/>
            <w:vAlign w:val="center"/>
            <w:hideMark/>
          </w:tcPr>
          <w:p w14:paraId="48FF9B49"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54,664,715 </w:t>
            </w:r>
          </w:p>
        </w:tc>
      </w:tr>
      <w:tr w:rsidR="00866791" w:rsidRPr="00866791" w14:paraId="2BF6AEB2" w14:textId="77777777" w:rsidTr="00866791">
        <w:trPr>
          <w:trHeight w:val="300"/>
          <w:jc w:val="center"/>
        </w:trPr>
        <w:tc>
          <w:tcPr>
            <w:tcW w:w="11482" w:type="dxa"/>
            <w:gridSpan w:val="15"/>
            <w:tcBorders>
              <w:top w:val="single" w:sz="8" w:space="0" w:color="auto"/>
              <w:left w:val="single" w:sz="8" w:space="0" w:color="auto"/>
              <w:bottom w:val="single" w:sz="8" w:space="0" w:color="auto"/>
              <w:right w:val="single" w:sz="8" w:space="0" w:color="000000"/>
            </w:tcBorders>
            <w:shd w:val="clear" w:color="000000" w:fill="00B050"/>
            <w:noWrap/>
            <w:vAlign w:val="center"/>
            <w:hideMark/>
          </w:tcPr>
          <w:p w14:paraId="27DD38F2"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Total pagado</w:t>
            </w:r>
          </w:p>
        </w:tc>
        <w:tc>
          <w:tcPr>
            <w:tcW w:w="1843" w:type="dxa"/>
            <w:tcBorders>
              <w:top w:val="nil"/>
              <w:left w:val="nil"/>
              <w:bottom w:val="single" w:sz="8" w:space="0" w:color="auto"/>
              <w:right w:val="single" w:sz="8" w:space="0" w:color="auto"/>
            </w:tcBorders>
            <w:shd w:val="clear" w:color="000000" w:fill="00B050"/>
            <w:noWrap/>
            <w:vAlign w:val="center"/>
            <w:hideMark/>
          </w:tcPr>
          <w:p w14:paraId="6CDE6C89" w14:textId="77777777" w:rsidR="00866791" w:rsidRPr="00866791" w:rsidRDefault="00866791" w:rsidP="0087208A">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3,279,193,995 </w:t>
            </w:r>
          </w:p>
        </w:tc>
      </w:tr>
      <w:tr w:rsidR="00866791" w:rsidRPr="00866791" w14:paraId="72F207C4" w14:textId="77777777" w:rsidTr="00866791">
        <w:trPr>
          <w:trHeight w:val="300"/>
          <w:jc w:val="center"/>
        </w:trPr>
        <w:tc>
          <w:tcPr>
            <w:tcW w:w="11482" w:type="dxa"/>
            <w:gridSpan w:val="15"/>
            <w:tcBorders>
              <w:top w:val="single" w:sz="8" w:space="0" w:color="auto"/>
              <w:left w:val="single" w:sz="8" w:space="0" w:color="auto"/>
              <w:bottom w:val="single" w:sz="8" w:space="0" w:color="auto"/>
              <w:right w:val="single" w:sz="8" w:space="0" w:color="000000"/>
            </w:tcBorders>
            <w:shd w:val="clear" w:color="000000" w:fill="00B050"/>
            <w:noWrap/>
            <w:vAlign w:val="center"/>
            <w:hideMark/>
          </w:tcPr>
          <w:p w14:paraId="31989DEF" w14:textId="77777777" w:rsidR="00866791" w:rsidRPr="00866791" w:rsidRDefault="00866791" w:rsidP="00866791">
            <w:pPr>
              <w:spacing w:after="0" w:line="240" w:lineRule="auto"/>
              <w:jc w:val="right"/>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Total Hectáreas</w:t>
            </w:r>
          </w:p>
        </w:tc>
        <w:tc>
          <w:tcPr>
            <w:tcW w:w="1843" w:type="dxa"/>
            <w:tcBorders>
              <w:top w:val="nil"/>
              <w:left w:val="nil"/>
              <w:bottom w:val="single" w:sz="8" w:space="0" w:color="auto"/>
              <w:right w:val="single" w:sz="8" w:space="0" w:color="auto"/>
            </w:tcBorders>
            <w:shd w:val="clear" w:color="000000" w:fill="00B050"/>
            <w:noWrap/>
            <w:vAlign w:val="center"/>
            <w:hideMark/>
          </w:tcPr>
          <w:p w14:paraId="46EFA74D" w14:textId="77777777" w:rsidR="00866791" w:rsidRPr="00866791" w:rsidRDefault="00866791" w:rsidP="00866791">
            <w:pPr>
              <w:spacing w:after="0" w:line="240" w:lineRule="auto"/>
              <w:rPr>
                <w:rFonts w:ascii="Arial" w:eastAsia="Times New Roman" w:hAnsi="Arial" w:cs="Arial"/>
                <w:b/>
                <w:bCs/>
                <w:color w:val="000000"/>
                <w:sz w:val="14"/>
                <w:szCs w:val="14"/>
                <w:lang w:val="es-US" w:eastAsia="es-US"/>
              </w:rPr>
            </w:pPr>
            <w:r w:rsidRPr="00866791">
              <w:rPr>
                <w:rFonts w:ascii="Arial" w:eastAsia="Times New Roman" w:hAnsi="Arial" w:cs="Arial"/>
                <w:b/>
                <w:bCs/>
                <w:color w:val="000000"/>
                <w:sz w:val="14"/>
                <w:szCs w:val="14"/>
                <w:lang w:val="es-US" w:eastAsia="es-US"/>
              </w:rPr>
              <w:t xml:space="preserve">                         75,945 </w:t>
            </w:r>
          </w:p>
        </w:tc>
      </w:tr>
      <w:tr w:rsidR="00777F3E" w:rsidRPr="00866791" w14:paraId="2AA5679E" w14:textId="77777777" w:rsidTr="00866791">
        <w:trPr>
          <w:gridAfter w:val="7"/>
          <w:wAfter w:w="6602" w:type="dxa"/>
          <w:trHeight w:val="291"/>
          <w:jc w:val="center"/>
        </w:trPr>
        <w:tc>
          <w:tcPr>
            <w:tcW w:w="5420" w:type="dxa"/>
            <w:gridSpan w:val="7"/>
            <w:tcBorders>
              <w:top w:val="nil"/>
              <w:left w:val="nil"/>
              <w:bottom w:val="nil"/>
              <w:right w:val="nil"/>
            </w:tcBorders>
            <w:shd w:val="clear" w:color="000000" w:fill="FFFFFF"/>
            <w:noWrap/>
            <w:vAlign w:val="bottom"/>
            <w:hideMark/>
          </w:tcPr>
          <w:p w14:paraId="0EB9284E" w14:textId="77777777" w:rsidR="00777F3E" w:rsidRPr="00866791" w:rsidRDefault="00777F3E" w:rsidP="00F1557D">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Has= Hectáreas</w:t>
            </w:r>
          </w:p>
        </w:tc>
        <w:tc>
          <w:tcPr>
            <w:tcW w:w="1303" w:type="dxa"/>
            <w:gridSpan w:val="2"/>
            <w:tcBorders>
              <w:top w:val="nil"/>
              <w:left w:val="nil"/>
              <w:bottom w:val="nil"/>
              <w:right w:val="nil"/>
            </w:tcBorders>
            <w:shd w:val="clear" w:color="000000" w:fill="FFFFFF"/>
            <w:noWrap/>
            <w:vAlign w:val="bottom"/>
            <w:hideMark/>
          </w:tcPr>
          <w:p w14:paraId="704BE537" w14:textId="77777777" w:rsidR="00777F3E" w:rsidRPr="00866791" w:rsidRDefault="00777F3E" w:rsidP="00F1557D">
            <w:pPr>
              <w:spacing w:after="0" w:line="240" w:lineRule="auto"/>
              <w:rPr>
                <w:rFonts w:ascii="Arial" w:eastAsia="Times New Roman" w:hAnsi="Arial" w:cs="Arial"/>
                <w:color w:val="000000"/>
                <w:sz w:val="14"/>
                <w:szCs w:val="14"/>
                <w:highlight w:val="lightGray"/>
                <w:lang w:val="es-US" w:eastAsia="es-US"/>
              </w:rPr>
            </w:pPr>
            <w:r w:rsidRPr="00866791">
              <w:rPr>
                <w:rFonts w:ascii="Arial" w:eastAsia="Times New Roman" w:hAnsi="Arial" w:cs="Arial"/>
                <w:color w:val="000000"/>
                <w:sz w:val="14"/>
                <w:szCs w:val="14"/>
                <w:highlight w:val="lightGray"/>
                <w:lang w:val="es-US" w:eastAsia="es-US"/>
              </w:rPr>
              <w:t> </w:t>
            </w:r>
          </w:p>
        </w:tc>
      </w:tr>
      <w:tr w:rsidR="00777F3E" w:rsidRPr="00866791" w14:paraId="521D848F" w14:textId="77777777" w:rsidTr="00866791">
        <w:trPr>
          <w:gridAfter w:val="7"/>
          <w:wAfter w:w="6602" w:type="dxa"/>
          <w:trHeight w:val="291"/>
          <w:jc w:val="center"/>
        </w:trPr>
        <w:tc>
          <w:tcPr>
            <w:tcW w:w="6723" w:type="dxa"/>
            <w:gridSpan w:val="9"/>
            <w:tcBorders>
              <w:top w:val="nil"/>
              <w:left w:val="nil"/>
              <w:bottom w:val="nil"/>
              <w:right w:val="nil"/>
            </w:tcBorders>
            <w:shd w:val="clear" w:color="000000" w:fill="FFFFFF"/>
            <w:noWrap/>
            <w:vAlign w:val="bottom"/>
            <w:hideMark/>
          </w:tcPr>
          <w:p w14:paraId="2684DCF6" w14:textId="77777777" w:rsidR="00777F3E" w:rsidRPr="00866791" w:rsidRDefault="00777F3E" w:rsidP="00F1557D">
            <w:pPr>
              <w:spacing w:after="0" w:line="240" w:lineRule="auto"/>
              <w:rPr>
                <w:rFonts w:ascii="Arial" w:eastAsia="Times New Roman" w:hAnsi="Arial" w:cs="Arial"/>
                <w:color w:val="000000"/>
                <w:sz w:val="14"/>
                <w:szCs w:val="14"/>
                <w:lang w:val="es-US" w:eastAsia="es-US"/>
              </w:rPr>
            </w:pPr>
            <w:r w:rsidRPr="00866791">
              <w:rPr>
                <w:rFonts w:ascii="Arial" w:eastAsia="Times New Roman" w:hAnsi="Arial" w:cs="Arial"/>
                <w:color w:val="000000"/>
                <w:sz w:val="14"/>
                <w:szCs w:val="14"/>
                <w:lang w:val="es-US" w:eastAsia="es-US"/>
              </w:rPr>
              <w:t>SAF=Sistemas Agroforestales</w:t>
            </w:r>
          </w:p>
        </w:tc>
      </w:tr>
      <w:bookmarkEnd w:id="23"/>
    </w:tbl>
    <w:p w14:paraId="50BAEE61" w14:textId="6C447AEB" w:rsidR="00777F3E" w:rsidRPr="00F31BF4" w:rsidRDefault="00777F3E" w:rsidP="00844CC5">
      <w:pPr>
        <w:spacing w:after="0" w:line="240" w:lineRule="auto"/>
        <w:jc w:val="both"/>
        <w:rPr>
          <w:rFonts w:ascii="Arial" w:hAnsi="Arial" w:cs="Arial"/>
          <w:color w:val="FF0000"/>
          <w:highlight w:val="lightGray"/>
          <w:lang w:val="es-US"/>
        </w:rPr>
        <w:sectPr w:rsidR="00777F3E" w:rsidRPr="00F31BF4" w:rsidSect="00BB7547">
          <w:pgSz w:w="15840" w:h="12240" w:orient="landscape"/>
          <w:pgMar w:top="1701" w:right="1412" w:bottom="1701" w:left="1412" w:header="709" w:footer="709" w:gutter="0"/>
          <w:cols w:space="708"/>
          <w:docGrid w:linePitch="360"/>
        </w:sectPr>
      </w:pPr>
    </w:p>
    <w:bookmarkEnd w:id="22"/>
    <w:p w14:paraId="2E57E7FD" w14:textId="77777777" w:rsidR="003D76ED" w:rsidRPr="00F31BF4" w:rsidRDefault="00C053D2" w:rsidP="00E70DB7">
      <w:pPr>
        <w:spacing w:after="0" w:line="240" w:lineRule="auto"/>
        <w:ind w:left="720"/>
        <w:jc w:val="center"/>
        <w:rPr>
          <w:rFonts w:ascii="Arial" w:hAnsi="Arial" w:cs="Arial"/>
          <w:b/>
          <w:sz w:val="24"/>
          <w:szCs w:val="24"/>
          <w:highlight w:val="lightGray"/>
        </w:rPr>
      </w:pPr>
      <w:r w:rsidRPr="00F31BF4">
        <w:rPr>
          <w:rFonts w:ascii="Arial" w:hAnsi="Arial" w:cs="Arial"/>
          <w:highlight w:val="lightGray"/>
        </w:rPr>
        <w:lastRenderedPageBreak/>
        <w:t xml:space="preserve"> </w:t>
      </w:r>
    </w:p>
    <w:p w14:paraId="7D6BAC33" w14:textId="77777777" w:rsidR="00C73784" w:rsidRPr="004421A7" w:rsidRDefault="003D76ED" w:rsidP="00551D21">
      <w:pPr>
        <w:pStyle w:val="Ttulo2"/>
        <w:rPr>
          <w:rFonts w:ascii="Arial" w:hAnsi="Arial" w:cs="Arial"/>
          <w:color w:val="auto"/>
          <w:sz w:val="24"/>
          <w:szCs w:val="24"/>
        </w:rPr>
      </w:pPr>
      <w:bookmarkStart w:id="24" w:name="_Toc109980605"/>
      <w:r w:rsidRPr="004421A7">
        <w:rPr>
          <w:rFonts w:ascii="Arial" w:eastAsia="Calibri" w:hAnsi="Arial" w:cs="Arial"/>
          <w:bCs w:val="0"/>
          <w:color w:val="auto"/>
          <w:sz w:val="22"/>
          <w:szCs w:val="22"/>
        </w:rPr>
        <w:t>7</w:t>
      </w:r>
      <w:r w:rsidR="00C73784" w:rsidRPr="004421A7">
        <w:rPr>
          <w:rFonts w:ascii="Arial" w:hAnsi="Arial" w:cs="Arial"/>
          <w:color w:val="auto"/>
          <w:sz w:val="24"/>
          <w:szCs w:val="24"/>
        </w:rPr>
        <w:t>. EJECUCION DEL PRESUPUESTO DE EGRESOS POR PROGRAMA</w:t>
      </w:r>
      <w:bookmarkEnd w:id="24"/>
    </w:p>
    <w:p w14:paraId="26BA11D2" w14:textId="77777777" w:rsidR="00C73784" w:rsidRPr="004421A7" w:rsidRDefault="00C73784" w:rsidP="00C73784">
      <w:pPr>
        <w:spacing w:after="0" w:line="240" w:lineRule="auto"/>
        <w:rPr>
          <w:rFonts w:ascii="Arial" w:hAnsi="Arial" w:cs="Arial"/>
          <w:b/>
        </w:rPr>
      </w:pPr>
    </w:p>
    <w:p w14:paraId="4B4A7157" w14:textId="77777777" w:rsidR="00C73784" w:rsidRPr="004421A7" w:rsidRDefault="00C73784" w:rsidP="00C73784">
      <w:pPr>
        <w:spacing w:after="0" w:line="240" w:lineRule="auto"/>
        <w:rPr>
          <w:rFonts w:ascii="Arial" w:hAnsi="Arial" w:cs="Arial"/>
          <w:b/>
          <w:sz w:val="20"/>
          <w:szCs w:val="20"/>
        </w:rPr>
      </w:pPr>
    </w:p>
    <w:p w14:paraId="01EAFE76" w14:textId="77777777" w:rsidR="00C73784" w:rsidRPr="004421A7" w:rsidRDefault="00C73784" w:rsidP="00C73784">
      <w:pPr>
        <w:spacing w:after="0" w:line="240" w:lineRule="auto"/>
        <w:jc w:val="center"/>
        <w:rPr>
          <w:rFonts w:ascii="Arial" w:hAnsi="Arial" w:cs="Arial"/>
          <w:b/>
          <w:sz w:val="20"/>
          <w:szCs w:val="20"/>
        </w:rPr>
      </w:pPr>
      <w:r w:rsidRPr="004421A7">
        <w:rPr>
          <w:rFonts w:ascii="Arial" w:hAnsi="Arial" w:cs="Arial"/>
          <w:b/>
          <w:sz w:val="20"/>
          <w:szCs w:val="20"/>
        </w:rPr>
        <w:t>FONDO NACIONAL DE FINANCIAMIENTO FORESTAL</w:t>
      </w:r>
    </w:p>
    <w:p w14:paraId="2F309EE7" w14:textId="245E5DBC" w:rsidR="00C73784" w:rsidRPr="004421A7" w:rsidRDefault="00C73784" w:rsidP="00C73784">
      <w:pPr>
        <w:spacing w:after="0" w:line="240" w:lineRule="auto"/>
        <w:jc w:val="center"/>
        <w:rPr>
          <w:rFonts w:ascii="Arial" w:hAnsi="Arial" w:cs="Arial"/>
          <w:b/>
          <w:sz w:val="20"/>
          <w:szCs w:val="20"/>
        </w:rPr>
      </w:pPr>
      <w:r w:rsidRPr="004421A7">
        <w:rPr>
          <w:rFonts w:ascii="Arial" w:hAnsi="Arial" w:cs="Arial"/>
          <w:b/>
          <w:sz w:val="20"/>
          <w:szCs w:val="20"/>
        </w:rPr>
        <w:t xml:space="preserve">EJECUCION PRESUPUESTARIA AL </w:t>
      </w:r>
      <w:r w:rsidR="003D03BE" w:rsidRPr="004421A7">
        <w:rPr>
          <w:rFonts w:ascii="Arial" w:hAnsi="Arial" w:cs="Arial"/>
          <w:b/>
          <w:sz w:val="20"/>
          <w:szCs w:val="20"/>
        </w:rPr>
        <w:t>30 DE JUNIO</w:t>
      </w:r>
      <w:r w:rsidR="009C7A5B" w:rsidRPr="004421A7">
        <w:rPr>
          <w:rFonts w:ascii="Arial" w:hAnsi="Arial" w:cs="Arial"/>
          <w:b/>
          <w:sz w:val="20"/>
          <w:szCs w:val="20"/>
        </w:rPr>
        <w:t xml:space="preserve"> DEL 20</w:t>
      </w:r>
      <w:r w:rsidR="00F32309" w:rsidRPr="004421A7">
        <w:rPr>
          <w:rFonts w:ascii="Arial" w:hAnsi="Arial" w:cs="Arial"/>
          <w:b/>
          <w:sz w:val="20"/>
          <w:szCs w:val="20"/>
        </w:rPr>
        <w:t>2</w:t>
      </w:r>
      <w:r w:rsidR="003D03BE" w:rsidRPr="004421A7">
        <w:rPr>
          <w:rFonts w:ascii="Arial" w:hAnsi="Arial" w:cs="Arial"/>
          <w:b/>
          <w:sz w:val="20"/>
          <w:szCs w:val="20"/>
        </w:rPr>
        <w:t>2</w:t>
      </w:r>
    </w:p>
    <w:p w14:paraId="774CD9EF" w14:textId="77777777" w:rsidR="00C73784" w:rsidRPr="004421A7" w:rsidRDefault="00C73784" w:rsidP="00C73784">
      <w:pPr>
        <w:spacing w:after="0" w:line="240" w:lineRule="auto"/>
        <w:jc w:val="center"/>
        <w:rPr>
          <w:rFonts w:ascii="Arial" w:hAnsi="Arial" w:cs="Arial"/>
          <w:b/>
          <w:sz w:val="20"/>
          <w:szCs w:val="20"/>
        </w:rPr>
      </w:pPr>
      <w:r w:rsidRPr="004421A7">
        <w:rPr>
          <w:rFonts w:ascii="Arial" w:hAnsi="Arial" w:cs="Arial"/>
          <w:b/>
          <w:sz w:val="20"/>
          <w:szCs w:val="20"/>
        </w:rPr>
        <w:t>EGRESOS REALES POR PROGRAMA</w:t>
      </w:r>
    </w:p>
    <w:p w14:paraId="5A51AABF" w14:textId="77777777" w:rsidR="00C73784" w:rsidRPr="004421A7" w:rsidRDefault="00C73784" w:rsidP="00C73784">
      <w:pPr>
        <w:spacing w:after="0" w:line="240" w:lineRule="auto"/>
        <w:jc w:val="center"/>
        <w:rPr>
          <w:rFonts w:ascii="Arial" w:hAnsi="Arial" w:cs="Arial"/>
          <w:b/>
        </w:rPr>
      </w:pPr>
      <w:r w:rsidRPr="004421A7">
        <w:rPr>
          <w:rFonts w:ascii="Arial" w:hAnsi="Arial" w:cs="Arial"/>
          <w:b/>
          <w:sz w:val="20"/>
          <w:szCs w:val="20"/>
        </w:rPr>
        <w:t>(EXPRESADO EN COLONES</w:t>
      </w:r>
      <w:r w:rsidRPr="004421A7">
        <w:rPr>
          <w:rFonts w:ascii="Arial" w:hAnsi="Arial" w:cs="Arial"/>
          <w:b/>
        </w:rPr>
        <w:t>)</w:t>
      </w:r>
    </w:p>
    <w:p w14:paraId="0A104439" w14:textId="3B32BD21" w:rsidR="00C73784" w:rsidRPr="00F31BF4" w:rsidRDefault="00C73784" w:rsidP="00C73784">
      <w:pPr>
        <w:spacing w:after="0" w:line="240" w:lineRule="auto"/>
        <w:rPr>
          <w:b/>
          <w:sz w:val="12"/>
          <w:szCs w:val="12"/>
          <w:highlight w:val="lightGray"/>
        </w:rPr>
      </w:pPr>
    </w:p>
    <w:p w14:paraId="2D15E239" w14:textId="75E73897" w:rsidR="0057080A" w:rsidRPr="00F31BF4" w:rsidRDefault="0057080A" w:rsidP="00C73784">
      <w:pPr>
        <w:spacing w:after="0" w:line="240" w:lineRule="auto"/>
        <w:rPr>
          <w:b/>
          <w:sz w:val="12"/>
          <w:szCs w:val="12"/>
          <w:highlight w:val="lightGray"/>
        </w:rPr>
      </w:pPr>
    </w:p>
    <w:p w14:paraId="4B574C11" w14:textId="36C15444" w:rsidR="00570522" w:rsidRPr="00F31BF4" w:rsidRDefault="00570522" w:rsidP="00C73784">
      <w:pPr>
        <w:spacing w:after="0" w:line="240" w:lineRule="auto"/>
        <w:rPr>
          <w:b/>
          <w:sz w:val="12"/>
          <w:szCs w:val="12"/>
          <w:highlight w:val="lightGray"/>
        </w:rPr>
      </w:pPr>
    </w:p>
    <w:p w14:paraId="1173EBA4" w14:textId="4FC38B8B" w:rsidR="00570522" w:rsidRPr="00F31BF4" w:rsidRDefault="00570522" w:rsidP="00C73784">
      <w:pPr>
        <w:spacing w:after="0" w:line="240" w:lineRule="auto"/>
        <w:rPr>
          <w:b/>
          <w:sz w:val="12"/>
          <w:szCs w:val="12"/>
          <w:highlight w:val="lightGray"/>
        </w:rPr>
      </w:pPr>
    </w:p>
    <w:tbl>
      <w:tblPr>
        <w:tblW w:w="10277" w:type="dxa"/>
        <w:tblInd w:w="-572" w:type="dxa"/>
        <w:tblLayout w:type="fixed"/>
        <w:tblCellMar>
          <w:left w:w="70" w:type="dxa"/>
          <w:right w:w="70" w:type="dxa"/>
        </w:tblCellMar>
        <w:tblLook w:val="04A0" w:firstRow="1" w:lastRow="0" w:firstColumn="1" w:lastColumn="0" w:noHBand="0" w:noVBand="1"/>
      </w:tblPr>
      <w:tblGrid>
        <w:gridCol w:w="2086"/>
        <w:gridCol w:w="1916"/>
        <w:gridCol w:w="832"/>
        <w:gridCol w:w="1869"/>
        <w:gridCol w:w="1042"/>
        <w:gridCol w:w="1639"/>
        <w:gridCol w:w="893"/>
      </w:tblGrid>
      <w:tr w:rsidR="000E4625" w:rsidRPr="000E4625" w14:paraId="2204493A" w14:textId="77777777" w:rsidTr="000D6B10">
        <w:trPr>
          <w:trHeight w:val="210"/>
        </w:trPr>
        <w:tc>
          <w:tcPr>
            <w:tcW w:w="2086"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39BDE5F" w14:textId="77777777" w:rsidR="000E4625" w:rsidRPr="000E4625" w:rsidRDefault="000E4625" w:rsidP="000E4625">
            <w:pPr>
              <w:spacing w:after="0" w:line="240" w:lineRule="auto"/>
              <w:jc w:val="center"/>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Partida</w:t>
            </w:r>
          </w:p>
        </w:tc>
        <w:tc>
          <w:tcPr>
            <w:tcW w:w="1916" w:type="dxa"/>
            <w:tcBorders>
              <w:top w:val="single" w:sz="4" w:space="0" w:color="auto"/>
              <w:left w:val="nil"/>
              <w:bottom w:val="single" w:sz="4" w:space="0" w:color="auto"/>
              <w:right w:val="single" w:sz="4" w:space="0" w:color="auto"/>
            </w:tcBorders>
            <w:shd w:val="clear" w:color="000000" w:fill="00B050"/>
            <w:vAlign w:val="center"/>
            <w:hideMark/>
          </w:tcPr>
          <w:p w14:paraId="2DAE9B62" w14:textId="77777777" w:rsidR="000E4625" w:rsidRPr="000E4625" w:rsidRDefault="000E4625" w:rsidP="000E4625">
            <w:pPr>
              <w:spacing w:after="0" w:line="240" w:lineRule="auto"/>
              <w:jc w:val="center"/>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Egreso Ejecutado Consolidado</w:t>
            </w:r>
          </w:p>
        </w:tc>
        <w:tc>
          <w:tcPr>
            <w:tcW w:w="832" w:type="dxa"/>
            <w:tcBorders>
              <w:top w:val="single" w:sz="4" w:space="0" w:color="auto"/>
              <w:left w:val="nil"/>
              <w:bottom w:val="single" w:sz="4" w:space="0" w:color="auto"/>
              <w:right w:val="single" w:sz="4" w:space="0" w:color="auto"/>
            </w:tcBorders>
            <w:shd w:val="clear" w:color="000000" w:fill="00B050"/>
            <w:noWrap/>
            <w:vAlign w:val="center"/>
            <w:hideMark/>
          </w:tcPr>
          <w:p w14:paraId="1E8BD346" w14:textId="77777777" w:rsidR="000E4625" w:rsidRPr="000E4625" w:rsidRDefault="000E4625" w:rsidP="000E4625">
            <w:pPr>
              <w:spacing w:after="0" w:line="240" w:lineRule="auto"/>
              <w:jc w:val="center"/>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w:t>
            </w:r>
          </w:p>
        </w:tc>
        <w:tc>
          <w:tcPr>
            <w:tcW w:w="1869" w:type="dxa"/>
            <w:tcBorders>
              <w:top w:val="single" w:sz="4" w:space="0" w:color="auto"/>
              <w:left w:val="nil"/>
              <w:bottom w:val="single" w:sz="4" w:space="0" w:color="auto"/>
              <w:right w:val="single" w:sz="4" w:space="0" w:color="auto"/>
            </w:tcBorders>
            <w:shd w:val="clear" w:color="000000" w:fill="00B050"/>
            <w:vAlign w:val="center"/>
            <w:hideMark/>
          </w:tcPr>
          <w:p w14:paraId="7534E1A5" w14:textId="77777777" w:rsidR="000E4625" w:rsidRPr="000E4625" w:rsidRDefault="000E4625" w:rsidP="000E4625">
            <w:pPr>
              <w:spacing w:after="0" w:line="240" w:lineRule="auto"/>
              <w:jc w:val="center"/>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Financiamiento Ambiental Forestal</w:t>
            </w:r>
          </w:p>
        </w:tc>
        <w:tc>
          <w:tcPr>
            <w:tcW w:w="1042" w:type="dxa"/>
            <w:tcBorders>
              <w:top w:val="single" w:sz="4" w:space="0" w:color="auto"/>
              <w:left w:val="nil"/>
              <w:bottom w:val="single" w:sz="4" w:space="0" w:color="auto"/>
              <w:right w:val="single" w:sz="4" w:space="0" w:color="auto"/>
            </w:tcBorders>
            <w:shd w:val="clear" w:color="000000" w:fill="00B050"/>
            <w:vAlign w:val="center"/>
            <w:hideMark/>
          </w:tcPr>
          <w:p w14:paraId="08C16025" w14:textId="77777777" w:rsidR="000E4625" w:rsidRPr="000E4625" w:rsidRDefault="000E4625" w:rsidP="000E4625">
            <w:pPr>
              <w:spacing w:after="0" w:line="240" w:lineRule="auto"/>
              <w:jc w:val="center"/>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w:t>
            </w:r>
          </w:p>
        </w:tc>
        <w:tc>
          <w:tcPr>
            <w:tcW w:w="1639" w:type="dxa"/>
            <w:tcBorders>
              <w:top w:val="single" w:sz="4" w:space="0" w:color="auto"/>
              <w:left w:val="nil"/>
              <w:bottom w:val="single" w:sz="4" w:space="0" w:color="auto"/>
              <w:right w:val="single" w:sz="4" w:space="0" w:color="auto"/>
            </w:tcBorders>
            <w:shd w:val="clear" w:color="000000" w:fill="00B050"/>
            <w:vAlign w:val="center"/>
            <w:hideMark/>
          </w:tcPr>
          <w:p w14:paraId="7D921FD0" w14:textId="77777777" w:rsidR="000E4625" w:rsidRPr="000E4625" w:rsidRDefault="000E4625" w:rsidP="000E4625">
            <w:pPr>
              <w:spacing w:after="0" w:line="240" w:lineRule="auto"/>
              <w:jc w:val="center"/>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Proyectos Especiales</w:t>
            </w:r>
          </w:p>
        </w:tc>
        <w:tc>
          <w:tcPr>
            <w:tcW w:w="893" w:type="dxa"/>
            <w:tcBorders>
              <w:top w:val="single" w:sz="4" w:space="0" w:color="auto"/>
              <w:left w:val="nil"/>
              <w:bottom w:val="single" w:sz="4" w:space="0" w:color="auto"/>
              <w:right w:val="single" w:sz="4" w:space="0" w:color="auto"/>
            </w:tcBorders>
            <w:shd w:val="clear" w:color="000000" w:fill="00B050"/>
            <w:vAlign w:val="center"/>
            <w:hideMark/>
          </w:tcPr>
          <w:p w14:paraId="69DB6D7D" w14:textId="77777777" w:rsidR="000E4625" w:rsidRPr="000E4625" w:rsidRDefault="000E4625" w:rsidP="000E4625">
            <w:pPr>
              <w:spacing w:after="0" w:line="240" w:lineRule="auto"/>
              <w:jc w:val="center"/>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 xml:space="preserve">% </w:t>
            </w:r>
          </w:p>
        </w:tc>
      </w:tr>
      <w:tr w:rsidR="000D6B10" w:rsidRPr="000E4625" w14:paraId="7097E1C3" w14:textId="77777777" w:rsidTr="000D6B10">
        <w:trPr>
          <w:trHeight w:val="229"/>
        </w:trPr>
        <w:tc>
          <w:tcPr>
            <w:tcW w:w="2086" w:type="dxa"/>
            <w:tcBorders>
              <w:top w:val="nil"/>
              <w:left w:val="single" w:sz="4" w:space="0" w:color="auto"/>
              <w:bottom w:val="single" w:sz="4" w:space="0" w:color="auto"/>
              <w:right w:val="single" w:sz="4" w:space="0" w:color="auto"/>
            </w:tcBorders>
            <w:shd w:val="clear" w:color="000000" w:fill="FFFFFF"/>
            <w:noWrap/>
            <w:vAlign w:val="center"/>
            <w:hideMark/>
          </w:tcPr>
          <w:p w14:paraId="1979F05E" w14:textId="77777777" w:rsidR="000E4625" w:rsidRPr="000E4625" w:rsidRDefault="000E4625" w:rsidP="000E4625">
            <w:pPr>
              <w:spacing w:after="0" w:line="240" w:lineRule="auto"/>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 Remuneraciones</w:t>
            </w:r>
          </w:p>
        </w:tc>
        <w:tc>
          <w:tcPr>
            <w:tcW w:w="1916" w:type="dxa"/>
            <w:tcBorders>
              <w:top w:val="nil"/>
              <w:left w:val="nil"/>
              <w:bottom w:val="single" w:sz="4" w:space="0" w:color="auto"/>
              <w:right w:val="single" w:sz="4" w:space="0" w:color="auto"/>
            </w:tcBorders>
            <w:shd w:val="clear" w:color="auto" w:fill="auto"/>
            <w:noWrap/>
            <w:vAlign w:val="center"/>
            <w:hideMark/>
          </w:tcPr>
          <w:p w14:paraId="760705C2"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85,799,510 </w:t>
            </w:r>
          </w:p>
        </w:tc>
        <w:tc>
          <w:tcPr>
            <w:tcW w:w="832" w:type="dxa"/>
            <w:tcBorders>
              <w:top w:val="nil"/>
              <w:left w:val="nil"/>
              <w:bottom w:val="single" w:sz="4" w:space="0" w:color="auto"/>
              <w:right w:val="single" w:sz="4" w:space="0" w:color="auto"/>
            </w:tcBorders>
            <w:shd w:val="clear" w:color="000000" w:fill="FFFFFF"/>
            <w:noWrap/>
            <w:vAlign w:val="center"/>
            <w:hideMark/>
          </w:tcPr>
          <w:p w14:paraId="0674EBDA"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2.32%</w:t>
            </w:r>
          </w:p>
        </w:tc>
        <w:tc>
          <w:tcPr>
            <w:tcW w:w="1869" w:type="dxa"/>
            <w:tcBorders>
              <w:top w:val="nil"/>
              <w:left w:val="nil"/>
              <w:bottom w:val="single" w:sz="4" w:space="0" w:color="auto"/>
              <w:right w:val="single" w:sz="4" w:space="0" w:color="auto"/>
            </w:tcBorders>
            <w:shd w:val="clear" w:color="000000" w:fill="FFFFFF"/>
            <w:noWrap/>
            <w:vAlign w:val="center"/>
            <w:hideMark/>
          </w:tcPr>
          <w:p w14:paraId="4E88ADC9"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82,943,335 </w:t>
            </w:r>
          </w:p>
        </w:tc>
        <w:tc>
          <w:tcPr>
            <w:tcW w:w="1042" w:type="dxa"/>
            <w:tcBorders>
              <w:top w:val="nil"/>
              <w:left w:val="nil"/>
              <w:bottom w:val="single" w:sz="4" w:space="0" w:color="auto"/>
              <w:right w:val="single" w:sz="4" w:space="0" w:color="auto"/>
            </w:tcBorders>
            <w:shd w:val="clear" w:color="000000" w:fill="FFFFFF"/>
            <w:noWrap/>
            <w:vAlign w:val="center"/>
            <w:hideMark/>
          </w:tcPr>
          <w:p w14:paraId="6C7FDC92"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2.25%</w:t>
            </w:r>
          </w:p>
        </w:tc>
        <w:tc>
          <w:tcPr>
            <w:tcW w:w="1639" w:type="dxa"/>
            <w:tcBorders>
              <w:top w:val="nil"/>
              <w:left w:val="nil"/>
              <w:bottom w:val="single" w:sz="4" w:space="0" w:color="auto"/>
              <w:right w:val="single" w:sz="4" w:space="0" w:color="auto"/>
            </w:tcBorders>
            <w:shd w:val="clear" w:color="000000" w:fill="FFFFFF"/>
            <w:noWrap/>
            <w:vAlign w:val="center"/>
            <w:hideMark/>
          </w:tcPr>
          <w:p w14:paraId="003DC41B"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2,856,175.77 </w:t>
            </w:r>
          </w:p>
        </w:tc>
        <w:tc>
          <w:tcPr>
            <w:tcW w:w="893" w:type="dxa"/>
            <w:tcBorders>
              <w:top w:val="nil"/>
              <w:left w:val="nil"/>
              <w:bottom w:val="single" w:sz="4" w:space="0" w:color="auto"/>
              <w:right w:val="single" w:sz="4" w:space="0" w:color="auto"/>
            </w:tcBorders>
            <w:shd w:val="clear" w:color="000000" w:fill="FFFFFF"/>
            <w:noWrap/>
            <w:vAlign w:val="center"/>
            <w:hideMark/>
          </w:tcPr>
          <w:p w14:paraId="5C98E50C"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0.00%</w:t>
            </w:r>
          </w:p>
        </w:tc>
      </w:tr>
      <w:tr w:rsidR="000D6B10" w:rsidRPr="000E4625" w14:paraId="7C6AE079" w14:textId="77777777" w:rsidTr="000D6B10">
        <w:trPr>
          <w:trHeight w:val="229"/>
        </w:trPr>
        <w:tc>
          <w:tcPr>
            <w:tcW w:w="2086" w:type="dxa"/>
            <w:tcBorders>
              <w:top w:val="nil"/>
              <w:left w:val="single" w:sz="4" w:space="0" w:color="auto"/>
              <w:bottom w:val="single" w:sz="4" w:space="0" w:color="auto"/>
              <w:right w:val="single" w:sz="4" w:space="0" w:color="auto"/>
            </w:tcBorders>
            <w:shd w:val="clear" w:color="000000" w:fill="FFFFFF"/>
            <w:noWrap/>
            <w:vAlign w:val="center"/>
            <w:hideMark/>
          </w:tcPr>
          <w:p w14:paraId="0DBCED5B" w14:textId="77777777" w:rsidR="000E4625" w:rsidRPr="000E4625" w:rsidRDefault="000E4625" w:rsidP="000E4625">
            <w:pPr>
              <w:spacing w:after="0" w:line="240" w:lineRule="auto"/>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1 Servicios</w:t>
            </w:r>
          </w:p>
        </w:tc>
        <w:tc>
          <w:tcPr>
            <w:tcW w:w="1916" w:type="dxa"/>
            <w:tcBorders>
              <w:top w:val="nil"/>
              <w:left w:val="nil"/>
              <w:bottom w:val="single" w:sz="4" w:space="0" w:color="auto"/>
              <w:right w:val="single" w:sz="4" w:space="0" w:color="auto"/>
            </w:tcBorders>
            <w:shd w:val="clear" w:color="auto" w:fill="auto"/>
            <w:noWrap/>
            <w:vAlign w:val="center"/>
            <w:hideMark/>
          </w:tcPr>
          <w:p w14:paraId="23EA64BF"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27,190,918 </w:t>
            </w:r>
          </w:p>
        </w:tc>
        <w:tc>
          <w:tcPr>
            <w:tcW w:w="832" w:type="dxa"/>
            <w:tcBorders>
              <w:top w:val="nil"/>
              <w:left w:val="nil"/>
              <w:bottom w:val="single" w:sz="4" w:space="0" w:color="auto"/>
              <w:right w:val="single" w:sz="4" w:space="0" w:color="auto"/>
            </w:tcBorders>
            <w:shd w:val="clear" w:color="000000" w:fill="FFFFFF"/>
            <w:noWrap/>
            <w:vAlign w:val="center"/>
            <w:hideMark/>
          </w:tcPr>
          <w:p w14:paraId="7227BF10"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0.74%</w:t>
            </w:r>
          </w:p>
        </w:tc>
        <w:tc>
          <w:tcPr>
            <w:tcW w:w="1869" w:type="dxa"/>
            <w:tcBorders>
              <w:top w:val="nil"/>
              <w:left w:val="nil"/>
              <w:bottom w:val="single" w:sz="4" w:space="0" w:color="auto"/>
              <w:right w:val="single" w:sz="4" w:space="0" w:color="auto"/>
            </w:tcBorders>
            <w:shd w:val="clear" w:color="000000" w:fill="FFFFFF"/>
            <w:noWrap/>
            <w:vAlign w:val="center"/>
            <w:hideMark/>
          </w:tcPr>
          <w:p w14:paraId="79D9B42E"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27,190,918 </w:t>
            </w:r>
          </w:p>
        </w:tc>
        <w:tc>
          <w:tcPr>
            <w:tcW w:w="1042" w:type="dxa"/>
            <w:tcBorders>
              <w:top w:val="nil"/>
              <w:left w:val="nil"/>
              <w:bottom w:val="single" w:sz="4" w:space="0" w:color="auto"/>
              <w:right w:val="single" w:sz="4" w:space="0" w:color="auto"/>
            </w:tcBorders>
            <w:shd w:val="clear" w:color="000000" w:fill="FFFFFF"/>
            <w:noWrap/>
            <w:vAlign w:val="center"/>
            <w:hideMark/>
          </w:tcPr>
          <w:p w14:paraId="2FE25427"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0.74%</w:t>
            </w:r>
          </w:p>
        </w:tc>
        <w:tc>
          <w:tcPr>
            <w:tcW w:w="1639" w:type="dxa"/>
            <w:tcBorders>
              <w:top w:val="nil"/>
              <w:left w:val="nil"/>
              <w:bottom w:val="single" w:sz="4" w:space="0" w:color="auto"/>
              <w:right w:val="single" w:sz="4" w:space="0" w:color="auto"/>
            </w:tcBorders>
            <w:shd w:val="clear" w:color="000000" w:fill="FFFFFF"/>
            <w:noWrap/>
            <w:vAlign w:val="center"/>
            <w:hideMark/>
          </w:tcPr>
          <w:p w14:paraId="18C3375C"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   </w:t>
            </w:r>
          </w:p>
        </w:tc>
        <w:tc>
          <w:tcPr>
            <w:tcW w:w="893" w:type="dxa"/>
            <w:tcBorders>
              <w:top w:val="nil"/>
              <w:left w:val="nil"/>
              <w:bottom w:val="single" w:sz="4" w:space="0" w:color="auto"/>
              <w:right w:val="single" w:sz="4" w:space="0" w:color="auto"/>
            </w:tcBorders>
            <w:shd w:val="clear" w:color="000000" w:fill="FFFFFF"/>
            <w:noWrap/>
            <w:vAlign w:val="center"/>
            <w:hideMark/>
          </w:tcPr>
          <w:p w14:paraId="142F7A13"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77.00%</w:t>
            </w:r>
          </w:p>
        </w:tc>
      </w:tr>
      <w:tr w:rsidR="000D6B10" w:rsidRPr="000E4625" w14:paraId="0B3A6A5C" w14:textId="77777777" w:rsidTr="000D6B10">
        <w:trPr>
          <w:trHeight w:val="229"/>
        </w:trPr>
        <w:tc>
          <w:tcPr>
            <w:tcW w:w="2086" w:type="dxa"/>
            <w:tcBorders>
              <w:top w:val="nil"/>
              <w:left w:val="single" w:sz="4" w:space="0" w:color="auto"/>
              <w:bottom w:val="single" w:sz="4" w:space="0" w:color="auto"/>
              <w:right w:val="single" w:sz="4" w:space="0" w:color="auto"/>
            </w:tcBorders>
            <w:shd w:val="clear" w:color="000000" w:fill="FFFFFF"/>
            <w:noWrap/>
            <w:vAlign w:val="center"/>
            <w:hideMark/>
          </w:tcPr>
          <w:p w14:paraId="2B327D4A" w14:textId="77777777" w:rsidR="000E4625" w:rsidRPr="000E4625" w:rsidRDefault="000E4625" w:rsidP="000E4625">
            <w:pPr>
              <w:spacing w:after="0" w:line="240" w:lineRule="auto"/>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2 Materiales y suministros</w:t>
            </w:r>
          </w:p>
        </w:tc>
        <w:tc>
          <w:tcPr>
            <w:tcW w:w="1916" w:type="dxa"/>
            <w:tcBorders>
              <w:top w:val="nil"/>
              <w:left w:val="nil"/>
              <w:bottom w:val="single" w:sz="4" w:space="0" w:color="auto"/>
              <w:right w:val="single" w:sz="4" w:space="0" w:color="auto"/>
            </w:tcBorders>
            <w:shd w:val="clear" w:color="auto" w:fill="auto"/>
            <w:noWrap/>
            <w:vAlign w:val="center"/>
            <w:hideMark/>
          </w:tcPr>
          <w:p w14:paraId="4AFD591F"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96,584 </w:t>
            </w:r>
          </w:p>
        </w:tc>
        <w:tc>
          <w:tcPr>
            <w:tcW w:w="832" w:type="dxa"/>
            <w:tcBorders>
              <w:top w:val="nil"/>
              <w:left w:val="nil"/>
              <w:bottom w:val="single" w:sz="4" w:space="0" w:color="auto"/>
              <w:right w:val="single" w:sz="4" w:space="0" w:color="auto"/>
            </w:tcBorders>
            <w:shd w:val="clear" w:color="000000" w:fill="FFFFFF"/>
            <w:noWrap/>
            <w:vAlign w:val="center"/>
            <w:hideMark/>
          </w:tcPr>
          <w:p w14:paraId="7450E0E9"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0.00%</w:t>
            </w:r>
          </w:p>
        </w:tc>
        <w:tc>
          <w:tcPr>
            <w:tcW w:w="1869" w:type="dxa"/>
            <w:tcBorders>
              <w:top w:val="nil"/>
              <w:left w:val="nil"/>
              <w:bottom w:val="single" w:sz="4" w:space="0" w:color="auto"/>
              <w:right w:val="single" w:sz="4" w:space="0" w:color="auto"/>
            </w:tcBorders>
            <w:shd w:val="clear" w:color="000000" w:fill="FFFFFF"/>
            <w:noWrap/>
            <w:vAlign w:val="center"/>
            <w:hideMark/>
          </w:tcPr>
          <w:p w14:paraId="5DD14500"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96,584 </w:t>
            </w:r>
          </w:p>
        </w:tc>
        <w:tc>
          <w:tcPr>
            <w:tcW w:w="1042" w:type="dxa"/>
            <w:tcBorders>
              <w:top w:val="nil"/>
              <w:left w:val="nil"/>
              <w:bottom w:val="single" w:sz="4" w:space="0" w:color="auto"/>
              <w:right w:val="single" w:sz="4" w:space="0" w:color="auto"/>
            </w:tcBorders>
            <w:shd w:val="clear" w:color="000000" w:fill="FFFFFF"/>
            <w:noWrap/>
            <w:vAlign w:val="center"/>
            <w:hideMark/>
          </w:tcPr>
          <w:p w14:paraId="405102AB"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0.00%</w:t>
            </w:r>
          </w:p>
        </w:tc>
        <w:tc>
          <w:tcPr>
            <w:tcW w:w="1639" w:type="dxa"/>
            <w:tcBorders>
              <w:top w:val="nil"/>
              <w:left w:val="nil"/>
              <w:bottom w:val="single" w:sz="4" w:space="0" w:color="auto"/>
              <w:right w:val="single" w:sz="4" w:space="0" w:color="auto"/>
            </w:tcBorders>
            <w:shd w:val="clear" w:color="000000" w:fill="FFFFFF"/>
            <w:noWrap/>
            <w:vAlign w:val="center"/>
            <w:hideMark/>
          </w:tcPr>
          <w:p w14:paraId="7EE022A6"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   </w:t>
            </w:r>
          </w:p>
        </w:tc>
        <w:tc>
          <w:tcPr>
            <w:tcW w:w="893" w:type="dxa"/>
            <w:tcBorders>
              <w:top w:val="nil"/>
              <w:left w:val="nil"/>
              <w:bottom w:val="single" w:sz="4" w:space="0" w:color="auto"/>
              <w:right w:val="single" w:sz="4" w:space="0" w:color="auto"/>
            </w:tcBorders>
            <w:shd w:val="clear" w:color="000000" w:fill="FFFFFF"/>
            <w:noWrap/>
            <w:vAlign w:val="center"/>
            <w:hideMark/>
          </w:tcPr>
          <w:p w14:paraId="779E33E9"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3.00%</w:t>
            </w:r>
          </w:p>
        </w:tc>
      </w:tr>
      <w:tr w:rsidR="000D6B10" w:rsidRPr="000E4625" w14:paraId="70125F09" w14:textId="77777777" w:rsidTr="000D6B10">
        <w:trPr>
          <w:trHeight w:val="229"/>
        </w:trPr>
        <w:tc>
          <w:tcPr>
            <w:tcW w:w="2086" w:type="dxa"/>
            <w:tcBorders>
              <w:top w:val="nil"/>
              <w:left w:val="single" w:sz="4" w:space="0" w:color="auto"/>
              <w:bottom w:val="single" w:sz="4" w:space="0" w:color="auto"/>
              <w:right w:val="single" w:sz="4" w:space="0" w:color="auto"/>
            </w:tcBorders>
            <w:shd w:val="clear" w:color="000000" w:fill="FFFFFF"/>
            <w:noWrap/>
            <w:vAlign w:val="center"/>
            <w:hideMark/>
          </w:tcPr>
          <w:p w14:paraId="5B0EF083" w14:textId="77777777" w:rsidR="000E4625" w:rsidRPr="000E4625" w:rsidRDefault="000E4625" w:rsidP="000E4625">
            <w:pPr>
              <w:spacing w:after="0" w:line="240" w:lineRule="auto"/>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4 Activos Financieros</w:t>
            </w:r>
          </w:p>
        </w:tc>
        <w:tc>
          <w:tcPr>
            <w:tcW w:w="1916" w:type="dxa"/>
            <w:tcBorders>
              <w:top w:val="nil"/>
              <w:left w:val="nil"/>
              <w:bottom w:val="single" w:sz="4" w:space="0" w:color="auto"/>
              <w:right w:val="single" w:sz="4" w:space="0" w:color="auto"/>
            </w:tcBorders>
            <w:shd w:val="clear" w:color="auto" w:fill="auto"/>
            <w:noWrap/>
            <w:vAlign w:val="center"/>
            <w:hideMark/>
          </w:tcPr>
          <w:p w14:paraId="672DA80E"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303,915,338 </w:t>
            </w:r>
          </w:p>
        </w:tc>
        <w:tc>
          <w:tcPr>
            <w:tcW w:w="832" w:type="dxa"/>
            <w:tcBorders>
              <w:top w:val="nil"/>
              <w:left w:val="nil"/>
              <w:bottom w:val="single" w:sz="4" w:space="0" w:color="auto"/>
              <w:right w:val="single" w:sz="4" w:space="0" w:color="auto"/>
            </w:tcBorders>
            <w:shd w:val="clear" w:color="000000" w:fill="FFFFFF"/>
            <w:noWrap/>
            <w:vAlign w:val="center"/>
            <w:hideMark/>
          </w:tcPr>
          <w:p w14:paraId="5D951273"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8.22%</w:t>
            </w:r>
          </w:p>
        </w:tc>
        <w:tc>
          <w:tcPr>
            <w:tcW w:w="1869" w:type="dxa"/>
            <w:tcBorders>
              <w:top w:val="nil"/>
              <w:left w:val="nil"/>
              <w:bottom w:val="single" w:sz="4" w:space="0" w:color="auto"/>
              <w:right w:val="single" w:sz="4" w:space="0" w:color="auto"/>
            </w:tcBorders>
            <w:shd w:val="clear" w:color="000000" w:fill="FFFFFF"/>
            <w:noWrap/>
            <w:vAlign w:val="center"/>
            <w:hideMark/>
          </w:tcPr>
          <w:p w14:paraId="3AF1BF29"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303,915,338 </w:t>
            </w:r>
          </w:p>
        </w:tc>
        <w:tc>
          <w:tcPr>
            <w:tcW w:w="1042" w:type="dxa"/>
            <w:tcBorders>
              <w:top w:val="nil"/>
              <w:left w:val="nil"/>
              <w:bottom w:val="single" w:sz="4" w:space="0" w:color="auto"/>
              <w:right w:val="single" w:sz="4" w:space="0" w:color="auto"/>
            </w:tcBorders>
            <w:shd w:val="clear" w:color="000000" w:fill="FFFFFF"/>
            <w:noWrap/>
            <w:vAlign w:val="center"/>
            <w:hideMark/>
          </w:tcPr>
          <w:p w14:paraId="673F6B9F"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8.23%</w:t>
            </w:r>
          </w:p>
        </w:tc>
        <w:tc>
          <w:tcPr>
            <w:tcW w:w="1639" w:type="dxa"/>
            <w:tcBorders>
              <w:top w:val="nil"/>
              <w:left w:val="nil"/>
              <w:bottom w:val="single" w:sz="4" w:space="0" w:color="auto"/>
              <w:right w:val="single" w:sz="4" w:space="0" w:color="auto"/>
            </w:tcBorders>
            <w:shd w:val="clear" w:color="000000" w:fill="FFFFFF"/>
            <w:noWrap/>
            <w:vAlign w:val="center"/>
            <w:hideMark/>
          </w:tcPr>
          <w:p w14:paraId="0710A9E7"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   </w:t>
            </w:r>
          </w:p>
        </w:tc>
        <w:tc>
          <w:tcPr>
            <w:tcW w:w="893" w:type="dxa"/>
            <w:tcBorders>
              <w:top w:val="nil"/>
              <w:left w:val="nil"/>
              <w:bottom w:val="single" w:sz="4" w:space="0" w:color="auto"/>
              <w:right w:val="single" w:sz="4" w:space="0" w:color="auto"/>
            </w:tcBorders>
            <w:shd w:val="clear" w:color="000000" w:fill="FFFFFF"/>
            <w:noWrap/>
            <w:vAlign w:val="center"/>
            <w:hideMark/>
          </w:tcPr>
          <w:p w14:paraId="2552AF0D"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0.00%</w:t>
            </w:r>
          </w:p>
        </w:tc>
      </w:tr>
      <w:tr w:rsidR="000D6B10" w:rsidRPr="000E4625" w14:paraId="4DA3583A" w14:textId="77777777" w:rsidTr="000D6B10">
        <w:trPr>
          <w:trHeight w:val="229"/>
        </w:trPr>
        <w:tc>
          <w:tcPr>
            <w:tcW w:w="2086" w:type="dxa"/>
            <w:tcBorders>
              <w:top w:val="nil"/>
              <w:left w:val="single" w:sz="4" w:space="0" w:color="auto"/>
              <w:bottom w:val="single" w:sz="4" w:space="0" w:color="auto"/>
              <w:right w:val="single" w:sz="4" w:space="0" w:color="auto"/>
            </w:tcBorders>
            <w:shd w:val="clear" w:color="000000" w:fill="FFFFFF"/>
            <w:noWrap/>
            <w:vAlign w:val="center"/>
            <w:hideMark/>
          </w:tcPr>
          <w:p w14:paraId="0BD4C9E5" w14:textId="77777777" w:rsidR="000E4625" w:rsidRPr="000E4625" w:rsidRDefault="000E4625" w:rsidP="000E4625">
            <w:pPr>
              <w:spacing w:after="0" w:line="240" w:lineRule="auto"/>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5 Bienes duraderos</w:t>
            </w:r>
          </w:p>
        </w:tc>
        <w:tc>
          <w:tcPr>
            <w:tcW w:w="1916" w:type="dxa"/>
            <w:tcBorders>
              <w:top w:val="nil"/>
              <w:left w:val="nil"/>
              <w:bottom w:val="single" w:sz="4" w:space="0" w:color="auto"/>
              <w:right w:val="single" w:sz="4" w:space="0" w:color="auto"/>
            </w:tcBorders>
            <w:shd w:val="clear" w:color="auto" w:fill="auto"/>
            <w:noWrap/>
            <w:vAlign w:val="center"/>
            <w:hideMark/>
          </w:tcPr>
          <w:p w14:paraId="7D51FFC6"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   </w:t>
            </w:r>
          </w:p>
        </w:tc>
        <w:tc>
          <w:tcPr>
            <w:tcW w:w="832" w:type="dxa"/>
            <w:tcBorders>
              <w:top w:val="nil"/>
              <w:left w:val="nil"/>
              <w:bottom w:val="single" w:sz="4" w:space="0" w:color="auto"/>
              <w:right w:val="single" w:sz="4" w:space="0" w:color="auto"/>
            </w:tcBorders>
            <w:shd w:val="clear" w:color="000000" w:fill="FFFFFF"/>
            <w:noWrap/>
            <w:vAlign w:val="center"/>
            <w:hideMark/>
          </w:tcPr>
          <w:p w14:paraId="4DCE47DD"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0.00%</w:t>
            </w:r>
          </w:p>
        </w:tc>
        <w:tc>
          <w:tcPr>
            <w:tcW w:w="1869" w:type="dxa"/>
            <w:tcBorders>
              <w:top w:val="nil"/>
              <w:left w:val="nil"/>
              <w:bottom w:val="single" w:sz="4" w:space="0" w:color="auto"/>
              <w:right w:val="single" w:sz="4" w:space="0" w:color="auto"/>
            </w:tcBorders>
            <w:shd w:val="clear" w:color="000000" w:fill="FFFFFF"/>
            <w:noWrap/>
            <w:vAlign w:val="center"/>
            <w:hideMark/>
          </w:tcPr>
          <w:p w14:paraId="7DA7C9B7"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   </w:t>
            </w:r>
          </w:p>
        </w:tc>
        <w:tc>
          <w:tcPr>
            <w:tcW w:w="1042" w:type="dxa"/>
            <w:tcBorders>
              <w:top w:val="nil"/>
              <w:left w:val="nil"/>
              <w:bottom w:val="single" w:sz="4" w:space="0" w:color="auto"/>
              <w:right w:val="single" w:sz="4" w:space="0" w:color="auto"/>
            </w:tcBorders>
            <w:shd w:val="clear" w:color="000000" w:fill="FFFFFF"/>
            <w:noWrap/>
            <w:vAlign w:val="center"/>
            <w:hideMark/>
          </w:tcPr>
          <w:p w14:paraId="28F268EB"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0.00%</w:t>
            </w:r>
          </w:p>
        </w:tc>
        <w:tc>
          <w:tcPr>
            <w:tcW w:w="1639" w:type="dxa"/>
            <w:tcBorders>
              <w:top w:val="nil"/>
              <w:left w:val="nil"/>
              <w:bottom w:val="single" w:sz="4" w:space="0" w:color="auto"/>
              <w:right w:val="single" w:sz="4" w:space="0" w:color="auto"/>
            </w:tcBorders>
            <w:shd w:val="clear" w:color="000000" w:fill="FFFFFF"/>
            <w:noWrap/>
            <w:vAlign w:val="center"/>
            <w:hideMark/>
          </w:tcPr>
          <w:p w14:paraId="76AFC786"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   </w:t>
            </w:r>
          </w:p>
        </w:tc>
        <w:tc>
          <w:tcPr>
            <w:tcW w:w="893" w:type="dxa"/>
            <w:tcBorders>
              <w:top w:val="nil"/>
              <w:left w:val="nil"/>
              <w:bottom w:val="single" w:sz="4" w:space="0" w:color="auto"/>
              <w:right w:val="single" w:sz="4" w:space="0" w:color="auto"/>
            </w:tcBorders>
            <w:shd w:val="clear" w:color="000000" w:fill="FFFFFF"/>
            <w:noWrap/>
            <w:vAlign w:val="center"/>
            <w:hideMark/>
          </w:tcPr>
          <w:p w14:paraId="50865CCF"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0.00%</w:t>
            </w:r>
          </w:p>
        </w:tc>
      </w:tr>
      <w:tr w:rsidR="000D6B10" w:rsidRPr="000E4625" w14:paraId="53D65E91" w14:textId="77777777" w:rsidTr="000D6B10">
        <w:trPr>
          <w:trHeight w:val="229"/>
        </w:trPr>
        <w:tc>
          <w:tcPr>
            <w:tcW w:w="2086" w:type="dxa"/>
            <w:tcBorders>
              <w:top w:val="nil"/>
              <w:left w:val="single" w:sz="4" w:space="0" w:color="auto"/>
              <w:bottom w:val="single" w:sz="4" w:space="0" w:color="auto"/>
              <w:right w:val="single" w:sz="4" w:space="0" w:color="auto"/>
            </w:tcBorders>
            <w:shd w:val="clear" w:color="000000" w:fill="FFFFFF"/>
            <w:noWrap/>
            <w:vAlign w:val="center"/>
            <w:hideMark/>
          </w:tcPr>
          <w:p w14:paraId="0E7C798C" w14:textId="77777777" w:rsidR="000E4625" w:rsidRPr="000E4625" w:rsidRDefault="000E4625" w:rsidP="000E4625">
            <w:pPr>
              <w:spacing w:after="0" w:line="240" w:lineRule="auto"/>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6 Transferencias Corrientes</w:t>
            </w:r>
          </w:p>
        </w:tc>
        <w:tc>
          <w:tcPr>
            <w:tcW w:w="1916" w:type="dxa"/>
            <w:tcBorders>
              <w:top w:val="nil"/>
              <w:left w:val="nil"/>
              <w:bottom w:val="single" w:sz="4" w:space="0" w:color="auto"/>
              <w:right w:val="single" w:sz="4" w:space="0" w:color="auto"/>
            </w:tcBorders>
            <w:shd w:val="clear" w:color="auto" w:fill="auto"/>
            <w:noWrap/>
            <w:vAlign w:val="center"/>
            <w:hideMark/>
          </w:tcPr>
          <w:p w14:paraId="584FA67B"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712,331 </w:t>
            </w:r>
          </w:p>
        </w:tc>
        <w:tc>
          <w:tcPr>
            <w:tcW w:w="832" w:type="dxa"/>
            <w:tcBorders>
              <w:top w:val="nil"/>
              <w:left w:val="nil"/>
              <w:bottom w:val="single" w:sz="4" w:space="0" w:color="auto"/>
              <w:right w:val="single" w:sz="4" w:space="0" w:color="auto"/>
            </w:tcBorders>
            <w:shd w:val="clear" w:color="000000" w:fill="FFFFFF"/>
            <w:noWrap/>
            <w:vAlign w:val="center"/>
            <w:hideMark/>
          </w:tcPr>
          <w:p w14:paraId="02B2A67D"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0.02%</w:t>
            </w:r>
          </w:p>
        </w:tc>
        <w:tc>
          <w:tcPr>
            <w:tcW w:w="1869" w:type="dxa"/>
            <w:tcBorders>
              <w:top w:val="nil"/>
              <w:left w:val="nil"/>
              <w:bottom w:val="single" w:sz="4" w:space="0" w:color="auto"/>
              <w:right w:val="single" w:sz="4" w:space="0" w:color="auto"/>
            </w:tcBorders>
            <w:shd w:val="clear" w:color="000000" w:fill="FFFFFF"/>
            <w:noWrap/>
            <w:vAlign w:val="center"/>
            <w:hideMark/>
          </w:tcPr>
          <w:p w14:paraId="1AA9A8CF"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712,331 </w:t>
            </w:r>
          </w:p>
        </w:tc>
        <w:tc>
          <w:tcPr>
            <w:tcW w:w="1042" w:type="dxa"/>
            <w:tcBorders>
              <w:top w:val="nil"/>
              <w:left w:val="nil"/>
              <w:bottom w:val="single" w:sz="4" w:space="0" w:color="auto"/>
              <w:right w:val="single" w:sz="4" w:space="0" w:color="auto"/>
            </w:tcBorders>
            <w:shd w:val="clear" w:color="000000" w:fill="FFFFFF"/>
            <w:noWrap/>
            <w:vAlign w:val="center"/>
            <w:hideMark/>
          </w:tcPr>
          <w:p w14:paraId="79BDC4CC"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0.02%</w:t>
            </w:r>
          </w:p>
        </w:tc>
        <w:tc>
          <w:tcPr>
            <w:tcW w:w="1639" w:type="dxa"/>
            <w:tcBorders>
              <w:top w:val="nil"/>
              <w:left w:val="nil"/>
              <w:bottom w:val="single" w:sz="4" w:space="0" w:color="auto"/>
              <w:right w:val="single" w:sz="4" w:space="0" w:color="auto"/>
            </w:tcBorders>
            <w:shd w:val="clear" w:color="000000" w:fill="FFFFFF"/>
            <w:noWrap/>
            <w:vAlign w:val="center"/>
            <w:hideMark/>
          </w:tcPr>
          <w:p w14:paraId="0033AE6A"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   </w:t>
            </w:r>
          </w:p>
        </w:tc>
        <w:tc>
          <w:tcPr>
            <w:tcW w:w="893" w:type="dxa"/>
            <w:tcBorders>
              <w:top w:val="nil"/>
              <w:left w:val="nil"/>
              <w:bottom w:val="single" w:sz="4" w:space="0" w:color="auto"/>
              <w:right w:val="single" w:sz="4" w:space="0" w:color="auto"/>
            </w:tcBorders>
            <w:shd w:val="clear" w:color="000000" w:fill="FFFFFF"/>
            <w:noWrap/>
            <w:vAlign w:val="center"/>
            <w:hideMark/>
          </w:tcPr>
          <w:p w14:paraId="59B6C5FD"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18.00%</w:t>
            </w:r>
          </w:p>
        </w:tc>
      </w:tr>
      <w:tr w:rsidR="000D6B10" w:rsidRPr="000E4625" w14:paraId="796359EC" w14:textId="77777777" w:rsidTr="000D6B10">
        <w:trPr>
          <w:trHeight w:val="229"/>
        </w:trPr>
        <w:tc>
          <w:tcPr>
            <w:tcW w:w="2086" w:type="dxa"/>
            <w:tcBorders>
              <w:top w:val="nil"/>
              <w:left w:val="single" w:sz="4" w:space="0" w:color="auto"/>
              <w:bottom w:val="single" w:sz="4" w:space="0" w:color="auto"/>
              <w:right w:val="single" w:sz="4" w:space="0" w:color="auto"/>
            </w:tcBorders>
            <w:shd w:val="clear" w:color="000000" w:fill="FFFFFF"/>
            <w:noWrap/>
            <w:vAlign w:val="center"/>
            <w:hideMark/>
          </w:tcPr>
          <w:p w14:paraId="61F6B8DD" w14:textId="77777777" w:rsidR="000E4625" w:rsidRPr="000E4625" w:rsidRDefault="000E4625" w:rsidP="000E4625">
            <w:pPr>
              <w:spacing w:after="0" w:line="240" w:lineRule="auto"/>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7 Transferencias Corrientes</w:t>
            </w:r>
          </w:p>
        </w:tc>
        <w:tc>
          <w:tcPr>
            <w:tcW w:w="1916" w:type="dxa"/>
            <w:tcBorders>
              <w:top w:val="nil"/>
              <w:left w:val="nil"/>
              <w:bottom w:val="single" w:sz="4" w:space="0" w:color="auto"/>
              <w:right w:val="single" w:sz="4" w:space="0" w:color="auto"/>
            </w:tcBorders>
            <w:shd w:val="clear" w:color="auto" w:fill="auto"/>
            <w:noWrap/>
            <w:vAlign w:val="center"/>
            <w:hideMark/>
          </w:tcPr>
          <w:p w14:paraId="511EEE78"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3,279,193,995 </w:t>
            </w:r>
          </w:p>
        </w:tc>
        <w:tc>
          <w:tcPr>
            <w:tcW w:w="832" w:type="dxa"/>
            <w:tcBorders>
              <w:top w:val="nil"/>
              <w:left w:val="nil"/>
              <w:bottom w:val="single" w:sz="4" w:space="0" w:color="auto"/>
              <w:right w:val="single" w:sz="4" w:space="0" w:color="auto"/>
            </w:tcBorders>
            <w:shd w:val="clear" w:color="000000" w:fill="FFFFFF"/>
            <w:noWrap/>
            <w:vAlign w:val="center"/>
            <w:hideMark/>
          </w:tcPr>
          <w:p w14:paraId="2AAF58EC"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88.70%</w:t>
            </w:r>
          </w:p>
        </w:tc>
        <w:tc>
          <w:tcPr>
            <w:tcW w:w="1869" w:type="dxa"/>
            <w:tcBorders>
              <w:top w:val="nil"/>
              <w:left w:val="nil"/>
              <w:bottom w:val="single" w:sz="4" w:space="0" w:color="auto"/>
              <w:right w:val="single" w:sz="4" w:space="0" w:color="auto"/>
            </w:tcBorders>
            <w:shd w:val="clear" w:color="000000" w:fill="FFFFFF"/>
            <w:noWrap/>
            <w:vAlign w:val="center"/>
            <w:hideMark/>
          </w:tcPr>
          <w:p w14:paraId="23F31BB8"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3,279,193,995 </w:t>
            </w:r>
          </w:p>
        </w:tc>
        <w:tc>
          <w:tcPr>
            <w:tcW w:w="1042" w:type="dxa"/>
            <w:tcBorders>
              <w:top w:val="nil"/>
              <w:left w:val="nil"/>
              <w:bottom w:val="single" w:sz="4" w:space="0" w:color="auto"/>
              <w:right w:val="single" w:sz="4" w:space="0" w:color="auto"/>
            </w:tcBorders>
            <w:shd w:val="clear" w:color="000000" w:fill="FFFFFF"/>
            <w:noWrap/>
            <w:vAlign w:val="center"/>
            <w:hideMark/>
          </w:tcPr>
          <w:p w14:paraId="407B2E59"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88.77%</w:t>
            </w:r>
          </w:p>
        </w:tc>
        <w:tc>
          <w:tcPr>
            <w:tcW w:w="1639" w:type="dxa"/>
            <w:tcBorders>
              <w:top w:val="nil"/>
              <w:left w:val="nil"/>
              <w:bottom w:val="single" w:sz="4" w:space="0" w:color="auto"/>
              <w:right w:val="single" w:sz="4" w:space="0" w:color="auto"/>
            </w:tcBorders>
            <w:shd w:val="clear" w:color="000000" w:fill="FFFFFF"/>
            <w:noWrap/>
            <w:vAlign w:val="center"/>
            <w:hideMark/>
          </w:tcPr>
          <w:p w14:paraId="50ADD144"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   </w:t>
            </w:r>
          </w:p>
        </w:tc>
        <w:tc>
          <w:tcPr>
            <w:tcW w:w="893" w:type="dxa"/>
            <w:tcBorders>
              <w:top w:val="nil"/>
              <w:left w:val="nil"/>
              <w:bottom w:val="single" w:sz="4" w:space="0" w:color="auto"/>
              <w:right w:val="single" w:sz="4" w:space="0" w:color="auto"/>
            </w:tcBorders>
            <w:shd w:val="clear" w:color="000000" w:fill="FFFFFF"/>
            <w:noWrap/>
            <w:vAlign w:val="center"/>
            <w:hideMark/>
          </w:tcPr>
          <w:p w14:paraId="3741FBBD"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0.00%</w:t>
            </w:r>
          </w:p>
        </w:tc>
      </w:tr>
      <w:tr w:rsidR="000D6B10" w:rsidRPr="000E4625" w14:paraId="2E17793B" w14:textId="77777777" w:rsidTr="000D6B10">
        <w:trPr>
          <w:trHeight w:val="229"/>
        </w:trPr>
        <w:tc>
          <w:tcPr>
            <w:tcW w:w="2086" w:type="dxa"/>
            <w:tcBorders>
              <w:top w:val="nil"/>
              <w:left w:val="single" w:sz="4" w:space="0" w:color="auto"/>
              <w:bottom w:val="single" w:sz="4" w:space="0" w:color="auto"/>
              <w:right w:val="single" w:sz="4" w:space="0" w:color="auto"/>
            </w:tcBorders>
            <w:shd w:val="clear" w:color="000000" w:fill="FFFFFF"/>
            <w:noWrap/>
            <w:vAlign w:val="center"/>
            <w:hideMark/>
          </w:tcPr>
          <w:p w14:paraId="737DB1E3" w14:textId="77777777" w:rsidR="000E4625" w:rsidRPr="000E4625" w:rsidRDefault="000E4625" w:rsidP="000E4625">
            <w:pPr>
              <w:spacing w:after="0" w:line="240" w:lineRule="auto"/>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9 Cuentas Especiales</w:t>
            </w:r>
          </w:p>
        </w:tc>
        <w:tc>
          <w:tcPr>
            <w:tcW w:w="1916" w:type="dxa"/>
            <w:tcBorders>
              <w:top w:val="nil"/>
              <w:left w:val="nil"/>
              <w:bottom w:val="single" w:sz="4" w:space="0" w:color="auto"/>
              <w:right w:val="single" w:sz="4" w:space="0" w:color="auto"/>
            </w:tcBorders>
            <w:shd w:val="clear" w:color="auto" w:fill="auto"/>
            <w:noWrap/>
            <w:vAlign w:val="center"/>
            <w:hideMark/>
          </w:tcPr>
          <w:p w14:paraId="381E34BF"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   </w:t>
            </w:r>
          </w:p>
        </w:tc>
        <w:tc>
          <w:tcPr>
            <w:tcW w:w="832" w:type="dxa"/>
            <w:tcBorders>
              <w:top w:val="nil"/>
              <w:left w:val="nil"/>
              <w:bottom w:val="single" w:sz="4" w:space="0" w:color="auto"/>
              <w:right w:val="single" w:sz="4" w:space="0" w:color="auto"/>
            </w:tcBorders>
            <w:shd w:val="clear" w:color="000000" w:fill="FFFFFF"/>
            <w:noWrap/>
            <w:vAlign w:val="center"/>
            <w:hideMark/>
          </w:tcPr>
          <w:p w14:paraId="79DA50C9"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0.00%</w:t>
            </w:r>
          </w:p>
        </w:tc>
        <w:tc>
          <w:tcPr>
            <w:tcW w:w="1869" w:type="dxa"/>
            <w:tcBorders>
              <w:top w:val="nil"/>
              <w:left w:val="nil"/>
              <w:bottom w:val="single" w:sz="4" w:space="0" w:color="auto"/>
              <w:right w:val="single" w:sz="4" w:space="0" w:color="auto"/>
            </w:tcBorders>
            <w:shd w:val="clear" w:color="000000" w:fill="FFFFFF"/>
            <w:noWrap/>
            <w:vAlign w:val="center"/>
            <w:hideMark/>
          </w:tcPr>
          <w:p w14:paraId="475A2136"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   </w:t>
            </w:r>
          </w:p>
        </w:tc>
        <w:tc>
          <w:tcPr>
            <w:tcW w:w="1042" w:type="dxa"/>
            <w:tcBorders>
              <w:top w:val="nil"/>
              <w:left w:val="nil"/>
              <w:bottom w:val="single" w:sz="4" w:space="0" w:color="auto"/>
              <w:right w:val="single" w:sz="4" w:space="0" w:color="auto"/>
            </w:tcBorders>
            <w:shd w:val="clear" w:color="000000" w:fill="FFFFFF"/>
            <w:noWrap/>
            <w:vAlign w:val="center"/>
            <w:hideMark/>
          </w:tcPr>
          <w:p w14:paraId="67B8E790"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0.00%</w:t>
            </w:r>
          </w:p>
        </w:tc>
        <w:tc>
          <w:tcPr>
            <w:tcW w:w="1639" w:type="dxa"/>
            <w:tcBorders>
              <w:top w:val="nil"/>
              <w:left w:val="nil"/>
              <w:bottom w:val="single" w:sz="4" w:space="0" w:color="auto"/>
              <w:right w:val="single" w:sz="4" w:space="0" w:color="auto"/>
            </w:tcBorders>
            <w:shd w:val="clear" w:color="000000" w:fill="FFFFFF"/>
            <w:noWrap/>
            <w:vAlign w:val="center"/>
            <w:hideMark/>
          </w:tcPr>
          <w:p w14:paraId="3B985C13"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 xml:space="preserve">                                    -   </w:t>
            </w:r>
          </w:p>
        </w:tc>
        <w:tc>
          <w:tcPr>
            <w:tcW w:w="893" w:type="dxa"/>
            <w:tcBorders>
              <w:top w:val="nil"/>
              <w:left w:val="nil"/>
              <w:bottom w:val="single" w:sz="4" w:space="0" w:color="auto"/>
              <w:right w:val="single" w:sz="4" w:space="0" w:color="auto"/>
            </w:tcBorders>
            <w:shd w:val="clear" w:color="000000" w:fill="FFFFFF"/>
            <w:noWrap/>
            <w:vAlign w:val="center"/>
            <w:hideMark/>
          </w:tcPr>
          <w:p w14:paraId="5F1119CB" w14:textId="77777777" w:rsidR="000E4625" w:rsidRPr="000E4625" w:rsidRDefault="000E4625" w:rsidP="000E4625">
            <w:pPr>
              <w:spacing w:after="0" w:line="240" w:lineRule="auto"/>
              <w:jc w:val="right"/>
              <w:rPr>
                <w:rFonts w:ascii="Arial" w:eastAsia="Times New Roman" w:hAnsi="Arial" w:cs="Arial"/>
                <w:color w:val="000000"/>
                <w:sz w:val="16"/>
                <w:szCs w:val="16"/>
                <w:lang w:val="es-US" w:eastAsia="es-US"/>
              </w:rPr>
            </w:pPr>
            <w:r w:rsidRPr="000E4625">
              <w:rPr>
                <w:rFonts w:ascii="Arial" w:eastAsia="Times New Roman" w:hAnsi="Arial" w:cs="Arial"/>
                <w:color w:val="000000"/>
                <w:sz w:val="16"/>
                <w:szCs w:val="16"/>
                <w:lang w:val="es-US" w:eastAsia="es-US"/>
              </w:rPr>
              <w:t>0.00%</w:t>
            </w:r>
          </w:p>
        </w:tc>
      </w:tr>
      <w:tr w:rsidR="000D6B10" w:rsidRPr="000E4625" w14:paraId="2BEE188A" w14:textId="77777777" w:rsidTr="000D6B10">
        <w:trPr>
          <w:trHeight w:val="39"/>
        </w:trPr>
        <w:tc>
          <w:tcPr>
            <w:tcW w:w="2086" w:type="dxa"/>
            <w:tcBorders>
              <w:top w:val="nil"/>
              <w:left w:val="single" w:sz="4" w:space="0" w:color="auto"/>
              <w:bottom w:val="single" w:sz="4" w:space="0" w:color="auto"/>
              <w:right w:val="single" w:sz="4" w:space="0" w:color="auto"/>
            </w:tcBorders>
            <w:shd w:val="clear" w:color="000000" w:fill="00B050"/>
            <w:noWrap/>
            <w:vAlign w:val="center"/>
            <w:hideMark/>
          </w:tcPr>
          <w:p w14:paraId="5592A945" w14:textId="6DD3723D" w:rsidR="000E4625" w:rsidRPr="000E4625" w:rsidRDefault="000E4625" w:rsidP="000E4625">
            <w:pPr>
              <w:spacing w:after="0" w:line="240" w:lineRule="auto"/>
              <w:jc w:val="center"/>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 </w:t>
            </w:r>
            <w:r w:rsidR="000D6B10">
              <w:rPr>
                <w:rFonts w:ascii="Arial" w:eastAsia="Times New Roman" w:hAnsi="Arial" w:cs="Arial"/>
                <w:b/>
                <w:bCs/>
                <w:color w:val="000000"/>
                <w:sz w:val="16"/>
                <w:szCs w:val="16"/>
                <w:lang w:val="es-US" w:eastAsia="es-US"/>
              </w:rPr>
              <w:t>Total</w:t>
            </w:r>
          </w:p>
        </w:tc>
        <w:tc>
          <w:tcPr>
            <w:tcW w:w="1916" w:type="dxa"/>
            <w:tcBorders>
              <w:top w:val="nil"/>
              <w:left w:val="nil"/>
              <w:bottom w:val="single" w:sz="4" w:space="0" w:color="auto"/>
              <w:right w:val="single" w:sz="4" w:space="0" w:color="auto"/>
            </w:tcBorders>
            <w:shd w:val="clear" w:color="000000" w:fill="00B050"/>
            <w:noWrap/>
            <w:vAlign w:val="center"/>
            <w:hideMark/>
          </w:tcPr>
          <w:p w14:paraId="767497ED" w14:textId="0E4F12AB" w:rsidR="000E4625" w:rsidRPr="000E4625" w:rsidRDefault="000E4625" w:rsidP="000E4625">
            <w:pPr>
              <w:spacing w:after="0" w:line="240" w:lineRule="auto"/>
              <w:jc w:val="right"/>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 xml:space="preserve">         3,696,908,676 </w:t>
            </w:r>
          </w:p>
        </w:tc>
        <w:tc>
          <w:tcPr>
            <w:tcW w:w="832" w:type="dxa"/>
            <w:tcBorders>
              <w:top w:val="nil"/>
              <w:left w:val="nil"/>
              <w:bottom w:val="single" w:sz="4" w:space="0" w:color="auto"/>
              <w:right w:val="single" w:sz="4" w:space="0" w:color="auto"/>
            </w:tcBorders>
            <w:shd w:val="clear" w:color="000000" w:fill="00B050"/>
            <w:noWrap/>
            <w:vAlign w:val="center"/>
            <w:hideMark/>
          </w:tcPr>
          <w:p w14:paraId="71F55375" w14:textId="77777777" w:rsidR="000E4625" w:rsidRPr="000E4625" w:rsidRDefault="000E4625" w:rsidP="000E4625">
            <w:pPr>
              <w:spacing w:after="0" w:line="240" w:lineRule="auto"/>
              <w:jc w:val="right"/>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100.00%</w:t>
            </w:r>
          </w:p>
        </w:tc>
        <w:tc>
          <w:tcPr>
            <w:tcW w:w="1869" w:type="dxa"/>
            <w:tcBorders>
              <w:top w:val="nil"/>
              <w:left w:val="nil"/>
              <w:bottom w:val="single" w:sz="4" w:space="0" w:color="auto"/>
              <w:right w:val="single" w:sz="4" w:space="0" w:color="auto"/>
            </w:tcBorders>
            <w:shd w:val="clear" w:color="000000" w:fill="00B050"/>
            <w:noWrap/>
            <w:vAlign w:val="center"/>
            <w:hideMark/>
          </w:tcPr>
          <w:p w14:paraId="6B8FB327" w14:textId="5A04CAAB" w:rsidR="000E4625" w:rsidRPr="000E4625" w:rsidRDefault="000E4625" w:rsidP="000E4625">
            <w:pPr>
              <w:spacing w:after="0" w:line="240" w:lineRule="auto"/>
              <w:jc w:val="right"/>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 xml:space="preserve">               3,694,052,500 </w:t>
            </w:r>
          </w:p>
        </w:tc>
        <w:tc>
          <w:tcPr>
            <w:tcW w:w="1042" w:type="dxa"/>
            <w:tcBorders>
              <w:top w:val="nil"/>
              <w:left w:val="nil"/>
              <w:bottom w:val="single" w:sz="4" w:space="0" w:color="auto"/>
              <w:right w:val="single" w:sz="4" w:space="0" w:color="auto"/>
            </w:tcBorders>
            <w:shd w:val="clear" w:color="000000" w:fill="00B050"/>
            <w:noWrap/>
            <w:vAlign w:val="center"/>
            <w:hideMark/>
          </w:tcPr>
          <w:p w14:paraId="02D8BE8E" w14:textId="77777777" w:rsidR="000E4625" w:rsidRPr="000E4625" w:rsidRDefault="000E4625" w:rsidP="000E4625">
            <w:pPr>
              <w:spacing w:after="0" w:line="240" w:lineRule="auto"/>
              <w:jc w:val="right"/>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100.00%</w:t>
            </w:r>
          </w:p>
        </w:tc>
        <w:tc>
          <w:tcPr>
            <w:tcW w:w="1639" w:type="dxa"/>
            <w:tcBorders>
              <w:top w:val="nil"/>
              <w:left w:val="nil"/>
              <w:bottom w:val="single" w:sz="4" w:space="0" w:color="auto"/>
              <w:right w:val="single" w:sz="4" w:space="0" w:color="auto"/>
            </w:tcBorders>
            <w:shd w:val="clear" w:color="000000" w:fill="00B050"/>
            <w:noWrap/>
            <w:vAlign w:val="center"/>
            <w:hideMark/>
          </w:tcPr>
          <w:p w14:paraId="501309E7" w14:textId="411EF3D3" w:rsidR="000E4625" w:rsidRPr="000E4625" w:rsidRDefault="000E4625" w:rsidP="000E4625">
            <w:pPr>
              <w:spacing w:after="0" w:line="240" w:lineRule="auto"/>
              <w:jc w:val="right"/>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 xml:space="preserve">            2,856,175.77 </w:t>
            </w:r>
          </w:p>
        </w:tc>
        <w:tc>
          <w:tcPr>
            <w:tcW w:w="893" w:type="dxa"/>
            <w:tcBorders>
              <w:top w:val="nil"/>
              <w:left w:val="nil"/>
              <w:bottom w:val="single" w:sz="4" w:space="0" w:color="auto"/>
              <w:right w:val="single" w:sz="4" w:space="0" w:color="auto"/>
            </w:tcBorders>
            <w:shd w:val="clear" w:color="000000" w:fill="00B050"/>
            <w:noWrap/>
            <w:vAlign w:val="center"/>
            <w:hideMark/>
          </w:tcPr>
          <w:p w14:paraId="056FC53B" w14:textId="77777777" w:rsidR="000E4625" w:rsidRPr="000E4625" w:rsidRDefault="000E4625" w:rsidP="000E4625">
            <w:pPr>
              <w:spacing w:after="0" w:line="240" w:lineRule="auto"/>
              <w:jc w:val="right"/>
              <w:rPr>
                <w:rFonts w:ascii="Arial" w:eastAsia="Times New Roman" w:hAnsi="Arial" w:cs="Arial"/>
                <w:b/>
                <w:bCs/>
                <w:color w:val="000000"/>
                <w:sz w:val="16"/>
                <w:szCs w:val="16"/>
                <w:lang w:val="es-US" w:eastAsia="es-US"/>
              </w:rPr>
            </w:pPr>
            <w:r w:rsidRPr="000E4625">
              <w:rPr>
                <w:rFonts w:ascii="Arial" w:eastAsia="Times New Roman" w:hAnsi="Arial" w:cs="Arial"/>
                <w:b/>
                <w:bCs/>
                <w:color w:val="000000"/>
                <w:sz w:val="16"/>
                <w:szCs w:val="16"/>
                <w:lang w:val="es-US" w:eastAsia="es-US"/>
              </w:rPr>
              <w:t>100.00%</w:t>
            </w:r>
          </w:p>
        </w:tc>
      </w:tr>
    </w:tbl>
    <w:p w14:paraId="2723A994" w14:textId="77777777" w:rsidR="00570522" w:rsidRPr="00F31BF4" w:rsidRDefault="00570522" w:rsidP="00C73784">
      <w:pPr>
        <w:spacing w:after="0" w:line="240" w:lineRule="auto"/>
        <w:rPr>
          <w:b/>
          <w:sz w:val="12"/>
          <w:szCs w:val="12"/>
          <w:highlight w:val="lightGray"/>
        </w:rPr>
      </w:pPr>
    </w:p>
    <w:p w14:paraId="1E2D5E2F" w14:textId="77777777" w:rsidR="00570522" w:rsidRPr="00F31BF4" w:rsidRDefault="00570522" w:rsidP="00C73784">
      <w:pPr>
        <w:spacing w:after="0" w:line="240" w:lineRule="auto"/>
        <w:rPr>
          <w:b/>
          <w:sz w:val="12"/>
          <w:szCs w:val="12"/>
          <w:highlight w:val="lightGray"/>
        </w:rPr>
      </w:pPr>
    </w:p>
    <w:p w14:paraId="6BFFBA84" w14:textId="77777777" w:rsidR="00445408" w:rsidRDefault="00445408" w:rsidP="0024323E">
      <w:pPr>
        <w:spacing w:after="0" w:line="240" w:lineRule="auto"/>
        <w:jc w:val="both"/>
        <w:rPr>
          <w:rFonts w:ascii="Arial" w:hAnsi="Arial" w:cs="Arial"/>
          <w:bCs/>
          <w:sz w:val="24"/>
          <w:szCs w:val="24"/>
        </w:rPr>
      </w:pPr>
    </w:p>
    <w:p w14:paraId="1BC33A09" w14:textId="73E67ABE" w:rsidR="0006122B" w:rsidRPr="00B07523" w:rsidRDefault="00393404" w:rsidP="0024323E">
      <w:pPr>
        <w:spacing w:after="0" w:line="240" w:lineRule="auto"/>
        <w:jc w:val="both"/>
        <w:rPr>
          <w:rFonts w:ascii="Arial" w:hAnsi="Arial" w:cs="Arial"/>
          <w:bCs/>
          <w:sz w:val="24"/>
          <w:szCs w:val="24"/>
        </w:rPr>
      </w:pPr>
      <w:r w:rsidRPr="00B07523">
        <w:rPr>
          <w:rFonts w:ascii="Arial" w:hAnsi="Arial" w:cs="Arial"/>
          <w:bCs/>
          <w:sz w:val="24"/>
          <w:szCs w:val="24"/>
        </w:rPr>
        <w:t>Como</w:t>
      </w:r>
      <w:r w:rsidR="001D2DC6" w:rsidRPr="00B07523">
        <w:rPr>
          <w:rFonts w:ascii="Arial" w:hAnsi="Arial" w:cs="Arial"/>
          <w:bCs/>
          <w:sz w:val="24"/>
          <w:szCs w:val="24"/>
        </w:rPr>
        <w:t xml:space="preserve"> se muestra en el cuadro anterior, se cuenta con dos programas presupuestarios, el programa Financiamiento Ambiental Forestal en el cual se ejecutó la suma de </w:t>
      </w:r>
      <w:r w:rsidR="001D2DC6" w:rsidRPr="00B07523">
        <w:rPr>
          <w:rFonts w:ascii="Arial" w:hAnsi="Arial" w:cs="Arial"/>
          <w:b/>
          <w:bCs/>
          <w:sz w:val="24"/>
          <w:szCs w:val="24"/>
        </w:rPr>
        <w:t>¢</w:t>
      </w:r>
      <w:r w:rsidR="000D6B10">
        <w:rPr>
          <w:rFonts w:ascii="Arial" w:hAnsi="Arial" w:cs="Arial"/>
          <w:b/>
          <w:bCs/>
          <w:sz w:val="24"/>
          <w:szCs w:val="24"/>
        </w:rPr>
        <w:t>3.694.052.500</w:t>
      </w:r>
      <w:r w:rsidR="001D2DC6" w:rsidRPr="00B07523">
        <w:rPr>
          <w:rFonts w:ascii="Arial" w:hAnsi="Arial" w:cs="Arial"/>
          <w:bCs/>
          <w:sz w:val="24"/>
          <w:szCs w:val="24"/>
        </w:rPr>
        <w:t xml:space="preserve"> y el programa Proyectos Especiales, en el cual se ejecutó la suma de </w:t>
      </w:r>
      <w:r w:rsidR="001D2DC6" w:rsidRPr="00B07523">
        <w:rPr>
          <w:rFonts w:ascii="Arial" w:hAnsi="Arial" w:cs="Arial"/>
          <w:b/>
          <w:bCs/>
          <w:sz w:val="24"/>
          <w:szCs w:val="24"/>
        </w:rPr>
        <w:t>¢</w:t>
      </w:r>
      <w:r w:rsidR="004942CC">
        <w:rPr>
          <w:rFonts w:ascii="Arial" w:hAnsi="Arial" w:cs="Arial"/>
          <w:b/>
          <w:bCs/>
          <w:sz w:val="24"/>
          <w:szCs w:val="24"/>
        </w:rPr>
        <w:t>2.856.175,77</w:t>
      </w:r>
      <w:r w:rsidR="001D2DC6" w:rsidRPr="00B07523">
        <w:rPr>
          <w:rFonts w:ascii="Arial" w:hAnsi="Arial" w:cs="Arial"/>
          <w:bCs/>
          <w:sz w:val="24"/>
          <w:szCs w:val="24"/>
        </w:rPr>
        <w:t>.</w:t>
      </w:r>
    </w:p>
    <w:p w14:paraId="2B961DB3" w14:textId="77777777" w:rsidR="0006122B" w:rsidRPr="00F31BF4" w:rsidRDefault="0006122B" w:rsidP="0024323E">
      <w:pPr>
        <w:spacing w:after="0" w:line="240" w:lineRule="auto"/>
        <w:jc w:val="both"/>
        <w:rPr>
          <w:b/>
          <w:sz w:val="12"/>
          <w:szCs w:val="12"/>
          <w:highlight w:val="lightGray"/>
        </w:rPr>
      </w:pPr>
    </w:p>
    <w:p w14:paraId="490AC0F1" w14:textId="75841054" w:rsidR="00570522" w:rsidRDefault="00570522" w:rsidP="00C73784">
      <w:pPr>
        <w:spacing w:after="0" w:line="240" w:lineRule="auto"/>
        <w:rPr>
          <w:b/>
          <w:sz w:val="12"/>
          <w:szCs w:val="12"/>
        </w:rPr>
      </w:pPr>
    </w:p>
    <w:p w14:paraId="667365D1" w14:textId="77777777" w:rsidR="00CA636A" w:rsidRPr="001539B5" w:rsidRDefault="00CA636A" w:rsidP="00C73784">
      <w:pPr>
        <w:spacing w:after="0" w:line="240" w:lineRule="auto"/>
        <w:rPr>
          <w:b/>
          <w:sz w:val="12"/>
          <w:szCs w:val="12"/>
        </w:rPr>
      </w:pPr>
    </w:p>
    <w:p w14:paraId="3C98C806" w14:textId="77777777" w:rsidR="00570522" w:rsidRPr="001539B5" w:rsidRDefault="00570522" w:rsidP="00D5596F">
      <w:pPr>
        <w:pStyle w:val="Prrafodelista"/>
        <w:numPr>
          <w:ilvl w:val="0"/>
          <w:numId w:val="4"/>
        </w:numPr>
        <w:spacing w:after="0" w:line="240" w:lineRule="auto"/>
        <w:outlineLvl w:val="1"/>
        <w:rPr>
          <w:rFonts w:ascii="Arial" w:hAnsi="Arial" w:cs="Arial"/>
          <w:b/>
        </w:rPr>
      </w:pPr>
      <w:bookmarkStart w:id="25" w:name="_Toc109980606"/>
      <w:r w:rsidRPr="001539B5">
        <w:rPr>
          <w:rFonts w:ascii="Arial" w:hAnsi="Arial" w:cs="Arial"/>
          <w:b/>
        </w:rPr>
        <w:t>LIQUIDACION PRESUPUESTARIA</w:t>
      </w:r>
      <w:bookmarkEnd w:id="25"/>
    </w:p>
    <w:p w14:paraId="4C3E6C4A" w14:textId="77777777" w:rsidR="00570522" w:rsidRPr="001539B5" w:rsidRDefault="00570522" w:rsidP="00570522">
      <w:pPr>
        <w:pStyle w:val="Prrafodelista"/>
        <w:spacing w:after="0" w:line="240" w:lineRule="auto"/>
        <w:rPr>
          <w:rFonts w:ascii="Arial" w:hAnsi="Arial" w:cs="Arial"/>
          <w:b/>
        </w:rPr>
      </w:pPr>
    </w:p>
    <w:p w14:paraId="11CD321F" w14:textId="77777777" w:rsidR="00570522" w:rsidRPr="000D6B10" w:rsidRDefault="00570522" w:rsidP="00570522">
      <w:pPr>
        <w:spacing w:after="0" w:line="240" w:lineRule="auto"/>
        <w:rPr>
          <w:rFonts w:ascii="Arial" w:hAnsi="Arial" w:cs="Arial"/>
          <w:sz w:val="24"/>
          <w:szCs w:val="24"/>
        </w:rPr>
      </w:pPr>
    </w:p>
    <w:p w14:paraId="08087D92" w14:textId="5BBD7C56" w:rsidR="00EF41CA" w:rsidRPr="000D6B10" w:rsidRDefault="00570522" w:rsidP="00570522">
      <w:pPr>
        <w:spacing w:after="0" w:line="240" w:lineRule="auto"/>
        <w:jc w:val="both"/>
        <w:rPr>
          <w:rFonts w:ascii="Arial" w:hAnsi="Arial" w:cs="Arial"/>
          <w:sz w:val="24"/>
          <w:szCs w:val="24"/>
        </w:rPr>
      </w:pPr>
      <w:r w:rsidRPr="000D6B10">
        <w:rPr>
          <w:rFonts w:ascii="Arial" w:hAnsi="Arial" w:cs="Arial"/>
          <w:sz w:val="24"/>
          <w:szCs w:val="24"/>
        </w:rPr>
        <w:t xml:space="preserve">En el siguiente cuadro se resume el resultado de la ejecución presupuestaria del Fideicomiso 544 FONAFIFO/BNCR </w:t>
      </w:r>
      <w:r w:rsidR="001539B5" w:rsidRPr="000D6B10">
        <w:rPr>
          <w:rFonts w:ascii="Arial" w:hAnsi="Arial" w:cs="Arial"/>
          <w:sz w:val="24"/>
          <w:szCs w:val="24"/>
        </w:rPr>
        <w:t>del primer semestre</w:t>
      </w:r>
      <w:r w:rsidR="00380DA2" w:rsidRPr="000D6B10">
        <w:rPr>
          <w:rFonts w:ascii="Arial" w:hAnsi="Arial" w:cs="Arial"/>
          <w:sz w:val="24"/>
          <w:szCs w:val="24"/>
        </w:rPr>
        <w:t xml:space="preserve"> 20</w:t>
      </w:r>
      <w:r w:rsidR="00F32309" w:rsidRPr="000D6B10">
        <w:rPr>
          <w:rFonts w:ascii="Arial" w:hAnsi="Arial" w:cs="Arial"/>
          <w:sz w:val="24"/>
          <w:szCs w:val="24"/>
        </w:rPr>
        <w:t>2</w:t>
      </w:r>
      <w:r w:rsidR="001539B5" w:rsidRPr="000D6B10">
        <w:rPr>
          <w:rFonts w:ascii="Arial" w:hAnsi="Arial" w:cs="Arial"/>
          <w:sz w:val="24"/>
          <w:szCs w:val="24"/>
        </w:rPr>
        <w:t>2</w:t>
      </w:r>
      <w:r w:rsidR="00380DA2" w:rsidRPr="000D6B10">
        <w:rPr>
          <w:rFonts w:ascii="Arial" w:hAnsi="Arial" w:cs="Arial"/>
          <w:sz w:val="24"/>
          <w:szCs w:val="24"/>
        </w:rPr>
        <w:t xml:space="preserve">: </w:t>
      </w:r>
    </w:p>
    <w:p w14:paraId="48C60741" w14:textId="732DEA8D" w:rsidR="00EA54FE" w:rsidRDefault="00EA54FE" w:rsidP="00570522">
      <w:pPr>
        <w:spacing w:after="0" w:line="240" w:lineRule="auto"/>
        <w:jc w:val="both"/>
        <w:rPr>
          <w:rFonts w:ascii="Arial" w:hAnsi="Arial" w:cs="Arial"/>
          <w:highlight w:val="lightGray"/>
        </w:rPr>
      </w:pPr>
    </w:p>
    <w:p w14:paraId="438C0E85" w14:textId="6F15E259" w:rsidR="000D6B10" w:rsidRDefault="000D6B10" w:rsidP="00570522">
      <w:pPr>
        <w:spacing w:after="0" w:line="240" w:lineRule="auto"/>
        <w:jc w:val="both"/>
        <w:rPr>
          <w:rFonts w:ascii="Arial" w:hAnsi="Arial" w:cs="Arial"/>
          <w:highlight w:val="lightGray"/>
        </w:rPr>
      </w:pPr>
    </w:p>
    <w:p w14:paraId="35996EF6" w14:textId="5A42AC4E" w:rsidR="000D6B10" w:rsidRDefault="000D6B10" w:rsidP="00570522">
      <w:pPr>
        <w:spacing w:after="0" w:line="240" w:lineRule="auto"/>
        <w:jc w:val="both"/>
        <w:rPr>
          <w:rFonts w:ascii="Arial" w:hAnsi="Arial" w:cs="Arial"/>
          <w:highlight w:val="lightGray"/>
        </w:rPr>
      </w:pPr>
    </w:p>
    <w:p w14:paraId="4AD91D7A" w14:textId="064CB5CE" w:rsidR="000D6B10" w:rsidRDefault="000D6B10" w:rsidP="00570522">
      <w:pPr>
        <w:spacing w:after="0" w:line="240" w:lineRule="auto"/>
        <w:jc w:val="both"/>
        <w:rPr>
          <w:rFonts w:ascii="Arial" w:hAnsi="Arial" w:cs="Arial"/>
          <w:highlight w:val="lightGray"/>
        </w:rPr>
      </w:pPr>
    </w:p>
    <w:p w14:paraId="47E74334" w14:textId="0E09F18B" w:rsidR="000D6B10" w:rsidRDefault="000D6B10" w:rsidP="00570522">
      <w:pPr>
        <w:spacing w:after="0" w:line="240" w:lineRule="auto"/>
        <w:jc w:val="both"/>
        <w:rPr>
          <w:rFonts w:ascii="Arial" w:hAnsi="Arial" w:cs="Arial"/>
          <w:highlight w:val="lightGray"/>
        </w:rPr>
      </w:pPr>
    </w:p>
    <w:p w14:paraId="2E841832" w14:textId="1CA10092" w:rsidR="000D6B10" w:rsidRDefault="000D6B10" w:rsidP="00570522">
      <w:pPr>
        <w:spacing w:after="0" w:line="240" w:lineRule="auto"/>
        <w:jc w:val="both"/>
        <w:rPr>
          <w:rFonts w:ascii="Arial" w:hAnsi="Arial" w:cs="Arial"/>
          <w:highlight w:val="lightGray"/>
        </w:rPr>
      </w:pPr>
    </w:p>
    <w:p w14:paraId="679FA2AD" w14:textId="7230A52E" w:rsidR="000D6B10" w:rsidRDefault="000D6B10" w:rsidP="00570522">
      <w:pPr>
        <w:spacing w:after="0" w:line="240" w:lineRule="auto"/>
        <w:jc w:val="both"/>
        <w:rPr>
          <w:rFonts w:ascii="Arial" w:hAnsi="Arial" w:cs="Arial"/>
          <w:highlight w:val="lightGray"/>
        </w:rPr>
      </w:pPr>
    </w:p>
    <w:p w14:paraId="4F3DC9D9" w14:textId="107578A7" w:rsidR="000D6B10" w:rsidRDefault="000D6B10" w:rsidP="00570522">
      <w:pPr>
        <w:spacing w:after="0" w:line="240" w:lineRule="auto"/>
        <w:jc w:val="both"/>
        <w:rPr>
          <w:rFonts w:ascii="Arial" w:hAnsi="Arial" w:cs="Arial"/>
          <w:highlight w:val="lightGray"/>
        </w:rPr>
      </w:pPr>
    </w:p>
    <w:p w14:paraId="05A26AF3" w14:textId="42ED9C4E" w:rsidR="000D6B10" w:rsidRDefault="000D6B10" w:rsidP="00570522">
      <w:pPr>
        <w:spacing w:after="0" w:line="240" w:lineRule="auto"/>
        <w:jc w:val="both"/>
        <w:rPr>
          <w:rFonts w:ascii="Arial" w:hAnsi="Arial" w:cs="Arial"/>
          <w:highlight w:val="lightGray"/>
        </w:rPr>
      </w:pPr>
    </w:p>
    <w:p w14:paraId="309246BC" w14:textId="76B0716F" w:rsidR="000D6B10" w:rsidRDefault="000D6B10" w:rsidP="00570522">
      <w:pPr>
        <w:spacing w:after="0" w:line="240" w:lineRule="auto"/>
        <w:jc w:val="both"/>
        <w:rPr>
          <w:rFonts w:ascii="Arial" w:hAnsi="Arial" w:cs="Arial"/>
          <w:highlight w:val="lightGray"/>
        </w:rPr>
      </w:pPr>
    </w:p>
    <w:p w14:paraId="69FCB90A" w14:textId="1F53AF71" w:rsidR="000D6B10" w:rsidRDefault="000D6B10" w:rsidP="00570522">
      <w:pPr>
        <w:spacing w:after="0" w:line="240" w:lineRule="auto"/>
        <w:jc w:val="both"/>
        <w:rPr>
          <w:rFonts w:ascii="Arial" w:hAnsi="Arial" w:cs="Arial"/>
          <w:highlight w:val="lightGray"/>
        </w:rPr>
      </w:pPr>
    </w:p>
    <w:p w14:paraId="701131CF" w14:textId="77777777" w:rsidR="00570522" w:rsidRPr="00EA54FE" w:rsidRDefault="00570522" w:rsidP="00570522">
      <w:pPr>
        <w:spacing w:after="0" w:line="240" w:lineRule="auto"/>
        <w:rPr>
          <w:rFonts w:ascii="Arial" w:hAnsi="Arial" w:cs="Arial"/>
        </w:rPr>
      </w:pPr>
    </w:p>
    <w:p w14:paraId="50C6331B" w14:textId="0229E918" w:rsidR="00570522" w:rsidRPr="00EA54FE" w:rsidRDefault="006D661E" w:rsidP="006D661E">
      <w:pPr>
        <w:spacing w:after="0" w:line="240" w:lineRule="auto"/>
        <w:jc w:val="center"/>
        <w:rPr>
          <w:rFonts w:ascii="Arial" w:hAnsi="Arial" w:cs="Arial"/>
          <w:sz w:val="24"/>
          <w:szCs w:val="24"/>
        </w:rPr>
      </w:pPr>
      <w:r w:rsidRPr="006D661E">
        <w:rPr>
          <w:noProof/>
          <w:lang w:val="es-MX" w:eastAsia="es-MX"/>
        </w:rPr>
        <w:drawing>
          <wp:inline distT="0" distB="0" distL="0" distR="0" wp14:anchorId="67249DE2" wp14:editId="286D3F80">
            <wp:extent cx="4543425" cy="29527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3425" cy="2952750"/>
                    </a:xfrm>
                    <a:prstGeom prst="rect">
                      <a:avLst/>
                    </a:prstGeom>
                    <a:noFill/>
                    <a:ln>
                      <a:noFill/>
                    </a:ln>
                  </pic:spPr>
                </pic:pic>
              </a:graphicData>
            </a:graphic>
          </wp:inline>
        </w:drawing>
      </w:r>
    </w:p>
    <w:p w14:paraId="5EA368AD" w14:textId="56304227" w:rsidR="00570522" w:rsidRDefault="00570522" w:rsidP="00570522">
      <w:pPr>
        <w:spacing w:after="0" w:line="240" w:lineRule="auto"/>
        <w:rPr>
          <w:rFonts w:ascii="Arial" w:hAnsi="Arial" w:cs="Arial"/>
          <w:sz w:val="24"/>
          <w:szCs w:val="24"/>
        </w:rPr>
      </w:pPr>
    </w:p>
    <w:p w14:paraId="1466AAD0" w14:textId="3DE0A090" w:rsidR="00140558" w:rsidRDefault="00140558" w:rsidP="00570522">
      <w:pPr>
        <w:spacing w:after="0" w:line="240" w:lineRule="auto"/>
        <w:rPr>
          <w:rFonts w:ascii="Arial" w:hAnsi="Arial" w:cs="Arial"/>
          <w:sz w:val="24"/>
          <w:szCs w:val="24"/>
        </w:rPr>
      </w:pPr>
    </w:p>
    <w:p w14:paraId="6164D670" w14:textId="2BBEE172" w:rsidR="00140558" w:rsidRPr="00CA636A" w:rsidRDefault="00140558" w:rsidP="00140558">
      <w:pPr>
        <w:jc w:val="both"/>
        <w:rPr>
          <w:rFonts w:ascii="Arial" w:eastAsiaTheme="minorEastAsia" w:hAnsi="Arial" w:cs="Arial"/>
          <w:color w:val="000000" w:themeColor="text1"/>
          <w:sz w:val="24"/>
          <w:lang w:eastAsia="es-CR"/>
        </w:rPr>
      </w:pPr>
      <w:r w:rsidRPr="00CA636A">
        <w:rPr>
          <w:rFonts w:ascii="Arial" w:eastAsiaTheme="minorEastAsia" w:hAnsi="Arial" w:cs="Arial"/>
          <w:color w:val="000000" w:themeColor="text1"/>
          <w:sz w:val="24"/>
          <w:lang w:eastAsia="es-CR"/>
        </w:rPr>
        <w:t>De acuerdo a la liquidación anterior el superávit específico por la suma de ¢</w:t>
      </w:r>
      <w:r w:rsidR="000D6B10">
        <w:rPr>
          <w:rFonts w:ascii="Arial" w:eastAsiaTheme="minorEastAsia" w:hAnsi="Arial" w:cs="Arial"/>
          <w:color w:val="000000" w:themeColor="text1"/>
          <w:sz w:val="24"/>
          <w:lang w:eastAsia="es-CR"/>
        </w:rPr>
        <w:t>20.761.197.187</w:t>
      </w:r>
      <w:r w:rsidRPr="00CA636A">
        <w:rPr>
          <w:rFonts w:ascii="Arial" w:eastAsiaTheme="minorEastAsia" w:hAnsi="Arial" w:cs="Arial"/>
          <w:color w:val="000000" w:themeColor="text1"/>
          <w:sz w:val="24"/>
          <w:lang w:eastAsia="es-CR"/>
        </w:rPr>
        <w:t xml:space="preserve">, corresponde a recursos que financian principalmente obligaciones por pago de </w:t>
      </w:r>
      <w:r w:rsidR="000D6B10">
        <w:rPr>
          <w:rFonts w:ascii="Arial" w:eastAsiaTheme="minorEastAsia" w:hAnsi="Arial" w:cs="Arial"/>
          <w:color w:val="000000" w:themeColor="text1"/>
          <w:sz w:val="24"/>
          <w:lang w:eastAsia="es-CR"/>
        </w:rPr>
        <w:t xml:space="preserve">PSA y CREF, así como los </w:t>
      </w:r>
      <w:r w:rsidRPr="00CA636A">
        <w:rPr>
          <w:rFonts w:ascii="Arial" w:eastAsiaTheme="minorEastAsia" w:hAnsi="Arial" w:cs="Arial"/>
          <w:color w:val="000000" w:themeColor="text1"/>
          <w:sz w:val="24"/>
          <w:lang w:eastAsia="es-CR"/>
        </w:rPr>
        <w:t>gastos operativos</w:t>
      </w:r>
      <w:r w:rsidR="000D6B10">
        <w:rPr>
          <w:rFonts w:ascii="Arial" w:eastAsiaTheme="minorEastAsia" w:hAnsi="Arial" w:cs="Arial"/>
          <w:color w:val="000000" w:themeColor="text1"/>
          <w:sz w:val="24"/>
          <w:lang w:eastAsia="es-CR"/>
        </w:rPr>
        <w:t xml:space="preserve"> que estos conlleven</w:t>
      </w:r>
      <w:r w:rsidRPr="00CA636A">
        <w:rPr>
          <w:rFonts w:ascii="Arial" w:eastAsiaTheme="minorEastAsia" w:hAnsi="Arial" w:cs="Arial"/>
          <w:color w:val="000000" w:themeColor="text1"/>
          <w:sz w:val="24"/>
          <w:lang w:eastAsia="es-CR"/>
        </w:rPr>
        <w:t>.</w:t>
      </w:r>
    </w:p>
    <w:p w14:paraId="20DA0D4F" w14:textId="55B3E310" w:rsidR="00B17AAD" w:rsidRDefault="00B17AAD" w:rsidP="00140558">
      <w:pPr>
        <w:jc w:val="both"/>
        <w:rPr>
          <w:rFonts w:ascii="Arial" w:eastAsiaTheme="minorEastAsia" w:hAnsi="Arial" w:cs="Arial"/>
          <w:color w:val="FF0000"/>
          <w:lang w:eastAsia="es-CR"/>
        </w:rPr>
      </w:pPr>
      <w:bookmarkStart w:id="26" w:name="_Hlk109987104"/>
    </w:p>
    <w:p w14:paraId="73CF1DEC" w14:textId="77777777" w:rsidR="004152A3" w:rsidRPr="00CD1BBF" w:rsidRDefault="004152A3" w:rsidP="004152A3">
      <w:pPr>
        <w:pStyle w:val="Ttulo2"/>
        <w:spacing w:before="0"/>
        <w:rPr>
          <w:rFonts w:ascii="Arial" w:eastAsia="Times New Roman" w:hAnsi="Arial" w:cs="Arial"/>
          <w:color w:val="auto"/>
          <w:sz w:val="24"/>
          <w:szCs w:val="24"/>
          <w:lang w:eastAsia="es-CR"/>
        </w:rPr>
      </w:pPr>
      <w:bookmarkStart w:id="27" w:name="_Toc78530421"/>
      <w:bookmarkStart w:id="28" w:name="_Toc109980607"/>
      <w:bookmarkStart w:id="29" w:name="_Hlk94520691"/>
      <w:r w:rsidRPr="00CD1BBF">
        <w:rPr>
          <w:rFonts w:ascii="Arial" w:eastAsia="Calibri" w:hAnsi="Arial" w:cs="Arial"/>
          <w:color w:val="auto"/>
          <w:sz w:val="24"/>
          <w:szCs w:val="24"/>
        </w:rPr>
        <w:t>9.</w:t>
      </w:r>
      <w:r>
        <w:rPr>
          <w:rFonts w:ascii="Arial" w:eastAsia="Calibri" w:hAnsi="Arial" w:cs="Arial"/>
          <w:color w:val="auto"/>
          <w:sz w:val="24"/>
          <w:szCs w:val="24"/>
        </w:rPr>
        <w:t xml:space="preserve"> </w:t>
      </w:r>
      <w:r w:rsidRPr="00CD1BBF">
        <w:rPr>
          <w:rFonts w:ascii="Arial" w:eastAsia="Calibri" w:hAnsi="Arial" w:cs="Arial"/>
          <w:color w:val="auto"/>
          <w:sz w:val="24"/>
          <w:szCs w:val="24"/>
        </w:rPr>
        <w:t>Evaluación</w:t>
      </w:r>
      <w:r w:rsidRPr="00CD1BBF">
        <w:rPr>
          <w:rFonts w:ascii="Arial" w:eastAsia="Times New Roman" w:hAnsi="Arial" w:cs="Arial"/>
          <w:color w:val="auto"/>
          <w:sz w:val="24"/>
          <w:szCs w:val="24"/>
          <w:lang w:eastAsia="es-CR"/>
        </w:rPr>
        <w:t xml:space="preserve"> de los resultados</w:t>
      </w:r>
      <w:bookmarkEnd w:id="27"/>
      <w:bookmarkEnd w:id="28"/>
    </w:p>
    <w:p w14:paraId="6BBBD853" w14:textId="77777777" w:rsidR="004152A3" w:rsidRPr="00CD1BBF" w:rsidRDefault="004152A3" w:rsidP="004152A3">
      <w:pPr>
        <w:pStyle w:val="Prrafodelista"/>
        <w:spacing w:after="0"/>
        <w:rPr>
          <w:rFonts w:ascii="Arial" w:eastAsia="Times New Roman" w:hAnsi="Arial" w:cs="Arial"/>
          <w:b/>
          <w:sz w:val="24"/>
          <w:szCs w:val="24"/>
          <w:lang w:eastAsia="es-CR"/>
        </w:rPr>
      </w:pPr>
    </w:p>
    <w:p w14:paraId="2066D015" w14:textId="77777777" w:rsidR="004152A3" w:rsidRPr="00CD1BBF" w:rsidRDefault="004152A3" w:rsidP="004152A3">
      <w:pPr>
        <w:pStyle w:val="Ttulo2"/>
        <w:spacing w:before="0"/>
        <w:rPr>
          <w:rFonts w:ascii="Arial" w:hAnsi="Arial" w:cs="Arial"/>
          <w:color w:val="auto"/>
          <w:sz w:val="24"/>
          <w:szCs w:val="24"/>
        </w:rPr>
      </w:pPr>
      <w:bookmarkStart w:id="30" w:name="_Toc78530422"/>
      <w:bookmarkStart w:id="31" w:name="_Toc109980608"/>
      <w:r w:rsidRPr="00CD1BBF">
        <w:rPr>
          <w:rFonts w:ascii="Arial" w:hAnsi="Arial" w:cs="Arial"/>
          <w:color w:val="auto"/>
          <w:sz w:val="24"/>
          <w:szCs w:val="24"/>
        </w:rPr>
        <w:t>9.1 Avance en el cumplimiento de objetivos y metas</w:t>
      </w:r>
      <w:bookmarkEnd w:id="30"/>
      <w:bookmarkEnd w:id="31"/>
    </w:p>
    <w:p w14:paraId="234966B6" w14:textId="77777777" w:rsidR="004152A3" w:rsidRPr="00CD1BBF" w:rsidRDefault="004152A3" w:rsidP="00452713">
      <w:pPr>
        <w:pStyle w:val="Prrafodelista"/>
        <w:spacing w:after="0"/>
        <w:jc w:val="both"/>
        <w:rPr>
          <w:rFonts w:ascii="Arial" w:hAnsi="Arial" w:cs="Arial"/>
          <w:sz w:val="24"/>
          <w:szCs w:val="24"/>
        </w:rPr>
      </w:pPr>
    </w:p>
    <w:p w14:paraId="51F6069E" w14:textId="77777777" w:rsidR="004152A3" w:rsidRPr="00CD1BBF" w:rsidRDefault="004152A3" w:rsidP="00452713">
      <w:pPr>
        <w:pStyle w:val="Prrafodelista"/>
        <w:spacing w:after="0"/>
        <w:ind w:left="0"/>
        <w:jc w:val="both"/>
        <w:rPr>
          <w:rFonts w:ascii="Arial" w:hAnsi="Arial" w:cs="Arial"/>
          <w:sz w:val="24"/>
          <w:szCs w:val="24"/>
        </w:rPr>
      </w:pPr>
      <w:r w:rsidRPr="00CD1BBF">
        <w:rPr>
          <w:rFonts w:ascii="Arial" w:hAnsi="Arial" w:cs="Arial"/>
          <w:sz w:val="24"/>
          <w:szCs w:val="24"/>
        </w:rPr>
        <w:t>A continuación, se describen las principales acciones desarrolladas para el logro de las metas establecidas para el periodo 2022.</w:t>
      </w:r>
    </w:p>
    <w:p w14:paraId="6668C592" w14:textId="77777777" w:rsidR="004152A3" w:rsidRPr="00CD1BBF" w:rsidRDefault="004152A3" w:rsidP="00452713">
      <w:pPr>
        <w:spacing w:after="0"/>
        <w:jc w:val="both"/>
        <w:rPr>
          <w:rFonts w:ascii="Arial" w:hAnsi="Arial" w:cs="Arial"/>
          <w:sz w:val="24"/>
          <w:szCs w:val="24"/>
        </w:rPr>
      </w:pPr>
    </w:p>
    <w:p w14:paraId="5C705AA3" w14:textId="77777777" w:rsidR="004152A3" w:rsidRPr="00CD1BBF" w:rsidRDefault="004152A3" w:rsidP="00452713">
      <w:pPr>
        <w:pStyle w:val="Prrafodelista"/>
        <w:numPr>
          <w:ilvl w:val="0"/>
          <w:numId w:val="19"/>
        </w:numPr>
        <w:spacing w:after="0"/>
        <w:jc w:val="both"/>
        <w:rPr>
          <w:rFonts w:ascii="Arial" w:eastAsia="Times New Roman" w:hAnsi="Arial" w:cs="Arial"/>
          <w:b/>
          <w:bCs/>
          <w:sz w:val="24"/>
          <w:szCs w:val="24"/>
          <w:lang w:eastAsia="es-CR"/>
        </w:rPr>
      </w:pPr>
      <w:r w:rsidRPr="00CD1BBF">
        <w:rPr>
          <w:rFonts w:ascii="Arial" w:eastAsia="Times New Roman" w:hAnsi="Arial" w:cs="Arial"/>
          <w:b/>
          <w:bCs/>
          <w:sz w:val="24"/>
          <w:szCs w:val="24"/>
          <w:lang w:eastAsia="es-CR"/>
        </w:rPr>
        <w:t>Coadyuvar al Fonafifo en la gestión del financiamiento a proveedores de servicios ambientales</w:t>
      </w:r>
      <w:r>
        <w:rPr>
          <w:rFonts w:ascii="Arial" w:eastAsia="Times New Roman" w:hAnsi="Arial" w:cs="Arial"/>
          <w:b/>
          <w:bCs/>
          <w:sz w:val="24"/>
          <w:szCs w:val="24"/>
          <w:lang w:eastAsia="es-CR"/>
        </w:rPr>
        <w:t>.</w:t>
      </w:r>
    </w:p>
    <w:p w14:paraId="5D520EEE" w14:textId="77777777" w:rsidR="004152A3" w:rsidRPr="00D47634" w:rsidRDefault="004152A3" w:rsidP="00452713">
      <w:pPr>
        <w:pStyle w:val="Prrafodelista"/>
        <w:spacing w:after="0"/>
        <w:ind w:left="0"/>
        <w:jc w:val="both"/>
        <w:rPr>
          <w:rFonts w:ascii="Arial" w:hAnsi="Arial" w:cs="Arial"/>
          <w:sz w:val="24"/>
          <w:szCs w:val="24"/>
        </w:rPr>
      </w:pPr>
    </w:p>
    <w:p w14:paraId="08784FB6" w14:textId="77777777" w:rsidR="0087208A" w:rsidRPr="00452713" w:rsidRDefault="004152A3" w:rsidP="00452713">
      <w:pPr>
        <w:jc w:val="both"/>
        <w:rPr>
          <w:rFonts w:ascii="Arial" w:eastAsiaTheme="minorEastAsia" w:hAnsi="Arial" w:cs="Arial"/>
          <w:color w:val="000000" w:themeColor="text1"/>
          <w:sz w:val="24"/>
          <w:lang w:eastAsia="es-CR"/>
        </w:rPr>
      </w:pPr>
      <w:r w:rsidRPr="0087208A">
        <w:rPr>
          <w:rFonts w:ascii="Arial" w:eastAsiaTheme="minorEastAsia" w:hAnsi="Arial" w:cs="Arial"/>
          <w:color w:val="000000" w:themeColor="text1"/>
          <w:sz w:val="24"/>
          <w:lang w:eastAsia="es-CR"/>
        </w:rPr>
        <w:t>Al 30 se logró un avance del 33,49% del indicador, lo cual representa un total de 75.945,47 hectáreas bajo financiamiento del Programa de Pago por Servicios Ambientales a lo largo y ancho de todo el país, siendo las actividades de mantenimiento de cobertura las que representan una mayor cantidad con un total</w:t>
      </w:r>
      <w:r w:rsidRPr="00452713">
        <w:rPr>
          <w:rFonts w:ascii="Arial" w:eastAsiaTheme="minorEastAsia" w:hAnsi="Arial" w:cs="Arial"/>
          <w:color w:val="000000" w:themeColor="text1"/>
          <w:sz w:val="24"/>
          <w:lang w:eastAsia="es-CR"/>
        </w:rPr>
        <w:t xml:space="preserve"> </w:t>
      </w:r>
    </w:p>
    <w:p w14:paraId="51A7520B" w14:textId="77777777" w:rsidR="0087208A" w:rsidRPr="00452713" w:rsidRDefault="0087208A" w:rsidP="00452713">
      <w:pPr>
        <w:jc w:val="both"/>
        <w:rPr>
          <w:rFonts w:ascii="Arial" w:eastAsiaTheme="minorEastAsia" w:hAnsi="Arial" w:cs="Arial"/>
          <w:color w:val="000000" w:themeColor="text1"/>
          <w:sz w:val="24"/>
          <w:lang w:eastAsia="es-CR"/>
        </w:rPr>
      </w:pPr>
    </w:p>
    <w:p w14:paraId="3013B9FF" w14:textId="0A96AE3F" w:rsidR="004152A3" w:rsidRPr="00452713" w:rsidRDefault="004152A3" w:rsidP="00452713">
      <w:pPr>
        <w:jc w:val="both"/>
        <w:rPr>
          <w:rFonts w:ascii="Arial" w:eastAsiaTheme="minorEastAsia" w:hAnsi="Arial" w:cs="Arial"/>
          <w:color w:val="000000" w:themeColor="text1"/>
          <w:sz w:val="24"/>
          <w:lang w:eastAsia="es-CR"/>
        </w:rPr>
      </w:pPr>
      <w:r w:rsidRPr="00452713">
        <w:rPr>
          <w:rFonts w:ascii="Arial" w:eastAsiaTheme="minorEastAsia" w:hAnsi="Arial" w:cs="Arial"/>
          <w:color w:val="000000" w:themeColor="text1"/>
          <w:sz w:val="24"/>
          <w:lang w:eastAsia="es-CR"/>
        </w:rPr>
        <w:t xml:space="preserve">de 71.261,26 has, mientras que las actividades de recuperación de cobertura suman un total de 4.684,21 has. Cabe destacar que de acuerdo con la distribución regional del </w:t>
      </w:r>
      <w:proofErr w:type="spellStart"/>
      <w:r w:rsidRPr="00452713">
        <w:rPr>
          <w:rFonts w:ascii="Arial" w:eastAsiaTheme="minorEastAsia" w:hAnsi="Arial" w:cs="Arial"/>
          <w:color w:val="000000" w:themeColor="text1"/>
          <w:sz w:val="24"/>
          <w:lang w:eastAsia="es-CR"/>
        </w:rPr>
        <w:t>Mideplan</w:t>
      </w:r>
      <w:proofErr w:type="spellEnd"/>
      <w:r w:rsidRPr="00452713">
        <w:rPr>
          <w:rFonts w:ascii="Arial" w:eastAsiaTheme="minorEastAsia" w:hAnsi="Arial" w:cs="Arial"/>
          <w:color w:val="000000" w:themeColor="text1"/>
          <w:sz w:val="24"/>
          <w:lang w:eastAsia="es-CR"/>
        </w:rPr>
        <w:t>, las zonas Atlántica y Brunca son las que cuentan con la mayor cantidad de colocación de hectáreas.</w:t>
      </w:r>
    </w:p>
    <w:p w14:paraId="64EF8414" w14:textId="2B8C5502" w:rsidR="004152A3" w:rsidRPr="00452713" w:rsidRDefault="004152A3" w:rsidP="00452713">
      <w:pPr>
        <w:jc w:val="both"/>
        <w:rPr>
          <w:rFonts w:ascii="Arial" w:eastAsiaTheme="minorEastAsia" w:hAnsi="Arial" w:cs="Arial"/>
          <w:color w:val="000000" w:themeColor="text1"/>
          <w:sz w:val="24"/>
          <w:lang w:eastAsia="es-CR"/>
        </w:rPr>
      </w:pPr>
      <w:r w:rsidRPr="00452713">
        <w:rPr>
          <w:rFonts w:ascii="Arial" w:eastAsiaTheme="minorEastAsia" w:hAnsi="Arial" w:cs="Arial"/>
          <w:color w:val="000000" w:themeColor="text1"/>
          <w:sz w:val="24"/>
          <w:lang w:eastAsia="es-CR"/>
        </w:rPr>
        <w:t>La totalidad de las hectáreas financiadas durante el semestre abarcan contratos vigentes que van desde el año 2012 al 2022, y también un pequeño porcentaje de contratos de primeras cuotas del periodo 2019 al 2021.</w:t>
      </w:r>
    </w:p>
    <w:p w14:paraId="5F4E1FA5" w14:textId="18FA4D3C" w:rsidR="004152A3" w:rsidRPr="00452713" w:rsidRDefault="004152A3" w:rsidP="00452713">
      <w:pPr>
        <w:jc w:val="both"/>
        <w:rPr>
          <w:rFonts w:ascii="Arial" w:eastAsiaTheme="minorEastAsia" w:hAnsi="Arial" w:cs="Arial"/>
          <w:color w:val="000000" w:themeColor="text1"/>
          <w:sz w:val="24"/>
          <w:lang w:eastAsia="es-CR"/>
        </w:rPr>
      </w:pPr>
      <w:r w:rsidRPr="00452713">
        <w:rPr>
          <w:rFonts w:ascii="Arial" w:eastAsiaTheme="minorEastAsia" w:hAnsi="Arial" w:cs="Arial"/>
          <w:color w:val="000000" w:themeColor="text1"/>
          <w:sz w:val="24"/>
          <w:lang w:eastAsia="es-CR"/>
        </w:rPr>
        <w:t>El porcentaje de avance en la colocación de hectáreas es algo bajo respecto de lo programado para le fecha de corte, ya que se esperaba un avance al 30 de junio del 40%. El atraso en el avance de este indicador se debe a que la resolución que permite dar inicio a la contratación de nuevas hectáreas con contratos 2022 fue publicada hasta finales del primer trimestre, lo que imposibilitó la contratación durante prácticamente tres meses. Si bien es cierto, en el primer trimestre se inició la recepción de solicitudes de ingreso al Programa de Pago por Servicios Ambientales, y a la fecha se han valorado las solicitudes tanto a nivel técnico como legal, se espera tener un repunte en la contratación en los próximos meses.</w:t>
      </w:r>
    </w:p>
    <w:p w14:paraId="30662B1A" w14:textId="5FA01D4E" w:rsidR="004152A3" w:rsidRPr="00452713" w:rsidRDefault="004152A3" w:rsidP="00452713">
      <w:pPr>
        <w:jc w:val="both"/>
        <w:rPr>
          <w:rFonts w:ascii="Arial" w:eastAsiaTheme="minorEastAsia" w:hAnsi="Arial" w:cs="Arial"/>
          <w:color w:val="000000" w:themeColor="text1"/>
          <w:sz w:val="24"/>
          <w:lang w:eastAsia="es-CR"/>
        </w:rPr>
      </w:pPr>
      <w:r w:rsidRPr="00452713">
        <w:rPr>
          <w:rFonts w:ascii="Arial" w:eastAsiaTheme="minorEastAsia" w:hAnsi="Arial" w:cs="Arial"/>
          <w:color w:val="000000" w:themeColor="text1"/>
          <w:sz w:val="24"/>
          <w:lang w:eastAsia="es-CR"/>
        </w:rPr>
        <w:t xml:space="preserve">Consecuentemente, en términos de ejecución presupuestaria, el Programa de Pago por Servicios Ambientales, también presenta un retraso. Las hectáreas financiadas a la fecha de corte representan un presupuesto ejecutado de ₡3.279.193.994,78, el cual constituye el 26,49% del presupuesto total, el cual es de ₡12.376.829.843 y se estimaba un avance del 50%. </w:t>
      </w:r>
    </w:p>
    <w:p w14:paraId="159AE0EA" w14:textId="00E02677" w:rsidR="0087208A" w:rsidRPr="00BB1028" w:rsidRDefault="004152A3" w:rsidP="00452713">
      <w:pPr>
        <w:pStyle w:val="Prrafodelista"/>
        <w:numPr>
          <w:ilvl w:val="0"/>
          <w:numId w:val="19"/>
        </w:numPr>
        <w:spacing w:after="0"/>
        <w:jc w:val="both"/>
        <w:rPr>
          <w:rFonts w:ascii="Arial" w:eastAsia="Times New Roman" w:hAnsi="Arial" w:cs="Arial"/>
          <w:b/>
          <w:bCs/>
          <w:sz w:val="24"/>
          <w:szCs w:val="24"/>
          <w:lang w:eastAsia="es-CR"/>
        </w:rPr>
      </w:pPr>
      <w:r w:rsidRPr="009601D2">
        <w:rPr>
          <w:rFonts w:ascii="Arial" w:eastAsia="Times New Roman" w:hAnsi="Arial" w:cs="Arial"/>
          <w:b/>
          <w:bCs/>
          <w:sz w:val="24"/>
          <w:szCs w:val="24"/>
          <w:lang w:eastAsia="es-CR"/>
        </w:rPr>
        <w:t>Coadyuvar al Fonafifo en el desarrollo de la estrategia REDD+ para acceder a recursos financieros por medio de proyectos de pago por resultados en reducción de emisiones.</w:t>
      </w:r>
    </w:p>
    <w:p w14:paraId="0B8C4160" w14:textId="77777777" w:rsidR="004152A3" w:rsidRDefault="004152A3" w:rsidP="00452713">
      <w:pPr>
        <w:pStyle w:val="Prrafodelista"/>
        <w:spacing w:after="0"/>
        <w:ind w:left="0"/>
        <w:jc w:val="both"/>
        <w:rPr>
          <w:rFonts w:ascii="Arial" w:eastAsia="Times New Roman" w:hAnsi="Arial" w:cs="Arial"/>
          <w:sz w:val="24"/>
          <w:szCs w:val="24"/>
          <w:lang w:eastAsia="es-MX"/>
        </w:rPr>
      </w:pPr>
    </w:p>
    <w:p w14:paraId="1EB4BD18" w14:textId="77777777" w:rsidR="004152A3" w:rsidRPr="008550B8" w:rsidRDefault="004152A3" w:rsidP="00452713">
      <w:pPr>
        <w:pStyle w:val="Prrafodelista"/>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Durante el año 2022 se ha iniciado la fase de financiamiento de hectáreas bajo el Programa de Reducción de Emisiones Forestales de la Estrategia Nacional REDD+, el cual se realiza a través de la formalización de Contratos de Reducción de Emisiones Forestales (CREF).</w:t>
      </w:r>
    </w:p>
    <w:p w14:paraId="2C614B23" w14:textId="77777777" w:rsidR="00BB1028" w:rsidRDefault="00BB1028" w:rsidP="00452713">
      <w:pPr>
        <w:pStyle w:val="Prrafodelista"/>
        <w:spacing w:after="0"/>
        <w:ind w:left="0"/>
        <w:jc w:val="both"/>
        <w:rPr>
          <w:rFonts w:ascii="Arial" w:eastAsia="Times New Roman" w:hAnsi="Arial" w:cs="Arial"/>
          <w:sz w:val="24"/>
          <w:szCs w:val="24"/>
          <w:lang w:eastAsia="es-MX"/>
        </w:rPr>
      </w:pPr>
    </w:p>
    <w:p w14:paraId="56651CE1" w14:textId="77777777" w:rsidR="009234D9" w:rsidRDefault="0087208A" w:rsidP="00452713">
      <w:pPr>
        <w:pStyle w:val="Prrafodelista"/>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D</w:t>
      </w:r>
      <w:r w:rsidR="004152A3">
        <w:rPr>
          <w:rFonts w:ascii="Arial" w:eastAsia="Times New Roman" w:hAnsi="Arial" w:cs="Arial"/>
          <w:sz w:val="24"/>
          <w:szCs w:val="24"/>
          <w:lang w:eastAsia="es-MX"/>
        </w:rPr>
        <w:t xml:space="preserve">ebido a que el Programa de Reducción de Emisiones Forestales cuenta con una menor cantidad de requisitos para el ingreso en comparación con el Programa de Pago por Servicios Ambientales, es necesario realizar una verificación más exhaustiva de los documentos probatorios de los solicitantes, tanto a nivel legal como técnico, con el fin de garantizar el adecuado destino de los recursos </w:t>
      </w:r>
    </w:p>
    <w:p w14:paraId="4260B6EC" w14:textId="77777777" w:rsidR="009234D9" w:rsidRDefault="009234D9" w:rsidP="00452713">
      <w:pPr>
        <w:pStyle w:val="Prrafodelista"/>
        <w:spacing w:after="0"/>
        <w:ind w:left="0"/>
        <w:jc w:val="both"/>
        <w:rPr>
          <w:rFonts w:ascii="Arial" w:eastAsia="Times New Roman" w:hAnsi="Arial" w:cs="Arial"/>
          <w:sz w:val="24"/>
          <w:szCs w:val="24"/>
          <w:lang w:eastAsia="es-MX"/>
        </w:rPr>
      </w:pPr>
    </w:p>
    <w:p w14:paraId="6C069652" w14:textId="0011B531" w:rsidR="004152A3" w:rsidRDefault="004152A3" w:rsidP="00452713">
      <w:pPr>
        <w:pStyle w:val="Prrafodelista"/>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financieros provenientes de organismos internacionales. Dicho trámite ocasiona que la gestión de estas solicitudes para la formalización de los CREF se demore más tiempo del previsto.</w:t>
      </w:r>
    </w:p>
    <w:p w14:paraId="16C78E8E" w14:textId="77777777" w:rsidR="00BB1028" w:rsidRDefault="00BB1028" w:rsidP="00452713">
      <w:pPr>
        <w:pStyle w:val="Prrafodelista"/>
        <w:spacing w:after="0"/>
        <w:ind w:left="0"/>
        <w:jc w:val="both"/>
        <w:rPr>
          <w:rFonts w:ascii="Arial" w:eastAsia="Times New Roman" w:hAnsi="Arial" w:cs="Arial"/>
          <w:sz w:val="24"/>
          <w:szCs w:val="24"/>
          <w:lang w:eastAsia="es-MX"/>
        </w:rPr>
      </w:pPr>
    </w:p>
    <w:p w14:paraId="4BF14F4B" w14:textId="529E1CE6" w:rsidR="004152A3" w:rsidRDefault="004152A3" w:rsidP="00452713">
      <w:pPr>
        <w:pStyle w:val="Prrafodelista"/>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A la fecha de corte se tienen analizados proyectos tanto a nivel técnico como legal por la suma de 25.000,00 hectáreas que dependen únicamente de la publicación de la modificación al reglamento de la ley forestal para su trámite de pago</w:t>
      </w:r>
      <w:r w:rsidR="0087208A">
        <w:rPr>
          <w:rFonts w:ascii="Arial" w:eastAsia="Times New Roman" w:hAnsi="Arial" w:cs="Arial"/>
          <w:sz w:val="24"/>
          <w:szCs w:val="24"/>
          <w:lang w:eastAsia="es-MX"/>
        </w:rPr>
        <w:t>.</w:t>
      </w:r>
    </w:p>
    <w:p w14:paraId="4F783BE2" w14:textId="77777777" w:rsidR="00BB1028" w:rsidRDefault="00BB1028" w:rsidP="00452713">
      <w:pPr>
        <w:pStyle w:val="Prrafodelista"/>
        <w:spacing w:after="0"/>
        <w:ind w:left="0"/>
        <w:jc w:val="both"/>
        <w:rPr>
          <w:rFonts w:ascii="Arial" w:eastAsia="Times New Roman" w:hAnsi="Arial" w:cs="Arial"/>
          <w:sz w:val="24"/>
          <w:szCs w:val="24"/>
          <w:lang w:eastAsia="es-MX"/>
        </w:rPr>
      </w:pPr>
    </w:p>
    <w:p w14:paraId="400A13E5" w14:textId="4004BCA4" w:rsidR="004152A3" w:rsidRDefault="004152A3" w:rsidP="00452713">
      <w:pPr>
        <w:pStyle w:val="Prrafodelista"/>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Otro aspecto importante a destacar es que en el Programa de Reducción de Emisiones Forestales no es posible ingresar cuando el propietario posee una finca sin la correspondiente inscripción en el Registro Nacional, motivo por el cual se reduce la cantidad de hectáreas que pueden ser financiadas. Para enmendar esta situación se está trabajando en realizar las modificaciones reglamentarias y procedimentales que permitan el ingreso de poseedores de fincas, lo cual facilitará el trámite para estos clientes.</w:t>
      </w:r>
    </w:p>
    <w:p w14:paraId="10C5B2AD" w14:textId="77777777" w:rsidR="007F4708" w:rsidRDefault="007F4708" w:rsidP="00452713">
      <w:pPr>
        <w:pStyle w:val="Prrafodelista"/>
        <w:spacing w:after="0"/>
        <w:ind w:left="0"/>
        <w:jc w:val="both"/>
        <w:rPr>
          <w:rFonts w:ascii="Arial" w:eastAsia="Times New Roman" w:hAnsi="Arial" w:cs="Arial"/>
          <w:sz w:val="24"/>
          <w:szCs w:val="24"/>
          <w:lang w:eastAsia="es-MX"/>
        </w:rPr>
      </w:pPr>
    </w:p>
    <w:p w14:paraId="61BBE07B" w14:textId="6C9F587A" w:rsidR="004152A3" w:rsidRDefault="004152A3" w:rsidP="00452713">
      <w:pPr>
        <w:pStyle w:val="Prrafodelista"/>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Por lo descrito anteriormente, la c</w:t>
      </w:r>
      <w:r w:rsidRPr="002660D8">
        <w:rPr>
          <w:rFonts w:ascii="Arial" w:eastAsia="Times New Roman" w:hAnsi="Arial" w:cs="Arial"/>
          <w:sz w:val="24"/>
          <w:szCs w:val="24"/>
          <w:lang w:eastAsia="es-MX"/>
        </w:rPr>
        <w:t xml:space="preserve">antidad de hectáreas pagadas </w:t>
      </w:r>
      <w:r>
        <w:rPr>
          <w:rFonts w:ascii="Arial" w:eastAsia="Times New Roman" w:hAnsi="Arial" w:cs="Arial"/>
          <w:sz w:val="24"/>
          <w:szCs w:val="24"/>
          <w:lang w:eastAsia="es-MX"/>
        </w:rPr>
        <w:t>CREF a la fecha es de 0,00. El retraso con este indicador es preocupante tomando en consideración que para la fecha de corte de este informe se esperaba un avance del 40%, lo que equivale a 180.000,00 hectáreas, por lo que la Secretaría ejecutiva de la estrategia nacional de REDD+ y el Fonafifo deben aumentar esfuerzos para asegurar un pronto inicio en la contratación del PREF y el trámite ágil de los CREF.</w:t>
      </w:r>
    </w:p>
    <w:p w14:paraId="7F9FB33C" w14:textId="77777777" w:rsidR="004152A3" w:rsidRDefault="004152A3" w:rsidP="00452713">
      <w:pPr>
        <w:pStyle w:val="Prrafodelista"/>
        <w:spacing w:after="0"/>
        <w:ind w:left="0"/>
        <w:jc w:val="both"/>
        <w:rPr>
          <w:rFonts w:ascii="Arial" w:eastAsia="Times New Roman" w:hAnsi="Arial" w:cs="Arial"/>
          <w:sz w:val="24"/>
          <w:szCs w:val="24"/>
          <w:lang w:eastAsia="es-MX"/>
        </w:rPr>
      </w:pPr>
    </w:p>
    <w:p w14:paraId="78735E40" w14:textId="66EC0DD1" w:rsidR="004152A3" w:rsidRDefault="004152A3" w:rsidP="00452713">
      <w:pPr>
        <w:pStyle w:val="Prrafodelista"/>
        <w:numPr>
          <w:ilvl w:val="0"/>
          <w:numId w:val="19"/>
        </w:numPr>
        <w:spacing w:after="0"/>
        <w:jc w:val="both"/>
        <w:rPr>
          <w:rFonts w:ascii="Arial" w:eastAsia="Times New Roman" w:hAnsi="Arial" w:cs="Arial"/>
          <w:b/>
          <w:bCs/>
          <w:sz w:val="24"/>
          <w:szCs w:val="24"/>
          <w:lang w:eastAsia="es-CR"/>
        </w:rPr>
      </w:pPr>
      <w:r w:rsidRPr="00912C0A">
        <w:rPr>
          <w:rFonts w:ascii="Arial" w:eastAsia="Times New Roman" w:hAnsi="Arial" w:cs="Arial"/>
          <w:b/>
          <w:bCs/>
          <w:sz w:val="24"/>
          <w:szCs w:val="24"/>
          <w:lang w:eastAsia="es-CR"/>
        </w:rPr>
        <w:t xml:space="preserve">Coadyuvar al </w:t>
      </w:r>
      <w:r w:rsidR="00720614">
        <w:rPr>
          <w:rFonts w:ascii="Arial" w:eastAsia="Times New Roman" w:hAnsi="Arial" w:cs="Arial"/>
          <w:b/>
          <w:bCs/>
          <w:sz w:val="24"/>
          <w:szCs w:val="24"/>
          <w:lang w:eastAsia="es-CR"/>
        </w:rPr>
        <w:t>SINAC</w:t>
      </w:r>
      <w:r w:rsidRPr="00912C0A">
        <w:rPr>
          <w:rFonts w:ascii="Arial" w:eastAsia="Times New Roman" w:hAnsi="Arial" w:cs="Arial"/>
          <w:b/>
          <w:bCs/>
          <w:sz w:val="24"/>
          <w:szCs w:val="24"/>
          <w:lang w:eastAsia="es-CR"/>
        </w:rPr>
        <w:t xml:space="preserve"> en el fortalecimiento del Programa de Manejo del Fuego.</w:t>
      </w:r>
    </w:p>
    <w:p w14:paraId="77C99277" w14:textId="77777777" w:rsidR="00020156" w:rsidRDefault="00020156" w:rsidP="00452713">
      <w:pPr>
        <w:pStyle w:val="Prrafodelista"/>
        <w:spacing w:after="0"/>
        <w:ind w:left="0"/>
        <w:jc w:val="both"/>
        <w:rPr>
          <w:rFonts w:ascii="Arial" w:eastAsia="Times New Roman" w:hAnsi="Arial" w:cs="Arial"/>
          <w:sz w:val="24"/>
          <w:szCs w:val="24"/>
          <w:lang w:eastAsia="es-MX"/>
        </w:rPr>
      </w:pPr>
    </w:p>
    <w:p w14:paraId="2CCC277E" w14:textId="5B4F756A" w:rsidR="004152A3" w:rsidRDefault="004152A3" w:rsidP="00452713">
      <w:pPr>
        <w:pStyle w:val="Prrafodelista"/>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El Programa de Manejo del Fuego pretende la adopción y fortalecimiento de </w:t>
      </w:r>
      <w:r w:rsidRPr="00BC55C3">
        <w:rPr>
          <w:rFonts w:ascii="Arial" w:eastAsia="Times New Roman" w:hAnsi="Arial" w:cs="Arial"/>
          <w:sz w:val="24"/>
          <w:szCs w:val="24"/>
          <w:lang w:eastAsia="es-MX"/>
        </w:rPr>
        <w:t xml:space="preserve">mecanismos de protección en las Áreas Silvestres Protegidas, </w:t>
      </w:r>
      <w:r>
        <w:rPr>
          <w:rFonts w:ascii="Arial" w:eastAsia="Times New Roman" w:hAnsi="Arial" w:cs="Arial"/>
          <w:sz w:val="24"/>
          <w:szCs w:val="24"/>
          <w:lang w:eastAsia="es-MX"/>
        </w:rPr>
        <w:t>para disminuir</w:t>
      </w:r>
      <w:r w:rsidRPr="00BC55C3">
        <w:rPr>
          <w:rFonts w:ascii="Arial" w:eastAsia="Times New Roman" w:hAnsi="Arial" w:cs="Arial"/>
          <w:sz w:val="24"/>
          <w:szCs w:val="24"/>
          <w:lang w:eastAsia="es-MX"/>
        </w:rPr>
        <w:t xml:space="preserve"> las áreas afectadas por los incendios forestales, </w:t>
      </w:r>
      <w:r>
        <w:rPr>
          <w:rFonts w:ascii="Arial" w:eastAsia="Times New Roman" w:hAnsi="Arial" w:cs="Arial"/>
          <w:sz w:val="24"/>
          <w:szCs w:val="24"/>
          <w:lang w:eastAsia="es-MX"/>
        </w:rPr>
        <w:t xml:space="preserve">en especial en </w:t>
      </w:r>
      <w:r w:rsidRPr="00BC55C3">
        <w:rPr>
          <w:rFonts w:ascii="Arial" w:eastAsia="Times New Roman" w:hAnsi="Arial" w:cs="Arial"/>
          <w:sz w:val="24"/>
          <w:szCs w:val="24"/>
          <w:lang w:eastAsia="es-MX"/>
        </w:rPr>
        <w:t>sitios catalogados de mediana a alta incidencia de ocurrencia de incendios.</w:t>
      </w:r>
      <w:r>
        <w:rPr>
          <w:rFonts w:ascii="Arial" w:eastAsia="Times New Roman" w:hAnsi="Arial" w:cs="Arial"/>
          <w:sz w:val="24"/>
          <w:szCs w:val="24"/>
          <w:lang w:eastAsia="es-MX"/>
        </w:rPr>
        <w:t xml:space="preserve"> Este indicador ha sido incluido por primera vez como parte de los retos que tienen la Secretaría técnica de la estrategia nacional REDD+, el Fonafifo y el </w:t>
      </w:r>
      <w:r w:rsidR="00720614">
        <w:rPr>
          <w:rFonts w:ascii="Arial" w:eastAsia="Times New Roman" w:hAnsi="Arial" w:cs="Arial"/>
          <w:sz w:val="24"/>
          <w:szCs w:val="24"/>
          <w:lang w:eastAsia="es-MX"/>
        </w:rPr>
        <w:t>SINAC</w:t>
      </w:r>
      <w:r>
        <w:rPr>
          <w:rFonts w:ascii="Arial" w:eastAsia="Times New Roman" w:hAnsi="Arial" w:cs="Arial"/>
          <w:sz w:val="24"/>
          <w:szCs w:val="24"/>
          <w:lang w:eastAsia="es-MX"/>
        </w:rPr>
        <w:t>.</w:t>
      </w:r>
    </w:p>
    <w:p w14:paraId="125838DB" w14:textId="77777777" w:rsidR="00452713" w:rsidRDefault="00452713" w:rsidP="00452713">
      <w:pPr>
        <w:pStyle w:val="Prrafodelista"/>
        <w:spacing w:after="0"/>
        <w:ind w:left="0"/>
        <w:jc w:val="both"/>
        <w:rPr>
          <w:rFonts w:ascii="Arial" w:eastAsia="Times New Roman" w:hAnsi="Arial" w:cs="Arial"/>
          <w:sz w:val="24"/>
          <w:szCs w:val="24"/>
          <w:lang w:eastAsia="es-MX"/>
        </w:rPr>
      </w:pPr>
    </w:p>
    <w:p w14:paraId="29662801" w14:textId="61B06B8C" w:rsidR="004152A3" w:rsidRDefault="004152A3" w:rsidP="00452713">
      <w:pPr>
        <w:pStyle w:val="Prrafodelista"/>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Gracias a la donación de recursos provenientes de organismos internacionales, se pretende destinar una parte de estos recursos a la compra de bienes y servicios que contribuyan a la prevención y atención de incendios forestales.</w:t>
      </w:r>
    </w:p>
    <w:p w14:paraId="481AC7C7" w14:textId="77777777" w:rsidR="009234D9" w:rsidRDefault="009234D9" w:rsidP="00452713">
      <w:pPr>
        <w:pStyle w:val="Prrafodelista"/>
        <w:spacing w:after="0"/>
        <w:ind w:left="0"/>
        <w:jc w:val="both"/>
        <w:rPr>
          <w:rFonts w:ascii="Arial" w:eastAsia="Times New Roman" w:hAnsi="Arial" w:cs="Arial"/>
          <w:sz w:val="24"/>
          <w:szCs w:val="24"/>
          <w:lang w:eastAsia="es-MX"/>
        </w:rPr>
      </w:pPr>
    </w:p>
    <w:p w14:paraId="723A866A" w14:textId="77777777" w:rsidR="009234D9" w:rsidRDefault="009234D9" w:rsidP="00452713">
      <w:pPr>
        <w:pStyle w:val="Prrafodelista"/>
        <w:spacing w:after="0"/>
        <w:ind w:left="0"/>
        <w:jc w:val="both"/>
        <w:rPr>
          <w:rFonts w:ascii="Arial" w:eastAsia="Times New Roman" w:hAnsi="Arial" w:cs="Arial"/>
          <w:sz w:val="24"/>
          <w:szCs w:val="24"/>
          <w:lang w:eastAsia="es-MX"/>
        </w:rPr>
      </w:pPr>
    </w:p>
    <w:p w14:paraId="4F19643C" w14:textId="77777777" w:rsidR="004152A3" w:rsidRDefault="004152A3" w:rsidP="00452713">
      <w:pPr>
        <w:pStyle w:val="Prrafodelista"/>
        <w:spacing w:after="0"/>
        <w:ind w:left="0"/>
        <w:jc w:val="both"/>
        <w:rPr>
          <w:rFonts w:ascii="Arial" w:eastAsia="Times New Roman" w:hAnsi="Arial" w:cs="Arial"/>
          <w:sz w:val="24"/>
          <w:szCs w:val="24"/>
          <w:lang w:eastAsia="es-MX"/>
        </w:rPr>
      </w:pPr>
    </w:p>
    <w:p w14:paraId="57DB2349" w14:textId="77777777" w:rsidR="004152A3" w:rsidRPr="00794C7C" w:rsidRDefault="004152A3" w:rsidP="00452713">
      <w:pPr>
        <w:pStyle w:val="Prrafodelista"/>
        <w:numPr>
          <w:ilvl w:val="0"/>
          <w:numId w:val="19"/>
        </w:numPr>
        <w:spacing w:after="0"/>
        <w:jc w:val="both"/>
        <w:rPr>
          <w:rFonts w:ascii="Arial" w:eastAsia="Times New Roman" w:hAnsi="Arial" w:cs="Arial"/>
          <w:b/>
          <w:bCs/>
          <w:sz w:val="24"/>
          <w:szCs w:val="24"/>
          <w:lang w:eastAsia="es-CR"/>
        </w:rPr>
      </w:pPr>
      <w:r w:rsidRPr="00794C7C">
        <w:rPr>
          <w:rFonts w:ascii="Arial" w:eastAsia="Times New Roman" w:hAnsi="Arial" w:cs="Arial"/>
          <w:b/>
          <w:bCs/>
          <w:sz w:val="24"/>
          <w:szCs w:val="24"/>
          <w:lang w:eastAsia="es-CR"/>
        </w:rPr>
        <w:t>Coadyuvar al Fonafifo en la ejecución eficiente de los recursos destinados a mecanismos de financiamiento dirigidos</w:t>
      </w:r>
      <w:r>
        <w:rPr>
          <w:rFonts w:ascii="Arial" w:eastAsia="Times New Roman" w:hAnsi="Arial" w:cs="Arial"/>
          <w:b/>
          <w:bCs/>
          <w:sz w:val="24"/>
          <w:szCs w:val="24"/>
          <w:lang w:eastAsia="es-CR"/>
        </w:rPr>
        <w:t xml:space="preserve"> al sector forestal.</w:t>
      </w:r>
    </w:p>
    <w:p w14:paraId="0CE59C09" w14:textId="77777777" w:rsidR="004152A3" w:rsidRDefault="004152A3" w:rsidP="00452713">
      <w:pPr>
        <w:pStyle w:val="Prrafodelista"/>
        <w:spacing w:after="0"/>
        <w:ind w:left="0"/>
        <w:jc w:val="both"/>
        <w:rPr>
          <w:rFonts w:ascii="Arial" w:eastAsia="Times New Roman" w:hAnsi="Arial" w:cs="Arial"/>
          <w:sz w:val="24"/>
          <w:szCs w:val="24"/>
          <w:lang w:eastAsia="es-MX"/>
        </w:rPr>
      </w:pPr>
    </w:p>
    <w:p w14:paraId="5F9FCA0D" w14:textId="6416F5D0" w:rsidR="004152A3" w:rsidRDefault="004152A3" w:rsidP="00452713">
      <w:pPr>
        <w:pStyle w:val="Prrafodelista"/>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A la fecha de corte del 30 de junio de 2022, el Programa de Crédito Forestal ha logrado la colocación de un monto igual a </w:t>
      </w:r>
      <w:r w:rsidRPr="00B35D1B">
        <w:rPr>
          <w:rFonts w:ascii="Arial" w:eastAsia="Times New Roman" w:hAnsi="Arial" w:cs="Arial"/>
          <w:sz w:val="24"/>
          <w:szCs w:val="24"/>
          <w:lang w:eastAsia="es-MX"/>
        </w:rPr>
        <w:t>₡30</w:t>
      </w:r>
      <w:r w:rsidR="00020156">
        <w:rPr>
          <w:rFonts w:ascii="Arial" w:eastAsia="Times New Roman" w:hAnsi="Arial" w:cs="Arial"/>
          <w:sz w:val="24"/>
          <w:szCs w:val="24"/>
          <w:lang w:eastAsia="es-MX"/>
        </w:rPr>
        <w:t>3.915.337</w:t>
      </w:r>
      <w:r>
        <w:rPr>
          <w:rFonts w:ascii="Arial" w:eastAsia="Times New Roman" w:hAnsi="Arial" w:cs="Arial"/>
          <w:sz w:val="24"/>
          <w:szCs w:val="24"/>
          <w:lang w:eastAsia="es-MX"/>
        </w:rPr>
        <w:t>. El monto colocado en operaciones crediticias contempla el total de 45 operaciones crediticias que suman distribuidas de la siguiente manera: 9 operaciones crediticias nuevas que fueron aprobadas por el Comité de Crédito en 4 sesiones y 36 operaciones vigentes que requirieron desembolsos.</w:t>
      </w:r>
    </w:p>
    <w:p w14:paraId="5FE10833" w14:textId="77777777" w:rsidR="00BB1028" w:rsidRDefault="00BB1028" w:rsidP="00452713">
      <w:pPr>
        <w:pStyle w:val="Prrafodelista"/>
        <w:spacing w:after="0"/>
        <w:ind w:left="0"/>
        <w:jc w:val="both"/>
        <w:rPr>
          <w:rFonts w:ascii="Arial" w:eastAsia="Times New Roman" w:hAnsi="Arial" w:cs="Arial"/>
          <w:sz w:val="24"/>
          <w:szCs w:val="24"/>
          <w:lang w:eastAsia="es-MX"/>
        </w:rPr>
      </w:pPr>
    </w:p>
    <w:p w14:paraId="68AC2A94" w14:textId="77777777" w:rsidR="004152A3" w:rsidRDefault="004152A3" w:rsidP="00452713">
      <w:pPr>
        <w:pStyle w:val="Prrafodelista"/>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El monto colocado en operaciones de crédito para el primer semestre del año representa el 39,32% del presupuesto total del Programa dedicado exclusivamente a las operaciones crediticias y excluyendo gastos operativos del programa. Al haberse establecido una meta de colocación para el periodo del 90% de todo el presupuesto disponible, el desempeño del indicador aumenta a 43,69%. El desempeño de este indicador se considera bueno, debido a que se contaba con una programación de avance a la fecha de corte de 35%, por lo que se ha superado.</w:t>
      </w:r>
    </w:p>
    <w:p w14:paraId="7F725434" w14:textId="0F702453" w:rsidR="0001309A" w:rsidRDefault="001F4B0E" w:rsidP="00452713">
      <w:pPr>
        <w:pStyle w:val="Ttulo2"/>
        <w:rPr>
          <w:rFonts w:ascii="Arial" w:hAnsi="Arial" w:cs="Arial"/>
          <w:color w:val="auto"/>
          <w:sz w:val="24"/>
          <w:szCs w:val="24"/>
        </w:rPr>
      </w:pPr>
      <w:bookmarkStart w:id="32" w:name="_Toc109980609"/>
      <w:r w:rsidRPr="005641E3">
        <w:rPr>
          <w:rFonts w:ascii="Arial" w:hAnsi="Arial" w:cs="Arial"/>
          <w:color w:val="auto"/>
          <w:sz w:val="24"/>
          <w:szCs w:val="24"/>
        </w:rPr>
        <w:t>9.</w:t>
      </w:r>
      <w:r w:rsidR="00EE41E6" w:rsidRPr="005641E3">
        <w:rPr>
          <w:rFonts w:ascii="Arial" w:hAnsi="Arial" w:cs="Arial"/>
          <w:color w:val="auto"/>
          <w:sz w:val="24"/>
          <w:szCs w:val="24"/>
        </w:rPr>
        <w:t>2</w:t>
      </w:r>
      <w:r w:rsidRPr="005641E3">
        <w:rPr>
          <w:rFonts w:ascii="Arial" w:hAnsi="Arial" w:cs="Arial"/>
          <w:color w:val="auto"/>
          <w:sz w:val="24"/>
          <w:szCs w:val="24"/>
        </w:rPr>
        <w:t xml:space="preserve"> Desviaciones de mayor relevancia</w:t>
      </w:r>
      <w:bookmarkEnd w:id="32"/>
    </w:p>
    <w:p w14:paraId="4C614BC4" w14:textId="36630432" w:rsidR="004152A3" w:rsidRDefault="004152A3" w:rsidP="00452713">
      <w:pPr>
        <w:pStyle w:val="Prrafodelista"/>
        <w:spacing w:after="0"/>
        <w:ind w:left="0"/>
        <w:jc w:val="both"/>
        <w:rPr>
          <w:rFonts w:ascii="Arial" w:eastAsia="Times New Roman" w:hAnsi="Arial" w:cs="Arial"/>
          <w:sz w:val="24"/>
          <w:szCs w:val="24"/>
          <w:lang w:eastAsia="es-MX"/>
        </w:rPr>
      </w:pPr>
      <w:r w:rsidRPr="00F435E2">
        <w:rPr>
          <w:rFonts w:ascii="Arial" w:eastAsia="Times New Roman" w:hAnsi="Arial" w:cs="Arial"/>
          <w:sz w:val="24"/>
          <w:szCs w:val="24"/>
          <w:lang w:eastAsia="es-MX"/>
        </w:rPr>
        <w:t>El avance en la cantidad de hectáreas sometidas al Pago por Servicios Ambientales por modalidad es bajo</w:t>
      </w:r>
      <w:r>
        <w:rPr>
          <w:rFonts w:ascii="Arial" w:eastAsia="Times New Roman" w:hAnsi="Arial" w:cs="Arial"/>
          <w:sz w:val="24"/>
          <w:szCs w:val="24"/>
          <w:lang w:eastAsia="es-MX"/>
        </w:rPr>
        <w:t xml:space="preserve"> y resulta trascendental corregir la situación, debido a que este indicador figura como un compromiso institucional en diversos instrumentos de planificación institucional, sectorial y nacional. No obstante, de acuerdo con el comportamiento de los últimos años, es normal contar con un bajo desempeño la primera mitad del año y repuntar en la segunda mitad.</w:t>
      </w:r>
    </w:p>
    <w:p w14:paraId="0FA4B0BC" w14:textId="77777777" w:rsidR="00BB1028" w:rsidRDefault="00BB1028" w:rsidP="00452713">
      <w:pPr>
        <w:pStyle w:val="Prrafodelista"/>
        <w:spacing w:after="0"/>
        <w:ind w:left="0"/>
        <w:jc w:val="both"/>
        <w:rPr>
          <w:rFonts w:ascii="Arial" w:eastAsia="Times New Roman" w:hAnsi="Arial" w:cs="Arial"/>
          <w:sz w:val="24"/>
          <w:szCs w:val="24"/>
          <w:lang w:eastAsia="es-MX"/>
        </w:rPr>
      </w:pPr>
    </w:p>
    <w:p w14:paraId="031087F8" w14:textId="3C1CC31C" w:rsidR="004152A3" w:rsidRDefault="004152A3" w:rsidP="00452713">
      <w:pPr>
        <w:pStyle w:val="Prrafodelista"/>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Respecto a las hectáreas colocadas por medio del Programa de Reducción de Emisiones Forestales la situación parece ser más preocupante, debido a que es el primer año de colocación del Programa, la meta en hectáreas es aún más alta que la fijada para el </w:t>
      </w:r>
      <w:r w:rsidRPr="00113B3D">
        <w:rPr>
          <w:rFonts w:ascii="Arial" w:eastAsia="Times New Roman" w:hAnsi="Arial" w:cs="Arial"/>
          <w:sz w:val="24"/>
          <w:szCs w:val="24"/>
          <w:lang w:eastAsia="es-MX"/>
        </w:rPr>
        <w:t>PPSA y el retraso a la fecha de corte es aún mayor.</w:t>
      </w:r>
    </w:p>
    <w:p w14:paraId="3675E675" w14:textId="77777777" w:rsidR="00BB1028" w:rsidRPr="00113B3D" w:rsidRDefault="00BB1028" w:rsidP="00452713">
      <w:pPr>
        <w:pStyle w:val="Prrafodelista"/>
        <w:spacing w:after="0"/>
        <w:ind w:left="0"/>
        <w:jc w:val="both"/>
        <w:rPr>
          <w:rFonts w:ascii="Arial" w:eastAsia="Times New Roman" w:hAnsi="Arial" w:cs="Arial"/>
          <w:sz w:val="24"/>
          <w:szCs w:val="24"/>
          <w:lang w:eastAsia="es-MX"/>
        </w:rPr>
      </w:pPr>
    </w:p>
    <w:p w14:paraId="37C15A11" w14:textId="4A438FA9" w:rsidR="004152A3" w:rsidRDefault="004152A3" w:rsidP="00452713">
      <w:pPr>
        <w:pStyle w:val="Prrafodelista"/>
        <w:spacing w:after="0"/>
        <w:ind w:left="0"/>
        <w:jc w:val="both"/>
        <w:rPr>
          <w:rFonts w:ascii="Arial" w:eastAsia="Times New Roman" w:hAnsi="Arial" w:cs="Arial"/>
          <w:sz w:val="24"/>
          <w:szCs w:val="24"/>
          <w:lang w:eastAsia="es-MX"/>
        </w:rPr>
      </w:pPr>
      <w:r w:rsidRPr="00113B3D">
        <w:rPr>
          <w:rFonts w:ascii="Arial" w:eastAsia="Times New Roman" w:hAnsi="Arial" w:cs="Arial"/>
          <w:sz w:val="24"/>
          <w:szCs w:val="24"/>
          <w:lang w:eastAsia="es-MX"/>
        </w:rPr>
        <w:t xml:space="preserve">Por último, en el Programa de Manejo </w:t>
      </w:r>
      <w:r w:rsidRPr="00160993">
        <w:rPr>
          <w:rFonts w:ascii="Arial" w:eastAsia="Times New Roman" w:hAnsi="Arial" w:cs="Arial"/>
          <w:sz w:val="24"/>
          <w:szCs w:val="24"/>
          <w:lang w:eastAsia="es-MX"/>
        </w:rPr>
        <w:t>del Fuego hay un retraso muy importante, puesto que a la fecha de corte el poco presupuesto ejecutado es únicamente sobre planillas, estando pendiente realizar las contrataciones esperadas para el periodo.</w:t>
      </w:r>
    </w:p>
    <w:p w14:paraId="1CEB29AD" w14:textId="04AA9F2D" w:rsidR="009234D9" w:rsidRDefault="009234D9" w:rsidP="00452713">
      <w:pPr>
        <w:pStyle w:val="Prrafodelista"/>
        <w:spacing w:after="0"/>
        <w:ind w:left="0"/>
        <w:jc w:val="both"/>
        <w:rPr>
          <w:rFonts w:ascii="Arial" w:eastAsia="Times New Roman" w:hAnsi="Arial" w:cs="Arial"/>
          <w:sz w:val="24"/>
          <w:szCs w:val="24"/>
          <w:lang w:eastAsia="es-MX"/>
        </w:rPr>
      </w:pPr>
    </w:p>
    <w:p w14:paraId="20A94636" w14:textId="18F73653" w:rsidR="009234D9" w:rsidRDefault="009234D9" w:rsidP="00452713">
      <w:pPr>
        <w:pStyle w:val="Prrafodelista"/>
        <w:spacing w:after="0"/>
        <w:ind w:left="0"/>
        <w:jc w:val="both"/>
        <w:rPr>
          <w:rFonts w:ascii="Arial" w:eastAsia="Times New Roman" w:hAnsi="Arial" w:cs="Arial"/>
          <w:sz w:val="24"/>
          <w:szCs w:val="24"/>
          <w:lang w:eastAsia="es-MX"/>
        </w:rPr>
      </w:pPr>
    </w:p>
    <w:p w14:paraId="5EEBC42D" w14:textId="15D1CAC4" w:rsidR="009234D9" w:rsidRDefault="009234D9" w:rsidP="00452713">
      <w:pPr>
        <w:pStyle w:val="Prrafodelista"/>
        <w:spacing w:after="0"/>
        <w:ind w:left="0"/>
        <w:jc w:val="both"/>
        <w:rPr>
          <w:rFonts w:ascii="Arial" w:eastAsia="Times New Roman" w:hAnsi="Arial" w:cs="Arial"/>
          <w:sz w:val="24"/>
          <w:szCs w:val="24"/>
          <w:lang w:eastAsia="es-MX"/>
        </w:rPr>
      </w:pPr>
    </w:p>
    <w:p w14:paraId="2C5C8191" w14:textId="77777777" w:rsidR="009234D9" w:rsidRDefault="009234D9" w:rsidP="00452713">
      <w:pPr>
        <w:pStyle w:val="Prrafodelista"/>
        <w:spacing w:after="0"/>
        <w:ind w:left="0"/>
        <w:jc w:val="both"/>
        <w:rPr>
          <w:rFonts w:ascii="Arial" w:eastAsia="Times New Roman" w:hAnsi="Arial" w:cs="Arial"/>
          <w:sz w:val="24"/>
          <w:szCs w:val="24"/>
          <w:lang w:eastAsia="es-MX"/>
        </w:rPr>
      </w:pPr>
    </w:p>
    <w:p w14:paraId="0313CCDB" w14:textId="67369F59" w:rsidR="00452713" w:rsidRDefault="00452713" w:rsidP="00452713">
      <w:pPr>
        <w:pStyle w:val="Prrafodelista"/>
        <w:spacing w:after="0"/>
        <w:ind w:left="0"/>
        <w:jc w:val="both"/>
        <w:rPr>
          <w:rFonts w:ascii="Arial" w:eastAsia="Times New Roman" w:hAnsi="Arial" w:cs="Arial"/>
          <w:sz w:val="24"/>
          <w:szCs w:val="24"/>
          <w:lang w:eastAsia="es-MX"/>
        </w:rPr>
      </w:pPr>
    </w:p>
    <w:p w14:paraId="358BFCC3" w14:textId="77777777" w:rsidR="00452713" w:rsidRPr="00160993" w:rsidRDefault="00452713" w:rsidP="00452713">
      <w:pPr>
        <w:pStyle w:val="Prrafodelista"/>
        <w:spacing w:after="0"/>
        <w:ind w:left="0"/>
        <w:jc w:val="both"/>
        <w:rPr>
          <w:rFonts w:ascii="Arial" w:eastAsia="Times New Roman" w:hAnsi="Arial" w:cs="Arial"/>
          <w:sz w:val="24"/>
          <w:szCs w:val="24"/>
          <w:lang w:eastAsia="es-MX"/>
        </w:rPr>
      </w:pPr>
    </w:p>
    <w:p w14:paraId="69D16BEE" w14:textId="0632F772" w:rsidR="00666B67" w:rsidRDefault="009031CC" w:rsidP="00452713">
      <w:pPr>
        <w:pStyle w:val="Ttulo2"/>
        <w:rPr>
          <w:rFonts w:ascii="Arial" w:hAnsi="Arial" w:cs="Arial"/>
          <w:color w:val="auto"/>
          <w:sz w:val="24"/>
          <w:szCs w:val="24"/>
        </w:rPr>
      </w:pPr>
      <w:bookmarkStart w:id="33" w:name="_Toc109980610"/>
      <w:r w:rsidRPr="005641E3">
        <w:rPr>
          <w:rFonts w:ascii="Arial" w:hAnsi="Arial" w:cs="Arial"/>
          <w:color w:val="auto"/>
          <w:sz w:val="24"/>
          <w:szCs w:val="24"/>
        </w:rPr>
        <w:t>9.</w:t>
      </w:r>
      <w:r w:rsidR="00EE41E6" w:rsidRPr="005641E3">
        <w:rPr>
          <w:rFonts w:ascii="Arial" w:hAnsi="Arial" w:cs="Arial"/>
          <w:color w:val="auto"/>
          <w:sz w:val="24"/>
          <w:szCs w:val="24"/>
        </w:rPr>
        <w:t>3</w:t>
      </w:r>
      <w:r w:rsidRPr="005641E3">
        <w:rPr>
          <w:rFonts w:ascii="Arial" w:hAnsi="Arial" w:cs="Arial"/>
          <w:color w:val="auto"/>
          <w:sz w:val="24"/>
          <w:szCs w:val="24"/>
        </w:rPr>
        <w:t xml:space="preserve"> Análisis del desempeño institucional</w:t>
      </w:r>
      <w:bookmarkEnd w:id="33"/>
    </w:p>
    <w:p w14:paraId="08E870F0" w14:textId="71D96DBA" w:rsidR="004152A3" w:rsidRDefault="004152A3" w:rsidP="00452713">
      <w:pPr>
        <w:spacing w:after="0"/>
        <w:jc w:val="both"/>
        <w:rPr>
          <w:rFonts w:ascii="Arial" w:hAnsi="Arial" w:cs="Arial"/>
          <w:sz w:val="24"/>
          <w:szCs w:val="24"/>
        </w:rPr>
      </w:pPr>
      <w:r w:rsidRPr="00160993">
        <w:rPr>
          <w:rFonts w:ascii="Arial" w:hAnsi="Arial" w:cs="Arial"/>
          <w:sz w:val="24"/>
          <w:szCs w:val="24"/>
        </w:rPr>
        <w:t>Al cierre del primer semestre la institución ha logrado un avance del 102,96%, calificación que se obtiene al ponderar los resultados de todas las áreas</w:t>
      </w:r>
      <w:r w:rsidR="00452713">
        <w:rPr>
          <w:rFonts w:ascii="Arial" w:hAnsi="Arial" w:cs="Arial"/>
          <w:sz w:val="24"/>
          <w:szCs w:val="24"/>
        </w:rPr>
        <w:t xml:space="preserve"> </w:t>
      </w:r>
      <w:r w:rsidRPr="00160993">
        <w:rPr>
          <w:rFonts w:ascii="Arial" w:hAnsi="Arial" w:cs="Arial"/>
          <w:sz w:val="24"/>
          <w:szCs w:val="24"/>
        </w:rPr>
        <w:t>institucionales. Por otro lado, a nivel acumulado, la institución esperaba haber avanzado un 39,95% de avance institucional, y ha alcanzado un total de 41,14%.</w:t>
      </w:r>
    </w:p>
    <w:p w14:paraId="5841508C" w14:textId="77777777" w:rsidR="004152A3" w:rsidRDefault="004152A3" w:rsidP="00452713">
      <w:pPr>
        <w:spacing w:after="0"/>
        <w:jc w:val="both"/>
        <w:rPr>
          <w:rFonts w:ascii="Arial" w:hAnsi="Arial" w:cs="Arial"/>
          <w:sz w:val="24"/>
          <w:szCs w:val="24"/>
        </w:rPr>
      </w:pPr>
    </w:p>
    <w:p w14:paraId="5CBBEEE3" w14:textId="77777777" w:rsidR="004152A3" w:rsidRDefault="004152A3" w:rsidP="00452713">
      <w:pPr>
        <w:spacing w:after="0"/>
        <w:jc w:val="both"/>
        <w:rPr>
          <w:rFonts w:ascii="Arial" w:hAnsi="Arial" w:cs="Arial"/>
          <w:sz w:val="24"/>
          <w:szCs w:val="24"/>
        </w:rPr>
      </w:pPr>
      <w:r>
        <w:rPr>
          <w:rFonts w:ascii="Arial" w:hAnsi="Arial" w:cs="Arial"/>
          <w:sz w:val="24"/>
          <w:szCs w:val="24"/>
        </w:rPr>
        <w:t>Dicho porcentaje de avance se puede catalogar como bueno para la institución, puesto que por la naturaleza de sus programas la mayor ejecución física de indicadores se ubica en la segunda mitad del año.</w:t>
      </w:r>
    </w:p>
    <w:p w14:paraId="30C8671D" w14:textId="77777777" w:rsidR="004152A3" w:rsidRDefault="004152A3" w:rsidP="00452713">
      <w:pPr>
        <w:spacing w:after="0"/>
        <w:jc w:val="both"/>
        <w:rPr>
          <w:rFonts w:ascii="Arial" w:hAnsi="Arial" w:cs="Arial"/>
          <w:sz w:val="24"/>
          <w:szCs w:val="24"/>
        </w:rPr>
      </w:pPr>
    </w:p>
    <w:p w14:paraId="79E7382D" w14:textId="3D535CE6" w:rsidR="00BB1028" w:rsidRDefault="004152A3" w:rsidP="00452713">
      <w:pPr>
        <w:spacing w:after="0"/>
        <w:jc w:val="both"/>
        <w:rPr>
          <w:rFonts w:ascii="Arial" w:hAnsi="Arial" w:cs="Arial"/>
          <w:sz w:val="24"/>
          <w:szCs w:val="24"/>
        </w:rPr>
      </w:pPr>
      <w:r>
        <w:rPr>
          <w:rFonts w:ascii="Arial" w:hAnsi="Arial" w:cs="Arial"/>
          <w:sz w:val="24"/>
          <w:szCs w:val="24"/>
        </w:rPr>
        <w:t xml:space="preserve">Con el Programa de Pag por Servicios Ambientales se ha inyectado una cantidad importante de recursos a la economía nacional, la cual contribuye a disminuir el impacto ocasionado por la pandemia del COVID-19 y a la vez dinamiza la economía, </w:t>
      </w:r>
    </w:p>
    <w:p w14:paraId="1328858D" w14:textId="4D315DC5" w:rsidR="004152A3" w:rsidRDefault="004152A3" w:rsidP="00452713">
      <w:pPr>
        <w:spacing w:after="0"/>
        <w:jc w:val="both"/>
        <w:rPr>
          <w:rFonts w:ascii="Arial" w:hAnsi="Arial" w:cs="Arial"/>
          <w:sz w:val="24"/>
          <w:szCs w:val="24"/>
        </w:rPr>
      </w:pPr>
      <w:r>
        <w:rPr>
          <w:rFonts w:ascii="Arial" w:hAnsi="Arial" w:cs="Arial"/>
          <w:sz w:val="24"/>
          <w:szCs w:val="24"/>
        </w:rPr>
        <w:t>principalmente del sector forestal costarricense. Del mismo modo, con el Programa de Crédito Forestal se ha incentivado el funcionamiento de la industria forestal, afectando directa en la generación de empleos.</w:t>
      </w:r>
    </w:p>
    <w:p w14:paraId="255BA869" w14:textId="48588927" w:rsidR="00452713" w:rsidRPr="00452713" w:rsidRDefault="00F66BFC" w:rsidP="00452713">
      <w:pPr>
        <w:pStyle w:val="Ttulo2"/>
        <w:rPr>
          <w:rFonts w:ascii="Arial" w:hAnsi="Arial" w:cs="Arial"/>
          <w:color w:val="auto"/>
          <w:sz w:val="24"/>
          <w:szCs w:val="24"/>
        </w:rPr>
      </w:pPr>
      <w:bookmarkStart w:id="34" w:name="_Toc109980611"/>
      <w:r w:rsidRPr="005641E3">
        <w:rPr>
          <w:rFonts w:ascii="Arial" w:hAnsi="Arial" w:cs="Arial"/>
          <w:color w:val="auto"/>
          <w:sz w:val="24"/>
          <w:szCs w:val="24"/>
        </w:rPr>
        <w:t>9.</w:t>
      </w:r>
      <w:r w:rsidR="00EE41E6" w:rsidRPr="005641E3">
        <w:rPr>
          <w:rFonts w:ascii="Arial" w:hAnsi="Arial" w:cs="Arial"/>
          <w:color w:val="auto"/>
          <w:sz w:val="24"/>
          <w:szCs w:val="24"/>
        </w:rPr>
        <w:t>4</w:t>
      </w:r>
      <w:r w:rsidRPr="005641E3">
        <w:rPr>
          <w:rFonts w:ascii="Arial" w:hAnsi="Arial" w:cs="Arial"/>
          <w:color w:val="auto"/>
          <w:sz w:val="24"/>
          <w:szCs w:val="24"/>
        </w:rPr>
        <w:t xml:space="preserve"> </w:t>
      </w:r>
      <w:r w:rsidR="00666B67" w:rsidRPr="005641E3">
        <w:rPr>
          <w:rFonts w:ascii="Arial" w:hAnsi="Arial" w:cs="Arial"/>
          <w:color w:val="auto"/>
          <w:sz w:val="24"/>
          <w:szCs w:val="24"/>
        </w:rPr>
        <w:t xml:space="preserve">Medidas </w:t>
      </w:r>
      <w:r w:rsidRPr="005641E3">
        <w:rPr>
          <w:rFonts w:ascii="Arial" w:hAnsi="Arial" w:cs="Arial"/>
          <w:color w:val="auto"/>
          <w:sz w:val="24"/>
          <w:szCs w:val="24"/>
        </w:rPr>
        <w:t>correctivas</w:t>
      </w:r>
      <w:bookmarkEnd w:id="34"/>
      <w:r w:rsidR="00666B67" w:rsidRPr="005641E3">
        <w:rPr>
          <w:rFonts w:ascii="Arial" w:hAnsi="Arial" w:cs="Arial"/>
          <w:color w:val="auto"/>
          <w:sz w:val="24"/>
          <w:szCs w:val="24"/>
        </w:rPr>
        <w:t xml:space="preserve"> </w:t>
      </w:r>
    </w:p>
    <w:bookmarkEnd w:id="29"/>
    <w:p w14:paraId="1D66E418" w14:textId="77777777" w:rsidR="004152A3" w:rsidRDefault="004152A3" w:rsidP="00452713">
      <w:pPr>
        <w:spacing w:after="0"/>
        <w:jc w:val="both"/>
        <w:rPr>
          <w:rFonts w:ascii="Arial" w:hAnsi="Arial" w:cs="Arial"/>
          <w:sz w:val="24"/>
          <w:szCs w:val="24"/>
        </w:rPr>
      </w:pPr>
      <w:r w:rsidRPr="004B58EA">
        <w:rPr>
          <w:rFonts w:ascii="Arial" w:hAnsi="Arial" w:cs="Arial"/>
          <w:sz w:val="24"/>
          <w:szCs w:val="24"/>
        </w:rPr>
        <w:t>A pesar de que porcentualmente la institución cuenta con un buen desempeño de forma general, se debe considerar que la calificación institucional está mediada por diversos factores, como que se programa un</w:t>
      </w:r>
      <w:r>
        <w:rPr>
          <w:rFonts w:ascii="Arial" w:hAnsi="Arial" w:cs="Arial"/>
          <w:sz w:val="24"/>
          <w:szCs w:val="24"/>
        </w:rPr>
        <w:t xml:space="preserve"> </w:t>
      </w:r>
      <w:r w:rsidRPr="004B58EA">
        <w:rPr>
          <w:rFonts w:ascii="Arial" w:hAnsi="Arial" w:cs="Arial"/>
          <w:sz w:val="24"/>
          <w:szCs w:val="24"/>
        </w:rPr>
        <w:t xml:space="preserve">menor avance de metas sustantivas durante el primer </w:t>
      </w:r>
      <w:r>
        <w:rPr>
          <w:rFonts w:ascii="Arial" w:hAnsi="Arial" w:cs="Arial"/>
          <w:sz w:val="24"/>
          <w:szCs w:val="24"/>
        </w:rPr>
        <w:t>semestre</w:t>
      </w:r>
      <w:r w:rsidRPr="004B58EA">
        <w:rPr>
          <w:rFonts w:ascii="Arial" w:hAnsi="Arial" w:cs="Arial"/>
          <w:sz w:val="24"/>
          <w:szCs w:val="24"/>
        </w:rPr>
        <w:t xml:space="preserve"> en comparación con el segundo, y, que, la nota está co</w:t>
      </w:r>
      <w:r>
        <w:rPr>
          <w:rFonts w:ascii="Arial" w:hAnsi="Arial" w:cs="Arial"/>
          <w:sz w:val="24"/>
          <w:szCs w:val="24"/>
        </w:rPr>
        <w:t>m</w:t>
      </w:r>
      <w:r w:rsidRPr="004B58EA">
        <w:rPr>
          <w:rFonts w:ascii="Arial" w:hAnsi="Arial" w:cs="Arial"/>
          <w:sz w:val="24"/>
          <w:szCs w:val="24"/>
        </w:rPr>
        <w:t>puesta por todas las áreas funcionales de la institución, lo que genera que en ocasiones áreas de apoyo incrementen la calificación institucional.</w:t>
      </w:r>
    </w:p>
    <w:p w14:paraId="3A4B7055" w14:textId="77777777" w:rsidR="00BE35DD" w:rsidRDefault="00BE35DD" w:rsidP="00452713">
      <w:pPr>
        <w:spacing w:after="0"/>
        <w:jc w:val="both"/>
        <w:rPr>
          <w:rFonts w:ascii="Arial" w:hAnsi="Arial" w:cs="Arial"/>
          <w:sz w:val="24"/>
          <w:szCs w:val="24"/>
        </w:rPr>
      </w:pPr>
    </w:p>
    <w:p w14:paraId="046D63F1" w14:textId="3D6BCB40" w:rsidR="004152A3" w:rsidRDefault="004152A3" w:rsidP="00452713">
      <w:pPr>
        <w:spacing w:after="0"/>
        <w:jc w:val="both"/>
        <w:rPr>
          <w:rFonts w:ascii="Arial" w:hAnsi="Arial" w:cs="Arial"/>
          <w:sz w:val="24"/>
          <w:szCs w:val="24"/>
        </w:rPr>
      </w:pPr>
      <w:r>
        <w:rPr>
          <w:rFonts w:ascii="Arial" w:hAnsi="Arial" w:cs="Arial"/>
          <w:sz w:val="24"/>
          <w:szCs w:val="24"/>
        </w:rPr>
        <w:t>Considerando lo anterior, y enfocándose únicamente en los resultados obtenidos por las áreas sustantivas y en especial por los cuatro indicadores del apartado uno, el desempeño institucional es bajo. En virtud de lo expuesto, se debe dar prioridad a la atención de los programas sustantivos para aumentar el desempeño en la segunda mitad del año. Algunas medidas a seguir son:</w:t>
      </w:r>
    </w:p>
    <w:p w14:paraId="6B6120E0" w14:textId="77777777" w:rsidR="00452713" w:rsidRDefault="00452713" w:rsidP="00452713">
      <w:pPr>
        <w:spacing w:after="0"/>
        <w:jc w:val="both"/>
        <w:rPr>
          <w:rFonts w:ascii="Arial" w:hAnsi="Arial" w:cs="Arial"/>
          <w:sz w:val="24"/>
          <w:szCs w:val="24"/>
        </w:rPr>
      </w:pPr>
    </w:p>
    <w:p w14:paraId="2960DEEA" w14:textId="04CA5757" w:rsidR="007F4708" w:rsidRPr="00452713" w:rsidRDefault="004152A3" w:rsidP="00FA0F32">
      <w:pPr>
        <w:pStyle w:val="Prrafodelista"/>
        <w:numPr>
          <w:ilvl w:val="0"/>
          <w:numId w:val="19"/>
        </w:numPr>
        <w:spacing w:after="0"/>
        <w:jc w:val="both"/>
        <w:rPr>
          <w:rFonts w:ascii="Arial" w:hAnsi="Arial" w:cs="Arial"/>
          <w:sz w:val="24"/>
          <w:szCs w:val="24"/>
        </w:rPr>
      </w:pPr>
      <w:r w:rsidRPr="00452713">
        <w:rPr>
          <w:rFonts w:ascii="Arial" w:hAnsi="Arial" w:cs="Arial"/>
          <w:sz w:val="24"/>
          <w:szCs w:val="24"/>
        </w:rPr>
        <w:t>Programa de Pago por Servicios Ambientales: se debe tomar en consideración que históricamente este programa aumenta la colocación de</w:t>
      </w:r>
    </w:p>
    <w:p w14:paraId="61685809" w14:textId="04548324" w:rsidR="00BE35DD" w:rsidRDefault="004152A3" w:rsidP="00452713">
      <w:pPr>
        <w:pStyle w:val="Prrafodelista"/>
        <w:spacing w:after="0"/>
        <w:ind w:left="644"/>
        <w:jc w:val="both"/>
        <w:rPr>
          <w:rFonts w:ascii="Arial" w:hAnsi="Arial" w:cs="Arial"/>
          <w:sz w:val="24"/>
          <w:szCs w:val="24"/>
        </w:rPr>
      </w:pPr>
      <w:r>
        <w:rPr>
          <w:rFonts w:ascii="Arial" w:hAnsi="Arial" w:cs="Arial"/>
          <w:sz w:val="24"/>
          <w:szCs w:val="24"/>
        </w:rPr>
        <w:t xml:space="preserve">hectáreas financiadas durante la segunda mitad del año. Se dará prioridad a la contratación de nuevas hectáreas y se mantendrán las acciones vigentes </w:t>
      </w:r>
    </w:p>
    <w:p w14:paraId="7F4A0BC6" w14:textId="77777777" w:rsidR="009234D9" w:rsidRDefault="004152A3" w:rsidP="00452713">
      <w:pPr>
        <w:pStyle w:val="Prrafodelista"/>
        <w:spacing w:after="0"/>
        <w:ind w:left="644"/>
        <w:jc w:val="both"/>
        <w:rPr>
          <w:rFonts w:ascii="Arial" w:hAnsi="Arial" w:cs="Arial"/>
          <w:sz w:val="24"/>
          <w:szCs w:val="24"/>
        </w:rPr>
      </w:pPr>
      <w:r>
        <w:rPr>
          <w:rFonts w:ascii="Arial" w:hAnsi="Arial" w:cs="Arial"/>
          <w:sz w:val="24"/>
          <w:szCs w:val="24"/>
        </w:rPr>
        <w:t>propias de la operación del programa relacionadas con la valoración y calificación de solicitudes, registro de datos en sistemas de información,</w:t>
      </w:r>
      <w:r w:rsidR="009234D9">
        <w:rPr>
          <w:rFonts w:ascii="Arial" w:hAnsi="Arial" w:cs="Arial"/>
          <w:sz w:val="24"/>
          <w:szCs w:val="24"/>
        </w:rPr>
        <w:t xml:space="preserve"> </w:t>
      </w:r>
    </w:p>
    <w:p w14:paraId="1D5F4011" w14:textId="77777777" w:rsidR="009234D9" w:rsidRDefault="009234D9" w:rsidP="00452713">
      <w:pPr>
        <w:pStyle w:val="Prrafodelista"/>
        <w:spacing w:after="0"/>
        <w:ind w:left="644"/>
        <w:jc w:val="both"/>
        <w:rPr>
          <w:rFonts w:ascii="Arial" w:hAnsi="Arial" w:cs="Arial"/>
          <w:sz w:val="24"/>
          <w:szCs w:val="24"/>
        </w:rPr>
      </w:pPr>
    </w:p>
    <w:p w14:paraId="572C8328" w14:textId="77777777" w:rsidR="009234D9" w:rsidRDefault="009234D9" w:rsidP="00452713">
      <w:pPr>
        <w:pStyle w:val="Prrafodelista"/>
        <w:spacing w:after="0"/>
        <w:ind w:left="644"/>
        <w:jc w:val="both"/>
        <w:rPr>
          <w:rFonts w:ascii="Arial" w:hAnsi="Arial" w:cs="Arial"/>
          <w:sz w:val="24"/>
          <w:szCs w:val="24"/>
        </w:rPr>
      </w:pPr>
    </w:p>
    <w:p w14:paraId="5464BF3B" w14:textId="6A298DA9" w:rsidR="004152A3" w:rsidRDefault="004152A3" w:rsidP="00452713">
      <w:pPr>
        <w:pStyle w:val="Prrafodelista"/>
        <w:spacing w:after="0"/>
        <w:ind w:left="644"/>
        <w:jc w:val="both"/>
        <w:rPr>
          <w:rFonts w:ascii="Arial" w:hAnsi="Arial" w:cs="Arial"/>
          <w:sz w:val="24"/>
          <w:szCs w:val="24"/>
        </w:rPr>
      </w:pPr>
      <w:r>
        <w:rPr>
          <w:rFonts w:ascii="Arial" w:hAnsi="Arial" w:cs="Arial"/>
          <w:sz w:val="24"/>
          <w:szCs w:val="24"/>
        </w:rPr>
        <w:t>geolocalización de áreas, visitas de campo, revisión de informes de regencia y aprobaciones de pago para la mejor ejecución del PPSA.</w:t>
      </w:r>
    </w:p>
    <w:p w14:paraId="534632AA" w14:textId="77777777" w:rsidR="00452713" w:rsidRDefault="00452713" w:rsidP="00452713">
      <w:pPr>
        <w:pStyle w:val="Prrafodelista"/>
        <w:spacing w:after="0"/>
        <w:ind w:left="644"/>
        <w:jc w:val="both"/>
        <w:rPr>
          <w:rFonts w:ascii="Arial" w:hAnsi="Arial" w:cs="Arial"/>
          <w:sz w:val="24"/>
          <w:szCs w:val="24"/>
        </w:rPr>
      </w:pPr>
    </w:p>
    <w:p w14:paraId="08E7BF56" w14:textId="5FAACD3E" w:rsidR="009234D9" w:rsidRPr="009234D9" w:rsidRDefault="004152A3" w:rsidP="009463E5">
      <w:pPr>
        <w:pStyle w:val="Prrafodelista"/>
        <w:numPr>
          <w:ilvl w:val="0"/>
          <w:numId w:val="19"/>
        </w:numPr>
        <w:spacing w:after="0"/>
        <w:jc w:val="both"/>
        <w:rPr>
          <w:rFonts w:ascii="Arial" w:hAnsi="Arial" w:cs="Arial"/>
          <w:sz w:val="24"/>
          <w:szCs w:val="24"/>
        </w:rPr>
      </w:pPr>
      <w:r w:rsidRPr="009234D9">
        <w:rPr>
          <w:rFonts w:ascii="Arial" w:hAnsi="Arial" w:cs="Arial"/>
          <w:sz w:val="24"/>
          <w:szCs w:val="24"/>
        </w:rPr>
        <w:t>Programa de Reducción de Emisiones Forestales: como se indicó anteriormente, en los próximos meses la secretaría técnica de la estrategia REDD+ y el Fonafifo, se avocarán a afinar los detalles pendientes en cuanto</w:t>
      </w:r>
    </w:p>
    <w:p w14:paraId="38091B77" w14:textId="0EF28512" w:rsidR="004152A3" w:rsidRPr="00452713" w:rsidRDefault="004152A3" w:rsidP="009234D9">
      <w:pPr>
        <w:pStyle w:val="Prrafodelista"/>
        <w:spacing w:after="0"/>
        <w:ind w:left="644"/>
        <w:jc w:val="both"/>
        <w:rPr>
          <w:rFonts w:ascii="Arial" w:hAnsi="Arial" w:cs="Arial"/>
          <w:color w:val="000000"/>
          <w:sz w:val="24"/>
          <w:szCs w:val="24"/>
          <w:lang w:eastAsia="es-MX"/>
        </w:rPr>
      </w:pPr>
      <w:r>
        <w:rPr>
          <w:rFonts w:ascii="Arial" w:hAnsi="Arial" w:cs="Arial"/>
          <w:sz w:val="24"/>
          <w:szCs w:val="24"/>
        </w:rPr>
        <w:t>a procedimientos para la ejecución del programa, así como para permitir la inclusión de poseedores de fincas y obtener la modificación reglamentaria necesaria para la operativización del programa.</w:t>
      </w:r>
    </w:p>
    <w:p w14:paraId="2A2736BD" w14:textId="77777777" w:rsidR="00452713" w:rsidRPr="006A045B" w:rsidRDefault="00452713" w:rsidP="00452713">
      <w:pPr>
        <w:pStyle w:val="Prrafodelista"/>
        <w:spacing w:after="0"/>
        <w:ind w:left="644"/>
        <w:jc w:val="both"/>
        <w:rPr>
          <w:rFonts w:ascii="Arial" w:hAnsi="Arial" w:cs="Arial"/>
          <w:color w:val="000000"/>
          <w:sz w:val="24"/>
          <w:szCs w:val="24"/>
          <w:lang w:eastAsia="es-MX"/>
        </w:rPr>
      </w:pPr>
    </w:p>
    <w:p w14:paraId="506F86B0" w14:textId="0D14CE34" w:rsidR="004152A3" w:rsidRDefault="004152A3" w:rsidP="00452713">
      <w:pPr>
        <w:pStyle w:val="Prrafodelista"/>
        <w:numPr>
          <w:ilvl w:val="0"/>
          <w:numId w:val="19"/>
        </w:numPr>
        <w:spacing w:after="0"/>
        <w:jc w:val="both"/>
        <w:rPr>
          <w:rFonts w:ascii="Arial" w:hAnsi="Arial" w:cs="Arial"/>
          <w:sz w:val="24"/>
          <w:szCs w:val="24"/>
        </w:rPr>
      </w:pPr>
      <w:r>
        <w:rPr>
          <w:rFonts w:ascii="Arial" w:hAnsi="Arial" w:cs="Arial"/>
          <w:sz w:val="24"/>
          <w:szCs w:val="24"/>
        </w:rPr>
        <w:t xml:space="preserve">Programa de </w:t>
      </w:r>
      <w:r w:rsidRPr="0069153D">
        <w:rPr>
          <w:rFonts w:ascii="Arial" w:hAnsi="Arial" w:cs="Arial"/>
          <w:sz w:val="24"/>
          <w:szCs w:val="24"/>
        </w:rPr>
        <w:t>Manejo del Fuego</w:t>
      </w:r>
      <w:r>
        <w:rPr>
          <w:rFonts w:ascii="Arial" w:hAnsi="Arial" w:cs="Arial"/>
          <w:sz w:val="24"/>
          <w:szCs w:val="24"/>
        </w:rPr>
        <w:t xml:space="preserve">: se brindará acompañamiento a los procesos de contratación de los bienes y servicios requerido por el </w:t>
      </w:r>
      <w:r w:rsidR="00720614">
        <w:rPr>
          <w:rFonts w:ascii="Arial" w:hAnsi="Arial" w:cs="Arial"/>
          <w:sz w:val="24"/>
          <w:szCs w:val="24"/>
        </w:rPr>
        <w:t>SINAC</w:t>
      </w:r>
      <w:r>
        <w:rPr>
          <w:rFonts w:ascii="Arial" w:hAnsi="Arial" w:cs="Arial"/>
          <w:sz w:val="24"/>
          <w:szCs w:val="24"/>
        </w:rPr>
        <w:t>, para realizar el pago de los mismos de forma oportuna.</w:t>
      </w:r>
    </w:p>
    <w:bookmarkEnd w:id="26"/>
    <w:p w14:paraId="618EDB56" w14:textId="77777777" w:rsidR="004152A3" w:rsidRPr="00CD1BBF" w:rsidRDefault="004152A3" w:rsidP="00452713">
      <w:pPr>
        <w:spacing w:after="0"/>
        <w:rPr>
          <w:rFonts w:ascii="Arial" w:hAnsi="Arial" w:cs="Arial"/>
          <w:color w:val="000000"/>
          <w:sz w:val="24"/>
          <w:szCs w:val="24"/>
        </w:rPr>
      </w:pPr>
    </w:p>
    <w:sectPr w:rsidR="004152A3" w:rsidRPr="00CD1BBF" w:rsidSect="00C614ED">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B74B4" w14:textId="77777777" w:rsidR="00F72A25" w:rsidRDefault="00F72A25" w:rsidP="008026B1">
      <w:pPr>
        <w:spacing w:after="0" w:line="240" w:lineRule="auto"/>
      </w:pPr>
      <w:r>
        <w:separator/>
      </w:r>
    </w:p>
  </w:endnote>
  <w:endnote w:type="continuationSeparator" w:id="0">
    <w:p w14:paraId="3A09CBFB" w14:textId="77777777" w:rsidR="00F72A25" w:rsidRDefault="00F72A25" w:rsidP="0080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687A" w14:textId="77777777" w:rsidR="0071138D" w:rsidRDefault="0071138D" w:rsidP="00533912">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14:paraId="32DC11F3" w14:textId="77777777" w:rsidR="0071138D" w:rsidRDefault="0071138D" w:rsidP="00533912">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A0FBF" w14:textId="2CA1EBF7" w:rsidR="0071138D" w:rsidRDefault="0071138D">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633CC3" w:rsidRPr="00633CC3">
      <w:rPr>
        <w:caps/>
        <w:noProof/>
        <w:color w:val="4F81BD" w:themeColor="accent1"/>
        <w:lang w:val="es-ES"/>
      </w:rPr>
      <w:t>20</w:t>
    </w:r>
    <w:r>
      <w:rPr>
        <w:caps/>
        <w:color w:val="4F81BD" w:themeColor="accent1"/>
      </w:rPr>
      <w:fldChar w:fldCharType="end"/>
    </w:r>
  </w:p>
  <w:p w14:paraId="430B05DA" w14:textId="77777777" w:rsidR="0071138D" w:rsidRDefault="0071138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A0B4" w14:textId="77777777" w:rsidR="0071138D" w:rsidRDefault="0071138D">
    <w:pPr>
      <w:jc w:val="right"/>
    </w:pPr>
  </w:p>
  <w:p w14:paraId="77AE05BC" w14:textId="77777777" w:rsidR="0071138D" w:rsidRDefault="0071138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B52E" w14:textId="77777777" w:rsidR="00F72A25" w:rsidRDefault="00F72A25" w:rsidP="008026B1">
      <w:pPr>
        <w:spacing w:after="0" w:line="240" w:lineRule="auto"/>
      </w:pPr>
      <w:r>
        <w:separator/>
      </w:r>
    </w:p>
  </w:footnote>
  <w:footnote w:type="continuationSeparator" w:id="0">
    <w:p w14:paraId="179086C8" w14:textId="77777777" w:rsidR="00F72A25" w:rsidRDefault="00F72A25" w:rsidP="00802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D880" w14:textId="77777777" w:rsidR="0071138D" w:rsidRDefault="0071138D" w:rsidP="004A38CB">
    <w:pPr>
      <w:tabs>
        <w:tab w:val="left" w:pos="2445"/>
        <w:tab w:val="center" w:pos="6502"/>
      </w:tabs>
      <w:spacing w:after="0" w:line="240" w:lineRule="auto"/>
      <w:jc w:val="center"/>
      <w:rPr>
        <w:b/>
      </w:rPr>
    </w:pPr>
  </w:p>
  <w:p w14:paraId="1ABB89A2" w14:textId="77777777" w:rsidR="0071138D" w:rsidRDefault="0071138D" w:rsidP="004A38CB">
    <w:pPr>
      <w:tabs>
        <w:tab w:val="left" w:pos="2445"/>
        <w:tab w:val="center" w:pos="6502"/>
      </w:tabs>
      <w:spacing w:after="0" w:line="240" w:lineRule="auto"/>
      <w:jc w:val="center"/>
      <w:rPr>
        <w:b/>
      </w:rPr>
    </w:pPr>
  </w:p>
  <w:p w14:paraId="279BCB3E" w14:textId="77777777" w:rsidR="0071138D" w:rsidRPr="004A38CB" w:rsidRDefault="0071138D" w:rsidP="004A38CB">
    <w:pPr>
      <w:tabs>
        <w:tab w:val="left" w:pos="2445"/>
        <w:tab w:val="center" w:pos="6502"/>
      </w:tabs>
      <w:spacing w:after="0" w:line="240" w:lineRule="auto"/>
      <w:jc w:val="center"/>
      <w:rPr>
        <w:b/>
      </w:rPr>
    </w:pPr>
    <w:r w:rsidRPr="004A38CB">
      <w:rPr>
        <w:b/>
      </w:rPr>
      <w:t>Ejecución Presupuestaria</w:t>
    </w:r>
  </w:p>
  <w:p w14:paraId="1ED0D6A1" w14:textId="3C9C4C8F" w:rsidR="0071138D" w:rsidRPr="00E65575" w:rsidRDefault="0071138D" w:rsidP="00D41DB4">
    <w:pPr>
      <w:tabs>
        <w:tab w:val="left" w:pos="2445"/>
        <w:tab w:val="left" w:pos="5475"/>
        <w:tab w:val="center" w:pos="6502"/>
      </w:tabs>
      <w:spacing w:after="0" w:line="240" w:lineRule="auto"/>
      <w:jc w:val="center"/>
      <w:rPr>
        <w:b/>
      </w:rPr>
    </w:pPr>
    <w:r>
      <w:rPr>
        <w:b/>
      </w:rPr>
      <w:t>I semestre</w:t>
    </w:r>
    <w:r w:rsidRPr="004A38CB">
      <w:rPr>
        <w:b/>
      </w:rPr>
      <w:t xml:space="preserve"> </w:t>
    </w:r>
    <w:r>
      <w:rPr>
        <w:b/>
      </w:rPr>
      <w:t>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4F05" w14:textId="77777777" w:rsidR="0071138D" w:rsidRDefault="0071138D">
    <w:pPr>
      <w:jc w:val="right"/>
    </w:pPr>
  </w:p>
  <w:p w14:paraId="01B24E15" w14:textId="77777777" w:rsidR="0071138D" w:rsidRDefault="0071138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0002" w14:textId="77777777" w:rsidR="0071138D" w:rsidRDefault="0071138D" w:rsidP="00F5239B">
    <w:pPr>
      <w:tabs>
        <w:tab w:val="left" w:pos="2445"/>
        <w:tab w:val="left" w:pos="5475"/>
        <w:tab w:val="center" w:pos="6502"/>
      </w:tabs>
      <w:spacing w:after="0" w:line="240" w:lineRule="auto"/>
      <w:rPr>
        <w:b/>
      </w:rPr>
    </w:pPr>
  </w:p>
  <w:p w14:paraId="5B6B297D" w14:textId="77777777" w:rsidR="0071138D" w:rsidRDefault="0071138D" w:rsidP="00F5239B">
    <w:pPr>
      <w:tabs>
        <w:tab w:val="left" w:pos="2445"/>
        <w:tab w:val="left" w:pos="5475"/>
        <w:tab w:val="center" w:pos="6502"/>
      </w:tabs>
      <w:spacing w:after="0" w:line="240" w:lineRule="auto"/>
      <w:jc w:val="center"/>
      <w:rPr>
        <w:b/>
      </w:rPr>
    </w:pPr>
    <w:r>
      <w:rPr>
        <w:b/>
      </w:rPr>
      <w:t>Ejecución Presupuestaria</w:t>
    </w:r>
  </w:p>
  <w:p w14:paraId="3923754E" w14:textId="7AC59972" w:rsidR="0071138D" w:rsidRPr="00942334" w:rsidRDefault="0071138D" w:rsidP="00F5239B">
    <w:pPr>
      <w:tabs>
        <w:tab w:val="left" w:pos="2445"/>
        <w:tab w:val="left" w:pos="5475"/>
        <w:tab w:val="center" w:pos="6502"/>
      </w:tabs>
      <w:spacing w:after="0" w:line="240" w:lineRule="auto"/>
      <w:jc w:val="center"/>
      <w:rPr>
        <w:b/>
      </w:rPr>
    </w:pPr>
    <w:r>
      <w:rPr>
        <w:b/>
      </w:rPr>
      <w:t>I semestre 202</w:t>
    </w:r>
    <w:r w:rsidR="00866791">
      <w:rPr>
        <w:b/>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20F"/>
    <w:multiLevelType w:val="multilevel"/>
    <w:tmpl w:val="2B1661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1" w15:restartNumberingAfterBreak="0">
    <w:nsid w:val="0A214A78"/>
    <w:multiLevelType w:val="multilevel"/>
    <w:tmpl w:val="43D0F7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00CB9"/>
    <w:multiLevelType w:val="multilevel"/>
    <w:tmpl w:val="B416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57BC1"/>
    <w:multiLevelType w:val="multilevel"/>
    <w:tmpl w:val="EEB06F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F50A15"/>
    <w:multiLevelType w:val="hybridMultilevel"/>
    <w:tmpl w:val="F08E00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E501B5B"/>
    <w:multiLevelType w:val="multilevel"/>
    <w:tmpl w:val="47D8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5731AB"/>
    <w:multiLevelType w:val="multilevel"/>
    <w:tmpl w:val="392E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A770A3"/>
    <w:multiLevelType w:val="hybridMultilevel"/>
    <w:tmpl w:val="C38E981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2FC95FCB"/>
    <w:multiLevelType w:val="multilevel"/>
    <w:tmpl w:val="5A88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2A2A93"/>
    <w:multiLevelType w:val="hybridMultilevel"/>
    <w:tmpl w:val="12129872"/>
    <w:lvl w:ilvl="0" w:tplc="062C4958">
      <w:start w:val="350"/>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A8A767F"/>
    <w:multiLevelType w:val="hybridMultilevel"/>
    <w:tmpl w:val="93FC9E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745BC1"/>
    <w:multiLevelType w:val="multilevel"/>
    <w:tmpl w:val="9606CE7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5CF6049"/>
    <w:multiLevelType w:val="multilevel"/>
    <w:tmpl w:val="30B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266068"/>
    <w:multiLevelType w:val="hybridMultilevel"/>
    <w:tmpl w:val="16422D4E"/>
    <w:lvl w:ilvl="0" w:tplc="140A0001">
      <w:start w:val="1"/>
      <w:numFmt w:val="bullet"/>
      <w:lvlText w:val=""/>
      <w:lvlJc w:val="left"/>
      <w:pPr>
        <w:ind w:left="644"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14" w15:restartNumberingAfterBreak="0">
    <w:nsid w:val="4F4007C5"/>
    <w:multiLevelType w:val="hybridMultilevel"/>
    <w:tmpl w:val="D8782178"/>
    <w:lvl w:ilvl="0" w:tplc="F274F74C">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4A0808"/>
    <w:multiLevelType w:val="multilevel"/>
    <w:tmpl w:val="EC8C5F9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color w:val="auto"/>
        <w:sz w:val="24"/>
      </w:rPr>
    </w:lvl>
    <w:lvl w:ilvl="2">
      <w:start w:val="1"/>
      <w:numFmt w:val="decimal"/>
      <w:isLgl/>
      <w:lvlText w:val="%1.%2.%3"/>
      <w:lvlJc w:val="left"/>
      <w:pPr>
        <w:ind w:left="1080" w:hanging="720"/>
      </w:pPr>
      <w:rPr>
        <w:rFonts w:eastAsia="Times New Roman" w:hint="default"/>
        <w:b/>
        <w:color w:val="auto"/>
        <w:sz w:val="24"/>
      </w:rPr>
    </w:lvl>
    <w:lvl w:ilvl="3">
      <w:start w:val="1"/>
      <w:numFmt w:val="decimal"/>
      <w:isLgl/>
      <w:lvlText w:val="%1.%2.%3.%4"/>
      <w:lvlJc w:val="left"/>
      <w:pPr>
        <w:ind w:left="1080" w:hanging="720"/>
      </w:pPr>
      <w:rPr>
        <w:rFonts w:eastAsia="Times New Roman" w:hint="default"/>
        <w:b/>
        <w:color w:val="auto"/>
        <w:sz w:val="24"/>
      </w:rPr>
    </w:lvl>
    <w:lvl w:ilvl="4">
      <w:start w:val="1"/>
      <w:numFmt w:val="decimal"/>
      <w:isLgl/>
      <w:lvlText w:val="%1.%2.%3.%4.%5"/>
      <w:lvlJc w:val="left"/>
      <w:pPr>
        <w:ind w:left="1440" w:hanging="1080"/>
      </w:pPr>
      <w:rPr>
        <w:rFonts w:eastAsia="Times New Roman" w:hint="default"/>
        <w:b/>
        <w:color w:val="auto"/>
        <w:sz w:val="24"/>
      </w:rPr>
    </w:lvl>
    <w:lvl w:ilvl="5">
      <w:start w:val="1"/>
      <w:numFmt w:val="decimal"/>
      <w:isLgl/>
      <w:lvlText w:val="%1.%2.%3.%4.%5.%6"/>
      <w:lvlJc w:val="left"/>
      <w:pPr>
        <w:ind w:left="1440" w:hanging="1080"/>
      </w:pPr>
      <w:rPr>
        <w:rFonts w:eastAsia="Times New Roman" w:hint="default"/>
        <w:b/>
        <w:color w:val="auto"/>
        <w:sz w:val="24"/>
      </w:rPr>
    </w:lvl>
    <w:lvl w:ilvl="6">
      <w:start w:val="1"/>
      <w:numFmt w:val="decimal"/>
      <w:isLgl/>
      <w:lvlText w:val="%1.%2.%3.%4.%5.%6.%7"/>
      <w:lvlJc w:val="left"/>
      <w:pPr>
        <w:ind w:left="1800" w:hanging="1440"/>
      </w:pPr>
      <w:rPr>
        <w:rFonts w:eastAsia="Times New Roman" w:hint="default"/>
        <w:b/>
        <w:color w:val="auto"/>
        <w:sz w:val="24"/>
      </w:rPr>
    </w:lvl>
    <w:lvl w:ilvl="7">
      <w:start w:val="1"/>
      <w:numFmt w:val="decimal"/>
      <w:isLgl/>
      <w:lvlText w:val="%1.%2.%3.%4.%5.%6.%7.%8"/>
      <w:lvlJc w:val="left"/>
      <w:pPr>
        <w:ind w:left="1800" w:hanging="1440"/>
      </w:pPr>
      <w:rPr>
        <w:rFonts w:eastAsia="Times New Roman" w:hint="default"/>
        <w:b/>
        <w:color w:val="auto"/>
        <w:sz w:val="24"/>
      </w:rPr>
    </w:lvl>
    <w:lvl w:ilvl="8">
      <w:start w:val="1"/>
      <w:numFmt w:val="decimal"/>
      <w:isLgl/>
      <w:lvlText w:val="%1.%2.%3.%4.%5.%6.%7.%8.%9"/>
      <w:lvlJc w:val="left"/>
      <w:pPr>
        <w:ind w:left="2160" w:hanging="1800"/>
      </w:pPr>
      <w:rPr>
        <w:rFonts w:eastAsia="Times New Roman" w:hint="default"/>
        <w:b/>
        <w:color w:val="auto"/>
        <w:sz w:val="24"/>
      </w:rPr>
    </w:lvl>
  </w:abstractNum>
  <w:abstractNum w:abstractNumId="16" w15:restartNumberingAfterBreak="0">
    <w:nsid w:val="560E27F2"/>
    <w:multiLevelType w:val="hybridMultilevel"/>
    <w:tmpl w:val="F2121E0E"/>
    <w:lvl w:ilvl="0" w:tplc="E0F6F468">
      <w:start w:val="9"/>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9623E03"/>
    <w:multiLevelType w:val="hybridMultilevel"/>
    <w:tmpl w:val="34ACFF9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15:restartNumberingAfterBreak="0">
    <w:nsid w:val="62C564A3"/>
    <w:multiLevelType w:val="hybridMultilevel"/>
    <w:tmpl w:val="B688F244"/>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9" w15:restartNumberingAfterBreak="0">
    <w:nsid w:val="67102BD9"/>
    <w:multiLevelType w:val="multilevel"/>
    <w:tmpl w:val="806AC0E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Arial" w:hAnsi="Arial" w:cs="Arial" w:hint="default"/>
        <w:b/>
        <w:sz w:val="24"/>
        <w:szCs w:val="24"/>
      </w:rPr>
    </w:lvl>
    <w:lvl w:ilvl="2">
      <w:start w:val="1"/>
      <w:numFmt w:val="decimal"/>
      <w:isLgl/>
      <w:lvlText w:val="%1.%2.%3"/>
      <w:lvlJc w:val="left"/>
      <w:pPr>
        <w:ind w:left="1080" w:hanging="720"/>
      </w:pPr>
      <w:rPr>
        <w:rFonts w:ascii="Times New Roman" w:hAnsi="Times New Roman" w:cs="Times New Roman" w:hint="default"/>
        <w:b w:val="0"/>
        <w:sz w:val="20"/>
      </w:rPr>
    </w:lvl>
    <w:lvl w:ilvl="3">
      <w:start w:val="1"/>
      <w:numFmt w:val="decimal"/>
      <w:isLgl/>
      <w:lvlText w:val="%1.%2.%3.%4"/>
      <w:lvlJc w:val="left"/>
      <w:pPr>
        <w:ind w:left="1080" w:hanging="720"/>
      </w:pPr>
      <w:rPr>
        <w:rFonts w:ascii="Times New Roman" w:hAnsi="Times New Roman" w:cs="Times New Roman" w:hint="default"/>
        <w:b w:val="0"/>
        <w:sz w:val="20"/>
      </w:rPr>
    </w:lvl>
    <w:lvl w:ilvl="4">
      <w:start w:val="1"/>
      <w:numFmt w:val="decimal"/>
      <w:isLgl/>
      <w:lvlText w:val="%1.%2.%3.%4.%5"/>
      <w:lvlJc w:val="left"/>
      <w:pPr>
        <w:ind w:left="1080" w:hanging="720"/>
      </w:pPr>
      <w:rPr>
        <w:rFonts w:ascii="Times New Roman" w:hAnsi="Times New Roman" w:cs="Times New Roman" w:hint="default"/>
        <w:b w:val="0"/>
        <w:sz w:val="20"/>
      </w:rPr>
    </w:lvl>
    <w:lvl w:ilvl="5">
      <w:start w:val="1"/>
      <w:numFmt w:val="decimal"/>
      <w:isLgl/>
      <w:lvlText w:val="%1.%2.%3.%4.%5.%6"/>
      <w:lvlJc w:val="left"/>
      <w:pPr>
        <w:ind w:left="1440" w:hanging="1080"/>
      </w:pPr>
      <w:rPr>
        <w:rFonts w:ascii="Times New Roman" w:hAnsi="Times New Roman" w:cs="Times New Roman" w:hint="default"/>
        <w:b w:val="0"/>
        <w:sz w:val="20"/>
      </w:rPr>
    </w:lvl>
    <w:lvl w:ilvl="6">
      <w:start w:val="1"/>
      <w:numFmt w:val="decimal"/>
      <w:isLgl/>
      <w:lvlText w:val="%1.%2.%3.%4.%5.%6.%7"/>
      <w:lvlJc w:val="left"/>
      <w:pPr>
        <w:ind w:left="1440" w:hanging="1080"/>
      </w:pPr>
      <w:rPr>
        <w:rFonts w:ascii="Times New Roman" w:hAnsi="Times New Roman" w:cs="Times New Roman" w:hint="default"/>
        <w:b w:val="0"/>
        <w:sz w:val="20"/>
      </w:rPr>
    </w:lvl>
    <w:lvl w:ilvl="7">
      <w:start w:val="1"/>
      <w:numFmt w:val="decimal"/>
      <w:isLgl/>
      <w:lvlText w:val="%1.%2.%3.%4.%5.%6.%7.%8"/>
      <w:lvlJc w:val="left"/>
      <w:pPr>
        <w:ind w:left="1800" w:hanging="1440"/>
      </w:pPr>
      <w:rPr>
        <w:rFonts w:ascii="Times New Roman" w:hAnsi="Times New Roman" w:cs="Times New Roman" w:hint="default"/>
        <w:b w:val="0"/>
        <w:sz w:val="20"/>
      </w:rPr>
    </w:lvl>
    <w:lvl w:ilvl="8">
      <w:start w:val="1"/>
      <w:numFmt w:val="decimal"/>
      <w:isLgl/>
      <w:lvlText w:val="%1.%2.%3.%4.%5.%6.%7.%8.%9"/>
      <w:lvlJc w:val="left"/>
      <w:pPr>
        <w:ind w:left="1800" w:hanging="1440"/>
      </w:pPr>
      <w:rPr>
        <w:rFonts w:ascii="Times New Roman" w:hAnsi="Times New Roman" w:cs="Times New Roman" w:hint="default"/>
        <w:b w:val="0"/>
        <w:sz w:val="20"/>
      </w:rPr>
    </w:lvl>
  </w:abstractNum>
  <w:abstractNum w:abstractNumId="20" w15:restartNumberingAfterBreak="0">
    <w:nsid w:val="697D226A"/>
    <w:multiLevelType w:val="multilevel"/>
    <w:tmpl w:val="015A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AB6D1A"/>
    <w:multiLevelType w:val="multilevel"/>
    <w:tmpl w:val="999ED69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Arial" w:hAnsi="Arial" w:hint="default"/>
        <w:b/>
        <w:bCs w:val="0"/>
        <w:color w:val="auto"/>
        <w:sz w:val="26"/>
      </w:rPr>
    </w:lvl>
    <w:lvl w:ilvl="2">
      <w:start w:val="1"/>
      <w:numFmt w:val="decimal"/>
      <w:isLgl/>
      <w:lvlText w:val="%1.%2.%3"/>
      <w:lvlJc w:val="left"/>
      <w:pPr>
        <w:ind w:left="1080" w:hanging="720"/>
      </w:pPr>
      <w:rPr>
        <w:rFonts w:ascii="Arial" w:hAnsi="Arial" w:hint="default"/>
        <w:b w:val="0"/>
        <w:color w:val="4F81BD" w:themeColor="accent1"/>
        <w:sz w:val="26"/>
      </w:rPr>
    </w:lvl>
    <w:lvl w:ilvl="3">
      <w:start w:val="1"/>
      <w:numFmt w:val="decimal"/>
      <w:isLgl/>
      <w:lvlText w:val="%1.%2.%3.%4"/>
      <w:lvlJc w:val="left"/>
      <w:pPr>
        <w:ind w:left="1440" w:hanging="1080"/>
      </w:pPr>
      <w:rPr>
        <w:rFonts w:ascii="Arial" w:hAnsi="Arial" w:hint="default"/>
        <w:b w:val="0"/>
        <w:color w:val="4F81BD" w:themeColor="accent1"/>
        <w:sz w:val="26"/>
      </w:rPr>
    </w:lvl>
    <w:lvl w:ilvl="4">
      <w:start w:val="1"/>
      <w:numFmt w:val="decimal"/>
      <w:isLgl/>
      <w:lvlText w:val="%1.%2.%3.%4.%5"/>
      <w:lvlJc w:val="left"/>
      <w:pPr>
        <w:ind w:left="1440" w:hanging="1080"/>
      </w:pPr>
      <w:rPr>
        <w:rFonts w:ascii="Arial" w:hAnsi="Arial" w:hint="default"/>
        <w:b w:val="0"/>
        <w:color w:val="4F81BD" w:themeColor="accent1"/>
        <w:sz w:val="26"/>
      </w:rPr>
    </w:lvl>
    <w:lvl w:ilvl="5">
      <w:start w:val="1"/>
      <w:numFmt w:val="decimal"/>
      <w:isLgl/>
      <w:lvlText w:val="%1.%2.%3.%4.%5.%6"/>
      <w:lvlJc w:val="left"/>
      <w:pPr>
        <w:ind w:left="1800" w:hanging="1440"/>
      </w:pPr>
      <w:rPr>
        <w:rFonts w:ascii="Arial" w:hAnsi="Arial" w:hint="default"/>
        <w:b w:val="0"/>
        <w:color w:val="4F81BD" w:themeColor="accent1"/>
        <w:sz w:val="26"/>
      </w:rPr>
    </w:lvl>
    <w:lvl w:ilvl="6">
      <w:start w:val="1"/>
      <w:numFmt w:val="decimal"/>
      <w:isLgl/>
      <w:lvlText w:val="%1.%2.%3.%4.%5.%6.%7"/>
      <w:lvlJc w:val="left"/>
      <w:pPr>
        <w:ind w:left="1800" w:hanging="1440"/>
      </w:pPr>
      <w:rPr>
        <w:rFonts w:ascii="Arial" w:hAnsi="Arial" w:hint="default"/>
        <w:b w:val="0"/>
        <w:color w:val="4F81BD" w:themeColor="accent1"/>
        <w:sz w:val="26"/>
      </w:rPr>
    </w:lvl>
    <w:lvl w:ilvl="7">
      <w:start w:val="1"/>
      <w:numFmt w:val="decimal"/>
      <w:isLgl/>
      <w:lvlText w:val="%1.%2.%3.%4.%5.%6.%7.%8"/>
      <w:lvlJc w:val="left"/>
      <w:pPr>
        <w:ind w:left="2160" w:hanging="1800"/>
      </w:pPr>
      <w:rPr>
        <w:rFonts w:ascii="Arial" w:hAnsi="Arial" w:hint="default"/>
        <w:b w:val="0"/>
        <w:color w:val="4F81BD" w:themeColor="accent1"/>
        <w:sz w:val="26"/>
      </w:rPr>
    </w:lvl>
    <w:lvl w:ilvl="8">
      <w:start w:val="1"/>
      <w:numFmt w:val="decimal"/>
      <w:isLgl/>
      <w:lvlText w:val="%1.%2.%3.%4.%5.%6.%7.%8.%9"/>
      <w:lvlJc w:val="left"/>
      <w:pPr>
        <w:ind w:left="2160" w:hanging="1800"/>
      </w:pPr>
      <w:rPr>
        <w:rFonts w:ascii="Arial" w:hAnsi="Arial" w:hint="default"/>
        <w:b w:val="0"/>
        <w:color w:val="4F81BD" w:themeColor="accent1"/>
        <w:sz w:val="26"/>
      </w:rPr>
    </w:lvl>
  </w:abstractNum>
  <w:num w:numId="1">
    <w:abstractNumId w:val="18"/>
  </w:num>
  <w:num w:numId="2">
    <w:abstractNumId w:val="13"/>
  </w:num>
  <w:num w:numId="3">
    <w:abstractNumId w:val="10"/>
  </w:num>
  <w:num w:numId="4">
    <w:abstractNumId w:val="15"/>
  </w:num>
  <w:num w:numId="5">
    <w:abstractNumId w:val="21"/>
  </w:num>
  <w:num w:numId="6">
    <w:abstractNumId w:val="6"/>
  </w:num>
  <w:num w:numId="7">
    <w:abstractNumId w:val="2"/>
  </w:num>
  <w:num w:numId="8">
    <w:abstractNumId w:val="8"/>
  </w:num>
  <w:num w:numId="9">
    <w:abstractNumId w:val="20"/>
  </w:num>
  <w:num w:numId="10">
    <w:abstractNumId w:val="5"/>
  </w:num>
  <w:num w:numId="11">
    <w:abstractNumId w:val="12"/>
  </w:num>
  <w:num w:numId="12">
    <w:abstractNumId w:val="1"/>
  </w:num>
  <w:num w:numId="13">
    <w:abstractNumId w:val="7"/>
  </w:num>
  <w:num w:numId="14">
    <w:abstractNumId w:val="19"/>
  </w:num>
  <w:num w:numId="15">
    <w:abstractNumId w:val="11"/>
  </w:num>
  <w:num w:numId="16">
    <w:abstractNumId w:val="4"/>
  </w:num>
  <w:num w:numId="17">
    <w:abstractNumId w:val="14"/>
  </w:num>
  <w:num w:numId="18">
    <w:abstractNumId w:val="9"/>
  </w:num>
  <w:num w:numId="19">
    <w:abstractNumId w:val="17"/>
  </w:num>
  <w:num w:numId="20">
    <w:abstractNumId w:val="16"/>
  </w:num>
  <w:num w:numId="21">
    <w:abstractNumId w:val="3"/>
  </w:num>
  <w:num w:numId="2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0E"/>
    <w:rsid w:val="000029CD"/>
    <w:rsid w:val="00002A2C"/>
    <w:rsid w:val="0000320A"/>
    <w:rsid w:val="00005BE0"/>
    <w:rsid w:val="000073CC"/>
    <w:rsid w:val="00007642"/>
    <w:rsid w:val="00012914"/>
    <w:rsid w:val="0001309A"/>
    <w:rsid w:val="0001715A"/>
    <w:rsid w:val="00017D28"/>
    <w:rsid w:val="00020156"/>
    <w:rsid w:val="00021A08"/>
    <w:rsid w:val="00025DED"/>
    <w:rsid w:val="00027772"/>
    <w:rsid w:val="000302D4"/>
    <w:rsid w:val="00030369"/>
    <w:rsid w:val="00030659"/>
    <w:rsid w:val="000308F6"/>
    <w:rsid w:val="00031BD5"/>
    <w:rsid w:val="00035764"/>
    <w:rsid w:val="00042FAE"/>
    <w:rsid w:val="0004448C"/>
    <w:rsid w:val="00044A56"/>
    <w:rsid w:val="00044BE4"/>
    <w:rsid w:val="00054B29"/>
    <w:rsid w:val="000566F6"/>
    <w:rsid w:val="0006122B"/>
    <w:rsid w:val="00061AE2"/>
    <w:rsid w:val="00061E01"/>
    <w:rsid w:val="00063BBC"/>
    <w:rsid w:val="00064594"/>
    <w:rsid w:val="00066840"/>
    <w:rsid w:val="0006722F"/>
    <w:rsid w:val="0007169C"/>
    <w:rsid w:val="0007257F"/>
    <w:rsid w:val="00072E8A"/>
    <w:rsid w:val="0007369B"/>
    <w:rsid w:val="00073866"/>
    <w:rsid w:val="00075E19"/>
    <w:rsid w:val="00081027"/>
    <w:rsid w:val="00085778"/>
    <w:rsid w:val="000857F8"/>
    <w:rsid w:val="000864E1"/>
    <w:rsid w:val="000933D8"/>
    <w:rsid w:val="00094AB6"/>
    <w:rsid w:val="00097BCC"/>
    <w:rsid w:val="000A0741"/>
    <w:rsid w:val="000A2677"/>
    <w:rsid w:val="000A3486"/>
    <w:rsid w:val="000A488C"/>
    <w:rsid w:val="000A4F7D"/>
    <w:rsid w:val="000B1B60"/>
    <w:rsid w:val="000B248E"/>
    <w:rsid w:val="000B2E2E"/>
    <w:rsid w:val="000C0098"/>
    <w:rsid w:val="000C0C1E"/>
    <w:rsid w:val="000C1318"/>
    <w:rsid w:val="000C38FC"/>
    <w:rsid w:val="000C462A"/>
    <w:rsid w:val="000C5578"/>
    <w:rsid w:val="000C6F53"/>
    <w:rsid w:val="000D0EF3"/>
    <w:rsid w:val="000D2FF3"/>
    <w:rsid w:val="000D3057"/>
    <w:rsid w:val="000D6B10"/>
    <w:rsid w:val="000E3465"/>
    <w:rsid w:val="000E4625"/>
    <w:rsid w:val="000E49D3"/>
    <w:rsid w:val="000E699E"/>
    <w:rsid w:val="000F1BCC"/>
    <w:rsid w:val="000F5737"/>
    <w:rsid w:val="00101172"/>
    <w:rsid w:val="00101A26"/>
    <w:rsid w:val="001065EE"/>
    <w:rsid w:val="00107D18"/>
    <w:rsid w:val="0011204E"/>
    <w:rsid w:val="0011556E"/>
    <w:rsid w:val="00121871"/>
    <w:rsid w:val="001228F3"/>
    <w:rsid w:val="0012787F"/>
    <w:rsid w:val="00130755"/>
    <w:rsid w:val="001361B0"/>
    <w:rsid w:val="001367B8"/>
    <w:rsid w:val="00136CA5"/>
    <w:rsid w:val="00137242"/>
    <w:rsid w:val="00137C4D"/>
    <w:rsid w:val="00140558"/>
    <w:rsid w:val="00140A24"/>
    <w:rsid w:val="0014127C"/>
    <w:rsid w:val="00141553"/>
    <w:rsid w:val="00145D2F"/>
    <w:rsid w:val="00150A7B"/>
    <w:rsid w:val="00151EAE"/>
    <w:rsid w:val="001533E7"/>
    <w:rsid w:val="001539B5"/>
    <w:rsid w:val="0015615E"/>
    <w:rsid w:val="001601FB"/>
    <w:rsid w:val="00160C2D"/>
    <w:rsid w:val="001615C5"/>
    <w:rsid w:val="00172262"/>
    <w:rsid w:val="001742AA"/>
    <w:rsid w:val="001763A0"/>
    <w:rsid w:val="001767F9"/>
    <w:rsid w:val="00177B03"/>
    <w:rsid w:val="0018076C"/>
    <w:rsid w:val="00181EC4"/>
    <w:rsid w:val="00183231"/>
    <w:rsid w:val="00183686"/>
    <w:rsid w:val="001837A4"/>
    <w:rsid w:val="00184A02"/>
    <w:rsid w:val="0018737C"/>
    <w:rsid w:val="001873A2"/>
    <w:rsid w:val="00195C0C"/>
    <w:rsid w:val="001A0961"/>
    <w:rsid w:val="001A2766"/>
    <w:rsid w:val="001A42C9"/>
    <w:rsid w:val="001A4892"/>
    <w:rsid w:val="001A59F2"/>
    <w:rsid w:val="001B281E"/>
    <w:rsid w:val="001B3F30"/>
    <w:rsid w:val="001B429C"/>
    <w:rsid w:val="001B61A5"/>
    <w:rsid w:val="001B69C2"/>
    <w:rsid w:val="001C4A74"/>
    <w:rsid w:val="001C50D7"/>
    <w:rsid w:val="001D2DC6"/>
    <w:rsid w:val="001D3A26"/>
    <w:rsid w:val="001E05C7"/>
    <w:rsid w:val="001E1B19"/>
    <w:rsid w:val="001E723D"/>
    <w:rsid w:val="001E78A3"/>
    <w:rsid w:val="001F0B0F"/>
    <w:rsid w:val="001F1AFF"/>
    <w:rsid w:val="001F3D5D"/>
    <w:rsid w:val="001F4366"/>
    <w:rsid w:val="001F4B0E"/>
    <w:rsid w:val="001F54CE"/>
    <w:rsid w:val="001F6CC9"/>
    <w:rsid w:val="001F7268"/>
    <w:rsid w:val="001F7565"/>
    <w:rsid w:val="0020039E"/>
    <w:rsid w:val="00203906"/>
    <w:rsid w:val="002039DE"/>
    <w:rsid w:val="002040B3"/>
    <w:rsid w:val="00205601"/>
    <w:rsid w:val="0020713D"/>
    <w:rsid w:val="00210EEC"/>
    <w:rsid w:val="002111D4"/>
    <w:rsid w:val="00214AB2"/>
    <w:rsid w:val="0021748B"/>
    <w:rsid w:val="002202C8"/>
    <w:rsid w:val="00222B82"/>
    <w:rsid w:val="00223158"/>
    <w:rsid w:val="0022383E"/>
    <w:rsid w:val="00225E52"/>
    <w:rsid w:val="00227A80"/>
    <w:rsid w:val="00227D14"/>
    <w:rsid w:val="002300A3"/>
    <w:rsid w:val="00233668"/>
    <w:rsid w:val="00242DB8"/>
    <w:rsid w:val="0024323E"/>
    <w:rsid w:val="00244FBC"/>
    <w:rsid w:val="0025050E"/>
    <w:rsid w:val="00251CBA"/>
    <w:rsid w:val="0025303E"/>
    <w:rsid w:val="00253C48"/>
    <w:rsid w:val="00254E13"/>
    <w:rsid w:val="00256565"/>
    <w:rsid w:val="00256FD4"/>
    <w:rsid w:val="0025766E"/>
    <w:rsid w:val="002579D0"/>
    <w:rsid w:val="00260667"/>
    <w:rsid w:val="0026200E"/>
    <w:rsid w:val="00270D43"/>
    <w:rsid w:val="0027251D"/>
    <w:rsid w:val="00273A98"/>
    <w:rsid w:val="0027640C"/>
    <w:rsid w:val="00277C90"/>
    <w:rsid w:val="002810D0"/>
    <w:rsid w:val="002822BE"/>
    <w:rsid w:val="00282404"/>
    <w:rsid w:val="002832F9"/>
    <w:rsid w:val="00284DDF"/>
    <w:rsid w:val="00285C34"/>
    <w:rsid w:val="00286559"/>
    <w:rsid w:val="00287059"/>
    <w:rsid w:val="002875DF"/>
    <w:rsid w:val="00290866"/>
    <w:rsid w:val="002918D5"/>
    <w:rsid w:val="00294888"/>
    <w:rsid w:val="002A3A69"/>
    <w:rsid w:val="002A5BE5"/>
    <w:rsid w:val="002B0AC2"/>
    <w:rsid w:val="002B18E7"/>
    <w:rsid w:val="002B2A1B"/>
    <w:rsid w:val="002B376D"/>
    <w:rsid w:val="002C28B9"/>
    <w:rsid w:val="002C4636"/>
    <w:rsid w:val="002C674C"/>
    <w:rsid w:val="002C7BC6"/>
    <w:rsid w:val="002D0468"/>
    <w:rsid w:val="002D5868"/>
    <w:rsid w:val="002E0337"/>
    <w:rsid w:val="002E47D3"/>
    <w:rsid w:val="002E7D85"/>
    <w:rsid w:val="002F2F16"/>
    <w:rsid w:val="00302D4D"/>
    <w:rsid w:val="0030450A"/>
    <w:rsid w:val="00305248"/>
    <w:rsid w:val="003068B7"/>
    <w:rsid w:val="00310BAD"/>
    <w:rsid w:val="00311E92"/>
    <w:rsid w:val="00311F78"/>
    <w:rsid w:val="00313680"/>
    <w:rsid w:val="00315DAD"/>
    <w:rsid w:val="003167BF"/>
    <w:rsid w:val="00320B1E"/>
    <w:rsid w:val="0032175C"/>
    <w:rsid w:val="00321A1B"/>
    <w:rsid w:val="00325AFC"/>
    <w:rsid w:val="00326BEF"/>
    <w:rsid w:val="00332C09"/>
    <w:rsid w:val="00332DA4"/>
    <w:rsid w:val="00333183"/>
    <w:rsid w:val="00334995"/>
    <w:rsid w:val="00341A14"/>
    <w:rsid w:val="00342F93"/>
    <w:rsid w:val="00344818"/>
    <w:rsid w:val="00344F9A"/>
    <w:rsid w:val="00346959"/>
    <w:rsid w:val="00350EC9"/>
    <w:rsid w:val="00355C90"/>
    <w:rsid w:val="0035704F"/>
    <w:rsid w:val="00357743"/>
    <w:rsid w:val="00360053"/>
    <w:rsid w:val="003608BC"/>
    <w:rsid w:val="00360CE3"/>
    <w:rsid w:val="003629F6"/>
    <w:rsid w:val="00362C4C"/>
    <w:rsid w:val="00362E86"/>
    <w:rsid w:val="00363EE1"/>
    <w:rsid w:val="00376D1A"/>
    <w:rsid w:val="00380DA2"/>
    <w:rsid w:val="00381518"/>
    <w:rsid w:val="0038223A"/>
    <w:rsid w:val="00383D0D"/>
    <w:rsid w:val="003868AE"/>
    <w:rsid w:val="00392281"/>
    <w:rsid w:val="00393404"/>
    <w:rsid w:val="00393C69"/>
    <w:rsid w:val="00394B27"/>
    <w:rsid w:val="003959EF"/>
    <w:rsid w:val="003A24BA"/>
    <w:rsid w:val="003B0B7F"/>
    <w:rsid w:val="003B622B"/>
    <w:rsid w:val="003B6950"/>
    <w:rsid w:val="003C02B2"/>
    <w:rsid w:val="003C1027"/>
    <w:rsid w:val="003C2209"/>
    <w:rsid w:val="003C514E"/>
    <w:rsid w:val="003C5C59"/>
    <w:rsid w:val="003C7166"/>
    <w:rsid w:val="003C7997"/>
    <w:rsid w:val="003D03BE"/>
    <w:rsid w:val="003D1BAB"/>
    <w:rsid w:val="003D2B60"/>
    <w:rsid w:val="003D46EA"/>
    <w:rsid w:val="003D564F"/>
    <w:rsid w:val="003D5969"/>
    <w:rsid w:val="003D695D"/>
    <w:rsid w:val="003D76ED"/>
    <w:rsid w:val="003E0B7E"/>
    <w:rsid w:val="003E200A"/>
    <w:rsid w:val="003E2EF0"/>
    <w:rsid w:val="003E41DD"/>
    <w:rsid w:val="003E5371"/>
    <w:rsid w:val="003E6BBA"/>
    <w:rsid w:val="003E6FE2"/>
    <w:rsid w:val="003E73B2"/>
    <w:rsid w:val="003E799E"/>
    <w:rsid w:val="003F252F"/>
    <w:rsid w:val="003F428F"/>
    <w:rsid w:val="003F75A8"/>
    <w:rsid w:val="00402BA9"/>
    <w:rsid w:val="004035EB"/>
    <w:rsid w:val="004036B4"/>
    <w:rsid w:val="00405C2C"/>
    <w:rsid w:val="00412EB7"/>
    <w:rsid w:val="00413550"/>
    <w:rsid w:val="004152A3"/>
    <w:rsid w:val="004201A3"/>
    <w:rsid w:val="00421145"/>
    <w:rsid w:val="00425473"/>
    <w:rsid w:val="00427F16"/>
    <w:rsid w:val="0043471C"/>
    <w:rsid w:val="004354A9"/>
    <w:rsid w:val="004367AF"/>
    <w:rsid w:val="004421A7"/>
    <w:rsid w:val="00444BC3"/>
    <w:rsid w:val="00445408"/>
    <w:rsid w:val="004479CC"/>
    <w:rsid w:val="00447D5F"/>
    <w:rsid w:val="00452713"/>
    <w:rsid w:val="00452C1C"/>
    <w:rsid w:val="0045517A"/>
    <w:rsid w:val="004554B1"/>
    <w:rsid w:val="00460C87"/>
    <w:rsid w:val="004620F8"/>
    <w:rsid w:val="0046576C"/>
    <w:rsid w:val="00466E0B"/>
    <w:rsid w:val="0047037D"/>
    <w:rsid w:val="00471793"/>
    <w:rsid w:val="00476DEB"/>
    <w:rsid w:val="00481228"/>
    <w:rsid w:val="004855CB"/>
    <w:rsid w:val="0049129E"/>
    <w:rsid w:val="00491343"/>
    <w:rsid w:val="004942CC"/>
    <w:rsid w:val="00495CEF"/>
    <w:rsid w:val="004A14D9"/>
    <w:rsid w:val="004A38CB"/>
    <w:rsid w:val="004A3B64"/>
    <w:rsid w:val="004A7C68"/>
    <w:rsid w:val="004B157E"/>
    <w:rsid w:val="004B62C3"/>
    <w:rsid w:val="004B7236"/>
    <w:rsid w:val="004C029C"/>
    <w:rsid w:val="004C0F2B"/>
    <w:rsid w:val="004C103F"/>
    <w:rsid w:val="004C3778"/>
    <w:rsid w:val="004C44B5"/>
    <w:rsid w:val="004C4F28"/>
    <w:rsid w:val="004C7652"/>
    <w:rsid w:val="004D1412"/>
    <w:rsid w:val="004D1649"/>
    <w:rsid w:val="004D1F03"/>
    <w:rsid w:val="004D3ED3"/>
    <w:rsid w:val="004D3F18"/>
    <w:rsid w:val="004D4971"/>
    <w:rsid w:val="004D5281"/>
    <w:rsid w:val="004D662E"/>
    <w:rsid w:val="004D6CB4"/>
    <w:rsid w:val="004E59E5"/>
    <w:rsid w:val="004E6747"/>
    <w:rsid w:val="004E6AF0"/>
    <w:rsid w:val="004F0C9C"/>
    <w:rsid w:val="004F2220"/>
    <w:rsid w:val="004F5C6C"/>
    <w:rsid w:val="004F5CE4"/>
    <w:rsid w:val="005034C8"/>
    <w:rsid w:val="00504EB3"/>
    <w:rsid w:val="0051131E"/>
    <w:rsid w:val="00511947"/>
    <w:rsid w:val="00514F4E"/>
    <w:rsid w:val="00515166"/>
    <w:rsid w:val="00515CE6"/>
    <w:rsid w:val="005170A2"/>
    <w:rsid w:val="005231F9"/>
    <w:rsid w:val="00524A2B"/>
    <w:rsid w:val="005252D1"/>
    <w:rsid w:val="00526750"/>
    <w:rsid w:val="00533912"/>
    <w:rsid w:val="00540214"/>
    <w:rsid w:val="00541140"/>
    <w:rsid w:val="00541B3E"/>
    <w:rsid w:val="00541E9D"/>
    <w:rsid w:val="00544643"/>
    <w:rsid w:val="00544C4E"/>
    <w:rsid w:val="00544D70"/>
    <w:rsid w:val="00551347"/>
    <w:rsid w:val="00551903"/>
    <w:rsid w:val="00551D21"/>
    <w:rsid w:val="00552436"/>
    <w:rsid w:val="0055348A"/>
    <w:rsid w:val="00553739"/>
    <w:rsid w:val="005560FF"/>
    <w:rsid w:val="00561BA3"/>
    <w:rsid w:val="005641E3"/>
    <w:rsid w:val="0056604F"/>
    <w:rsid w:val="00567264"/>
    <w:rsid w:val="00570522"/>
    <w:rsid w:val="0057080A"/>
    <w:rsid w:val="005741AA"/>
    <w:rsid w:val="00577AC0"/>
    <w:rsid w:val="00584A00"/>
    <w:rsid w:val="00590804"/>
    <w:rsid w:val="00591893"/>
    <w:rsid w:val="005A5F8E"/>
    <w:rsid w:val="005A65F9"/>
    <w:rsid w:val="005A6615"/>
    <w:rsid w:val="005B0418"/>
    <w:rsid w:val="005B21EE"/>
    <w:rsid w:val="005B42ED"/>
    <w:rsid w:val="005B5578"/>
    <w:rsid w:val="005B55F2"/>
    <w:rsid w:val="005B679E"/>
    <w:rsid w:val="005B7D78"/>
    <w:rsid w:val="005C1875"/>
    <w:rsid w:val="005C60DD"/>
    <w:rsid w:val="005D2353"/>
    <w:rsid w:val="005D30FC"/>
    <w:rsid w:val="005D70AA"/>
    <w:rsid w:val="005D7991"/>
    <w:rsid w:val="005E040C"/>
    <w:rsid w:val="005E1013"/>
    <w:rsid w:val="005E194C"/>
    <w:rsid w:val="005E323E"/>
    <w:rsid w:val="005E52BD"/>
    <w:rsid w:val="005E68DE"/>
    <w:rsid w:val="005E725A"/>
    <w:rsid w:val="005E752A"/>
    <w:rsid w:val="005F0058"/>
    <w:rsid w:val="005F0B07"/>
    <w:rsid w:val="005F21E7"/>
    <w:rsid w:val="005F330A"/>
    <w:rsid w:val="005F7F67"/>
    <w:rsid w:val="0060079A"/>
    <w:rsid w:val="00607655"/>
    <w:rsid w:val="00611691"/>
    <w:rsid w:val="006128D5"/>
    <w:rsid w:val="006128E1"/>
    <w:rsid w:val="006154ED"/>
    <w:rsid w:val="00617B5E"/>
    <w:rsid w:val="00617FFD"/>
    <w:rsid w:val="006206EC"/>
    <w:rsid w:val="00625560"/>
    <w:rsid w:val="00625811"/>
    <w:rsid w:val="00626C16"/>
    <w:rsid w:val="00627994"/>
    <w:rsid w:val="0063117F"/>
    <w:rsid w:val="006314C0"/>
    <w:rsid w:val="00633CC3"/>
    <w:rsid w:val="0064010E"/>
    <w:rsid w:val="00640C69"/>
    <w:rsid w:val="00641A70"/>
    <w:rsid w:val="00641E15"/>
    <w:rsid w:val="00643FED"/>
    <w:rsid w:val="006446BA"/>
    <w:rsid w:val="00645884"/>
    <w:rsid w:val="00650A08"/>
    <w:rsid w:val="00652FC6"/>
    <w:rsid w:val="00654632"/>
    <w:rsid w:val="00654B9A"/>
    <w:rsid w:val="00663D58"/>
    <w:rsid w:val="00666B67"/>
    <w:rsid w:val="00673974"/>
    <w:rsid w:val="006743B1"/>
    <w:rsid w:val="0067487D"/>
    <w:rsid w:val="00681339"/>
    <w:rsid w:val="006840DD"/>
    <w:rsid w:val="00684B7A"/>
    <w:rsid w:val="006874B4"/>
    <w:rsid w:val="006909E1"/>
    <w:rsid w:val="00691603"/>
    <w:rsid w:val="0069687B"/>
    <w:rsid w:val="006969A8"/>
    <w:rsid w:val="00697E50"/>
    <w:rsid w:val="006A01EF"/>
    <w:rsid w:val="006A0BAB"/>
    <w:rsid w:val="006A0BDE"/>
    <w:rsid w:val="006A322F"/>
    <w:rsid w:val="006A462C"/>
    <w:rsid w:val="006A4CC4"/>
    <w:rsid w:val="006A5EBE"/>
    <w:rsid w:val="006A7ABB"/>
    <w:rsid w:val="006B0C82"/>
    <w:rsid w:val="006B4105"/>
    <w:rsid w:val="006B4220"/>
    <w:rsid w:val="006B47C2"/>
    <w:rsid w:val="006B52D7"/>
    <w:rsid w:val="006B5904"/>
    <w:rsid w:val="006B5F0F"/>
    <w:rsid w:val="006B72B9"/>
    <w:rsid w:val="006B7426"/>
    <w:rsid w:val="006C357C"/>
    <w:rsid w:val="006C3E66"/>
    <w:rsid w:val="006C4EE7"/>
    <w:rsid w:val="006C4FA0"/>
    <w:rsid w:val="006C58D7"/>
    <w:rsid w:val="006C5A94"/>
    <w:rsid w:val="006C602B"/>
    <w:rsid w:val="006C6546"/>
    <w:rsid w:val="006D39B4"/>
    <w:rsid w:val="006D4555"/>
    <w:rsid w:val="006D661E"/>
    <w:rsid w:val="006D6BA5"/>
    <w:rsid w:val="006D7DEB"/>
    <w:rsid w:val="006E1C75"/>
    <w:rsid w:val="006E1EC0"/>
    <w:rsid w:val="006F02FC"/>
    <w:rsid w:val="006F5D8D"/>
    <w:rsid w:val="006F6123"/>
    <w:rsid w:val="006F7A0E"/>
    <w:rsid w:val="00702603"/>
    <w:rsid w:val="0071138D"/>
    <w:rsid w:val="00715E62"/>
    <w:rsid w:val="00717E9F"/>
    <w:rsid w:val="00720614"/>
    <w:rsid w:val="007220A2"/>
    <w:rsid w:val="00725EA8"/>
    <w:rsid w:val="0073460F"/>
    <w:rsid w:val="00735757"/>
    <w:rsid w:val="00735CF8"/>
    <w:rsid w:val="0073704A"/>
    <w:rsid w:val="007377B3"/>
    <w:rsid w:val="00743630"/>
    <w:rsid w:val="007453C8"/>
    <w:rsid w:val="00745D8A"/>
    <w:rsid w:val="00750051"/>
    <w:rsid w:val="007530C5"/>
    <w:rsid w:val="00755599"/>
    <w:rsid w:val="00763A29"/>
    <w:rsid w:val="0077086E"/>
    <w:rsid w:val="00771405"/>
    <w:rsid w:val="007730A7"/>
    <w:rsid w:val="007747E6"/>
    <w:rsid w:val="007756AC"/>
    <w:rsid w:val="007758AF"/>
    <w:rsid w:val="00776626"/>
    <w:rsid w:val="00777F3E"/>
    <w:rsid w:val="00780FD0"/>
    <w:rsid w:val="007826B3"/>
    <w:rsid w:val="00783198"/>
    <w:rsid w:val="0079381F"/>
    <w:rsid w:val="007962AF"/>
    <w:rsid w:val="007A108F"/>
    <w:rsid w:val="007A1105"/>
    <w:rsid w:val="007A67E6"/>
    <w:rsid w:val="007A7B0F"/>
    <w:rsid w:val="007B1133"/>
    <w:rsid w:val="007B43BE"/>
    <w:rsid w:val="007C024A"/>
    <w:rsid w:val="007C3DAF"/>
    <w:rsid w:val="007C7F1E"/>
    <w:rsid w:val="007D0DE2"/>
    <w:rsid w:val="007D1BD4"/>
    <w:rsid w:val="007D20AF"/>
    <w:rsid w:val="007D4319"/>
    <w:rsid w:val="007D5AC6"/>
    <w:rsid w:val="007D69D5"/>
    <w:rsid w:val="007D6B7E"/>
    <w:rsid w:val="007D7007"/>
    <w:rsid w:val="007D7EAE"/>
    <w:rsid w:val="007E0A06"/>
    <w:rsid w:val="007E14B2"/>
    <w:rsid w:val="007E53AD"/>
    <w:rsid w:val="007E5740"/>
    <w:rsid w:val="007E5A8D"/>
    <w:rsid w:val="007F0117"/>
    <w:rsid w:val="007F0C7F"/>
    <w:rsid w:val="007F4708"/>
    <w:rsid w:val="007F4BCE"/>
    <w:rsid w:val="007F5E09"/>
    <w:rsid w:val="00801D9B"/>
    <w:rsid w:val="008026B1"/>
    <w:rsid w:val="0080296D"/>
    <w:rsid w:val="00803A99"/>
    <w:rsid w:val="008056E3"/>
    <w:rsid w:val="008056F2"/>
    <w:rsid w:val="00811976"/>
    <w:rsid w:val="00813FBB"/>
    <w:rsid w:val="00814A9C"/>
    <w:rsid w:val="008155F4"/>
    <w:rsid w:val="00816344"/>
    <w:rsid w:val="0082081E"/>
    <w:rsid w:val="008214DA"/>
    <w:rsid w:val="0082175A"/>
    <w:rsid w:val="00822926"/>
    <w:rsid w:val="00823197"/>
    <w:rsid w:val="00823EE1"/>
    <w:rsid w:val="00824019"/>
    <w:rsid w:val="008273E1"/>
    <w:rsid w:val="00836208"/>
    <w:rsid w:val="00837B22"/>
    <w:rsid w:val="00841865"/>
    <w:rsid w:val="0084432C"/>
    <w:rsid w:val="00844CC5"/>
    <w:rsid w:val="00846C93"/>
    <w:rsid w:val="0085269A"/>
    <w:rsid w:val="00855AFB"/>
    <w:rsid w:val="00860581"/>
    <w:rsid w:val="00860717"/>
    <w:rsid w:val="00860C86"/>
    <w:rsid w:val="00866791"/>
    <w:rsid w:val="00871562"/>
    <w:rsid w:val="0087208A"/>
    <w:rsid w:val="0087281B"/>
    <w:rsid w:val="008740C8"/>
    <w:rsid w:val="008742D9"/>
    <w:rsid w:val="00874DCA"/>
    <w:rsid w:val="00875FBB"/>
    <w:rsid w:val="00880027"/>
    <w:rsid w:val="00881CE9"/>
    <w:rsid w:val="00887C15"/>
    <w:rsid w:val="0089413E"/>
    <w:rsid w:val="00897B14"/>
    <w:rsid w:val="008A4D52"/>
    <w:rsid w:val="008A519F"/>
    <w:rsid w:val="008A5D45"/>
    <w:rsid w:val="008A6763"/>
    <w:rsid w:val="008A7193"/>
    <w:rsid w:val="008A7F9C"/>
    <w:rsid w:val="008B1FAC"/>
    <w:rsid w:val="008B528C"/>
    <w:rsid w:val="008B6686"/>
    <w:rsid w:val="008B7F4F"/>
    <w:rsid w:val="008C0BAA"/>
    <w:rsid w:val="008C5619"/>
    <w:rsid w:val="008D04AE"/>
    <w:rsid w:val="008D5A55"/>
    <w:rsid w:val="008D6883"/>
    <w:rsid w:val="008D69CB"/>
    <w:rsid w:val="008E0B36"/>
    <w:rsid w:val="008E1E89"/>
    <w:rsid w:val="008E434E"/>
    <w:rsid w:val="008E74D5"/>
    <w:rsid w:val="008F165F"/>
    <w:rsid w:val="008F52D2"/>
    <w:rsid w:val="009012E7"/>
    <w:rsid w:val="00901BD5"/>
    <w:rsid w:val="009031CC"/>
    <w:rsid w:val="009065CE"/>
    <w:rsid w:val="00907CF4"/>
    <w:rsid w:val="0091125C"/>
    <w:rsid w:val="0091220E"/>
    <w:rsid w:val="009125F0"/>
    <w:rsid w:val="00912691"/>
    <w:rsid w:val="009134E7"/>
    <w:rsid w:val="009151D2"/>
    <w:rsid w:val="009165B3"/>
    <w:rsid w:val="00916645"/>
    <w:rsid w:val="009206DF"/>
    <w:rsid w:val="00920E28"/>
    <w:rsid w:val="009220C4"/>
    <w:rsid w:val="009234D9"/>
    <w:rsid w:val="0092452F"/>
    <w:rsid w:val="009258C6"/>
    <w:rsid w:val="00932E5B"/>
    <w:rsid w:val="00936843"/>
    <w:rsid w:val="009368FC"/>
    <w:rsid w:val="009375F1"/>
    <w:rsid w:val="0093766A"/>
    <w:rsid w:val="00942F6D"/>
    <w:rsid w:val="0094461B"/>
    <w:rsid w:val="00945C05"/>
    <w:rsid w:val="00947FA7"/>
    <w:rsid w:val="0095129D"/>
    <w:rsid w:val="00951CCF"/>
    <w:rsid w:val="00955838"/>
    <w:rsid w:val="009605E7"/>
    <w:rsid w:val="00961655"/>
    <w:rsid w:val="00961657"/>
    <w:rsid w:val="00963287"/>
    <w:rsid w:val="009632ED"/>
    <w:rsid w:val="00964D1E"/>
    <w:rsid w:val="009701F5"/>
    <w:rsid w:val="00970C87"/>
    <w:rsid w:val="00974250"/>
    <w:rsid w:val="00974523"/>
    <w:rsid w:val="0097689E"/>
    <w:rsid w:val="0098241E"/>
    <w:rsid w:val="009835F6"/>
    <w:rsid w:val="0098369A"/>
    <w:rsid w:val="00983E50"/>
    <w:rsid w:val="00986180"/>
    <w:rsid w:val="0098670D"/>
    <w:rsid w:val="0098707D"/>
    <w:rsid w:val="00987450"/>
    <w:rsid w:val="009874F8"/>
    <w:rsid w:val="0099027F"/>
    <w:rsid w:val="0099429C"/>
    <w:rsid w:val="009945B7"/>
    <w:rsid w:val="0099525D"/>
    <w:rsid w:val="009A05EA"/>
    <w:rsid w:val="009A186A"/>
    <w:rsid w:val="009A30C1"/>
    <w:rsid w:val="009A45E5"/>
    <w:rsid w:val="009A516F"/>
    <w:rsid w:val="009A6420"/>
    <w:rsid w:val="009B0A63"/>
    <w:rsid w:val="009B0C0D"/>
    <w:rsid w:val="009B0F2D"/>
    <w:rsid w:val="009B1B7E"/>
    <w:rsid w:val="009B54A8"/>
    <w:rsid w:val="009B7A26"/>
    <w:rsid w:val="009B7EFE"/>
    <w:rsid w:val="009C0B24"/>
    <w:rsid w:val="009C17E6"/>
    <w:rsid w:val="009C34E8"/>
    <w:rsid w:val="009C3D32"/>
    <w:rsid w:val="009C73C2"/>
    <w:rsid w:val="009C7639"/>
    <w:rsid w:val="009C7A5B"/>
    <w:rsid w:val="009D0206"/>
    <w:rsid w:val="009D21EB"/>
    <w:rsid w:val="009D292B"/>
    <w:rsid w:val="009D3FDA"/>
    <w:rsid w:val="009D553D"/>
    <w:rsid w:val="009D6A98"/>
    <w:rsid w:val="009D79D6"/>
    <w:rsid w:val="009E006B"/>
    <w:rsid w:val="009E031A"/>
    <w:rsid w:val="009E3471"/>
    <w:rsid w:val="009E4BB4"/>
    <w:rsid w:val="009E6DA6"/>
    <w:rsid w:val="009F20CD"/>
    <w:rsid w:val="009F232A"/>
    <w:rsid w:val="009F5993"/>
    <w:rsid w:val="009F5C41"/>
    <w:rsid w:val="00A03D8F"/>
    <w:rsid w:val="00A0498E"/>
    <w:rsid w:val="00A0610F"/>
    <w:rsid w:val="00A077BD"/>
    <w:rsid w:val="00A11A1D"/>
    <w:rsid w:val="00A12CC7"/>
    <w:rsid w:val="00A12E44"/>
    <w:rsid w:val="00A13319"/>
    <w:rsid w:val="00A13B8D"/>
    <w:rsid w:val="00A14EDB"/>
    <w:rsid w:val="00A15756"/>
    <w:rsid w:val="00A17110"/>
    <w:rsid w:val="00A21649"/>
    <w:rsid w:val="00A251DB"/>
    <w:rsid w:val="00A269F9"/>
    <w:rsid w:val="00A306F5"/>
    <w:rsid w:val="00A30B84"/>
    <w:rsid w:val="00A315C6"/>
    <w:rsid w:val="00A31DCA"/>
    <w:rsid w:val="00A325EF"/>
    <w:rsid w:val="00A357C5"/>
    <w:rsid w:val="00A37F86"/>
    <w:rsid w:val="00A40C47"/>
    <w:rsid w:val="00A4593C"/>
    <w:rsid w:val="00A51206"/>
    <w:rsid w:val="00A524AA"/>
    <w:rsid w:val="00A5757C"/>
    <w:rsid w:val="00A6087F"/>
    <w:rsid w:val="00A60E7C"/>
    <w:rsid w:val="00A610F0"/>
    <w:rsid w:val="00A62888"/>
    <w:rsid w:val="00A62A68"/>
    <w:rsid w:val="00A63DA7"/>
    <w:rsid w:val="00A66B85"/>
    <w:rsid w:val="00A73775"/>
    <w:rsid w:val="00A73E51"/>
    <w:rsid w:val="00A761F0"/>
    <w:rsid w:val="00A7630D"/>
    <w:rsid w:val="00A76A6F"/>
    <w:rsid w:val="00A77139"/>
    <w:rsid w:val="00A811C3"/>
    <w:rsid w:val="00A8142C"/>
    <w:rsid w:val="00A82706"/>
    <w:rsid w:val="00A82E7E"/>
    <w:rsid w:val="00A83CC2"/>
    <w:rsid w:val="00A90F69"/>
    <w:rsid w:val="00A921A7"/>
    <w:rsid w:val="00A9757C"/>
    <w:rsid w:val="00AA37E3"/>
    <w:rsid w:val="00AA5698"/>
    <w:rsid w:val="00AA6F60"/>
    <w:rsid w:val="00AA7814"/>
    <w:rsid w:val="00AB00B5"/>
    <w:rsid w:val="00AB0910"/>
    <w:rsid w:val="00AB507F"/>
    <w:rsid w:val="00AB58C1"/>
    <w:rsid w:val="00AC01F3"/>
    <w:rsid w:val="00AC2578"/>
    <w:rsid w:val="00AC5CDB"/>
    <w:rsid w:val="00AC7350"/>
    <w:rsid w:val="00AD07DA"/>
    <w:rsid w:val="00AD21CB"/>
    <w:rsid w:val="00AD3007"/>
    <w:rsid w:val="00AD7FB3"/>
    <w:rsid w:val="00AE20A0"/>
    <w:rsid w:val="00AE3435"/>
    <w:rsid w:val="00AE5237"/>
    <w:rsid w:val="00AE6851"/>
    <w:rsid w:val="00AF0489"/>
    <w:rsid w:val="00AF075C"/>
    <w:rsid w:val="00AF08C6"/>
    <w:rsid w:val="00AF1526"/>
    <w:rsid w:val="00AF1F50"/>
    <w:rsid w:val="00AF2114"/>
    <w:rsid w:val="00AF2401"/>
    <w:rsid w:val="00AF4C77"/>
    <w:rsid w:val="00AF71A1"/>
    <w:rsid w:val="00B01CBB"/>
    <w:rsid w:val="00B02A39"/>
    <w:rsid w:val="00B0352E"/>
    <w:rsid w:val="00B04828"/>
    <w:rsid w:val="00B04CB2"/>
    <w:rsid w:val="00B06260"/>
    <w:rsid w:val="00B069A1"/>
    <w:rsid w:val="00B069BF"/>
    <w:rsid w:val="00B07523"/>
    <w:rsid w:val="00B10C31"/>
    <w:rsid w:val="00B117B1"/>
    <w:rsid w:val="00B13A82"/>
    <w:rsid w:val="00B17AAD"/>
    <w:rsid w:val="00B23BB1"/>
    <w:rsid w:val="00B23FCF"/>
    <w:rsid w:val="00B31C8B"/>
    <w:rsid w:val="00B32336"/>
    <w:rsid w:val="00B33475"/>
    <w:rsid w:val="00B42EE8"/>
    <w:rsid w:val="00B43ED0"/>
    <w:rsid w:val="00B45A57"/>
    <w:rsid w:val="00B511AA"/>
    <w:rsid w:val="00B551AE"/>
    <w:rsid w:val="00B56F38"/>
    <w:rsid w:val="00B608B3"/>
    <w:rsid w:val="00B62E77"/>
    <w:rsid w:val="00B656BF"/>
    <w:rsid w:val="00B7041F"/>
    <w:rsid w:val="00B714CD"/>
    <w:rsid w:val="00B72495"/>
    <w:rsid w:val="00B7526B"/>
    <w:rsid w:val="00B76B26"/>
    <w:rsid w:val="00B77BF4"/>
    <w:rsid w:val="00B805C8"/>
    <w:rsid w:val="00B808F3"/>
    <w:rsid w:val="00B85583"/>
    <w:rsid w:val="00B855F5"/>
    <w:rsid w:val="00B86B95"/>
    <w:rsid w:val="00B86FE8"/>
    <w:rsid w:val="00B905CD"/>
    <w:rsid w:val="00B966DF"/>
    <w:rsid w:val="00B97CAE"/>
    <w:rsid w:val="00BA0AC9"/>
    <w:rsid w:val="00BA0BDA"/>
    <w:rsid w:val="00BA188B"/>
    <w:rsid w:val="00BA19AC"/>
    <w:rsid w:val="00BA55B1"/>
    <w:rsid w:val="00BA7E9C"/>
    <w:rsid w:val="00BB1028"/>
    <w:rsid w:val="00BB12A9"/>
    <w:rsid w:val="00BB2E48"/>
    <w:rsid w:val="00BB33C6"/>
    <w:rsid w:val="00BB49EF"/>
    <w:rsid w:val="00BB4DF5"/>
    <w:rsid w:val="00BB7547"/>
    <w:rsid w:val="00BC08F9"/>
    <w:rsid w:val="00BC387D"/>
    <w:rsid w:val="00BC4693"/>
    <w:rsid w:val="00BC4F01"/>
    <w:rsid w:val="00BC4F09"/>
    <w:rsid w:val="00BC6B9F"/>
    <w:rsid w:val="00BD378A"/>
    <w:rsid w:val="00BD425C"/>
    <w:rsid w:val="00BE0C08"/>
    <w:rsid w:val="00BE35DD"/>
    <w:rsid w:val="00BE4E9C"/>
    <w:rsid w:val="00BE73A1"/>
    <w:rsid w:val="00BF19CE"/>
    <w:rsid w:val="00BF2E2E"/>
    <w:rsid w:val="00C03CF3"/>
    <w:rsid w:val="00C047BE"/>
    <w:rsid w:val="00C053D2"/>
    <w:rsid w:val="00C070CB"/>
    <w:rsid w:val="00C10883"/>
    <w:rsid w:val="00C10E8D"/>
    <w:rsid w:val="00C11843"/>
    <w:rsid w:val="00C13D82"/>
    <w:rsid w:val="00C14B35"/>
    <w:rsid w:val="00C21E65"/>
    <w:rsid w:val="00C236FA"/>
    <w:rsid w:val="00C23F5F"/>
    <w:rsid w:val="00C25CAF"/>
    <w:rsid w:val="00C25E11"/>
    <w:rsid w:val="00C26498"/>
    <w:rsid w:val="00C264CB"/>
    <w:rsid w:val="00C277EF"/>
    <w:rsid w:val="00C31505"/>
    <w:rsid w:val="00C332EA"/>
    <w:rsid w:val="00C44D85"/>
    <w:rsid w:val="00C44DDB"/>
    <w:rsid w:val="00C466B0"/>
    <w:rsid w:val="00C5356A"/>
    <w:rsid w:val="00C606FB"/>
    <w:rsid w:val="00C60B7D"/>
    <w:rsid w:val="00C614ED"/>
    <w:rsid w:val="00C61D86"/>
    <w:rsid w:val="00C6227C"/>
    <w:rsid w:val="00C71C0A"/>
    <w:rsid w:val="00C72A81"/>
    <w:rsid w:val="00C72F5D"/>
    <w:rsid w:val="00C73784"/>
    <w:rsid w:val="00C74517"/>
    <w:rsid w:val="00C74C9F"/>
    <w:rsid w:val="00C76326"/>
    <w:rsid w:val="00C817E8"/>
    <w:rsid w:val="00C82354"/>
    <w:rsid w:val="00C94B36"/>
    <w:rsid w:val="00C958BC"/>
    <w:rsid w:val="00CA1F42"/>
    <w:rsid w:val="00CA302C"/>
    <w:rsid w:val="00CA636A"/>
    <w:rsid w:val="00CA6C12"/>
    <w:rsid w:val="00CA7ADD"/>
    <w:rsid w:val="00CB1FD0"/>
    <w:rsid w:val="00CB64B5"/>
    <w:rsid w:val="00CC00C7"/>
    <w:rsid w:val="00CC13C4"/>
    <w:rsid w:val="00CC15C1"/>
    <w:rsid w:val="00CC3229"/>
    <w:rsid w:val="00CC3C92"/>
    <w:rsid w:val="00CD22C7"/>
    <w:rsid w:val="00CD58EB"/>
    <w:rsid w:val="00CD61C9"/>
    <w:rsid w:val="00CD6205"/>
    <w:rsid w:val="00CD6907"/>
    <w:rsid w:val="00CD799E"/>
    <w:rsid w:val="00CE1C45"/>
    <w:rsid w:val="00CE2895"/>
    <w:rsid w:val="00CE3593"/>
    <w:rsid w:val="00CE7148"/>
    <w:rsid w:val="00CF0229"/>
    <w:rsid w:val="00CF618C"/>
    <w:rsid w:val="00D03355"/>
    <w:rsid w:val="00D0417E"/>
    <w:rsid w:val="00D04519"/>
    <w:rsid w:val="00D05E55"/>
    <w:rsid w:val="00D06E8A"/>
    <w:rsid w:val="00D1096E"/>
    <w:rsid w:val="00D11086"/>
    <w:rsid w:val="00D135B5"/>
    <w:rsid w:val="00D14341"/>
    <w:rsid w:val="00D17066"/>
    <w:rsid w:val="00D2184D"/>
    <w:rsid w:val="00D244E9"/>
    <w:rsid w:val="00D2505C"/>
    <w:rsid w:val="00D27822"/>
    <w:rsid w:val="00D3137A"/>
    <w:rsid w:val="00D333F5"/>
    <w:rsid w:val="00D351E8"/>
    <w:rsid w:val="00D36100"/>
    <w:rsid w:val="00D3684F"/>
    <w:rsid w:val="00D4057C"/>
    <w:rsid w:val="00D41DB4"/>
    <w:rsid w:val="00D428C0"/>
    <w:rsid w:val="00D43271"/>
    <w:rsid w:val="00D47697"/>
    <w:rsid w:val="00D5186F"/>
    <w:rsid w:val="00D525EA"/>
    <w:rsid w:val="00D53222"/>
    <w:rsid w:val="00D54F6D"/>
    <w:rsid w:val="00D5596F"/>
    <w:rsid w:val="00D60C6C"/>
    <w:rsid w:val="00D6244F"/>
    <w:rsid w:val="00D63D80"/>
    <w:rsid w:val="00D66B48"/>
    <w:rsid w:val="00D6798C"/>
    <w:rsid w:val="00D721E0"/>
    <w:rsid w:val="00D7257C"/>
    <w:rsid w:val="00D739C6"/>
    <w:rsid w:val="00D756ED"/>
    <w:rsid w:val="00D75F6D"/>
    <w:rsid w:val="00D76A0A"/>
    <w:rsid w:val="00D85F45"/>
    <w:rsid w:val="00D85FE1"/>
    <w:rsid w:val="00D87CF2"/>
    <w:rsid w:val="00D923CC"/>
    <w:rsid w:val="00D92B9F"/>
    <w:rsid w:val="00D9350E"/>
    <w:rsid w:val="00D93C6F"/>
    <w:rsid w:val="00D958DC"/>
    <w:rsid w:val="00D95ADF"/>
    <w:rsid w:val="00DA1AE5"/>
    <w:rsid w:val="00DA57F2"/>
    <w:rsid w:val="00DA67FC"/>
    <w:rsid w:val="00DB2EE1"/>
    <w:rsid w:val="00DC38C9"/>
    <w:rsid w:val="00DC43E3"/>
    <w:rsid w:val="00DC5817"/>
    <w:rsid w:val="00DC7020"/>
    <w:rsid w:val="00DD09C9"/>
    <w:rsid w:val="00DD1FFE"/>
    <w:rsid w:val="00DD5EC4"/>
    <w:rsid w:val="00DE6212"/>
    <w:rsid w:val="00DE7471"/>
    <w:rsid w:val="00DF0CC5"/>
    <w:rsid w:val="00DF20C6"/>
    <w:rsid w:val="00DF2C23"/>
    <w:rsid w:val="00DF39CA"/>
    <w:rsid w:val="00DF414B"/>
    <w:rsid w:val="00DF4A4B"/>
    <w:rsid w:val="00DF6433"/>
    <w:rsid w:val="00DF7804"/>
    <w:rsid w:val="00E00A84"/>
    <w:rsid w:val="00E06203"/>
    <w:rsid w:val="00E10A73"/>
    <w:rsid w:val="00E11E10"/>
    <w:rsid w:val="00E128FF"/>
    <w:rsid w:val="00E12F9E"/>
    <w:rsid w:val="00E17842"/>
    <w:rsid w:val="00E228B1"/>
    <w:rsid w:val="00E24195"/>
    <w:rsid w:val="00E255A3"/>
    <w:rsid w:val="00E273DC"/>
    <w:rsid w:val="00E27DF9"/>
    <w:rsid w:val="00E37C13"/>
    <w:rsid w:val="00E40C04"/>
    <w:rsid w:val="00E42093"/>
    <w:rsid w:val="00E44261"/>
    <w:rsid w:val="00E53299"/>
    <w:rsid w:val="00E56475"/>
    <w:rsid w:val="00E609AB"/>
    <w:rsid w:val="00E615A3"/>
    <w:rsid w:val="00E61E5A"/>
    <w:rsid w:val="00E6230F"/>
    <w:rsid w:val="00E63382"/>
    <w:rsid w:val="00E6346B"/>
    <w:rsid w:val="00E6462F"/>
    <w:rsid w:val="00E651EE"/>
    <w:rsid w:val="00E65575"/>
    <w:rsid w:val="00E66E02"/>
    <w:rsid w:val="00E674A5"/>
    <w:rsid w:val="00E70DA2"/>
    <w:rsid w:val="00E70DB7"/>
    <w:rsid w:val="00E72820"/>
    <w:rsid w:val="00E748BA"/>
    <w:rsid w:val="00E756CD"/>
    <w:rsid w:val="00E80A8E"/>
    <w:rsid w:val="00E80C4A"/>
    <w:rsid w:val="00E81768"/>
    <w:rsid w:val="00E8186C"/>
    <w:rsid w:val="00E81982"/>
    <w:rsid w:val="00E8470E"/>
    <w:rsid w:val="00E85007"/>
    <w:rsid w:val="00E86544"/>
    <w:rsid w:val="00E865FC"/>
    <w:rsid w:val="00E90185"/>
    <w:rsid w:val="00E92564"/>
    <w:rsid w:val="00EA05DB"/>
    <w:rsid w:val="00EA10B9"/>
    <w:rsid w:val="00EA21C6"/>
    <w:rsid w:val="00EA3030"/>
    <w:rsid w:val="00EA4EA6"/>
    <w:rsid w:val="00EA54FE"/>
    <w:rsid w:val="00EA6D75"/>
    <w:rsid w:val="00EA767E"/>
    <w:rsid w:val="00EB0462"/>
    <w:rsid w:val="00EB24A3"/>
    <w:rsid w:val="00EC1536"/>
    <w:rsid w:val="00EC2880"/>
    <w:rsid w:val="00EC3F48"/>
    <w:rsid w:val="00EC417D"/>
    <w:rsid w:val="00EC7A6E"/>
    <w:rsid w:val="00ED4257"/>
    <w:rsid w:val="00ED5DED"/>
    <w:rsid w:val="00EE251A"/>
    <w:rsid w:val="00EE41E6"/>
    <w:rsid w:val="00EF0261"/>
    <w:rsid w:val="00EF2350"/>
    <w:rsid w:val="00EF41CA"/>
    <w:rsid w:val="00EF4581"/>
    <w:rsid w:val="00EF504A"/>
    <w:rsid w:val="00F025F5"/>
    <w:rsid w:val="00F115AC"/>
    <w:rsid w:val="00F1361A"/>
    <w:rsid w:val="00F1387E"/>
    <w:rsid w:val="00F1557D"/>
    <w:rsid w:val="00F16391"/>
    <w:rsid w:val="00F16E63"/>
    <w:rsid w:val="00F217EE"/>
    <w:rsid w:val="00F23CE2"/>
    <w:rsid w:val="00F24C55"/>
    <w:rsid w:val="00F24DF9"/>
    <w:rsid w:val="00F31BF4"/>
    <w:rsid w:val="00F32309"/>
    <w:rsid w:val="00F32425"/>
    <w:rsid w:val="00F33EF8"/>
    <w:rsid w:val="00F35871"/>
    <w:rsid w:val="00F5239B"/>
    <w:rsid w:val="00F536C7"/>
    <w:rsid w:val="00F61895"/>
    <w:rsid w:val="00F63939"/>
    <w:rsid w:val="00F66BFC"/>
    <w:rsid w:val="00F671B5"/>
    <w:rsid w:val="00F72A25"/>
    <w:rsid w:val="00F72E3D"/>
    <w:rsid w:val="00F7509F"/>
    <w:rsid w:val="00F755A7"/>
    <w:rsid w:val="00F76CE2"/>
    <w:rsid w:val="00F80484"/>
    <w:rsid w:val="00F81A9D"/>
    <w:rsid w:val="00F82012"/>
    <w:rsid w:val="00F83610"/>
    <w:rsid w:val="00F838B9"/>
    <w:rsid w:val="00F845E1"/>
    <w:rsid w:val="00F85C81"/>
    <w:rsid w:val="00F877B6"/>
    <w:rsid w:val="00F907A9"/>
    <w:rsid w:val="00F908BE"/>
    <w:rsid w:val="00F940EE"/>
    <w:rsid w:val="00F944B1"/>
    <w:rsid w:val="00F949BE"/>
    <w:rsid w:val="00F95D7D"/>
    <w:rsid w:val="00F961AA"/>
    <w:rsid w:val="00FA0590"/>
    <w:rsid w:val="00FA1D53"/>
    <w:rsid w:val="00FA277B"/>
    <w:rsid w:val="00FA2DA1"/>
    <w:rsid w:val="00FA3295"/>
    <w:rsid w:val="00FA3A14"/>
    <w:rsid w:val="00FA72F6"/>
    <w:rsid w:val="00FB0E60"/>
    <w:rsid w:val="00FB41F7"/>
    <w:rsid w:val="00FB4463"/>
    <w:rsid w:val="00FB5D7B"/>
    <w:rsid w:val="00FB6553"/>
    <w:rsid w:val="00FC050A"/>
    <w:rsid w:val="00FC11D6"/>
    <w:rsid w:val="00FC3937"/>
    <w:rsid w:val="00FC6352"/>
    <w:rsid w:val="00FD1974"/>
    <w:rsid w:val="00FD232A"/>
    <w:rsid w:val="00FD2F62"/>
    <w:rsid w:val="00FD3CC7"/>
    <w:rsid w:val="00FD3F2D"/>
    <w:rsid w:val="00FD4AB7"/>
    <w:rsid w:val="00FD5855"/>
    <w:rsid w:val="00FD59F7"/>
    <w:rsid w:val="00FD648E"/>
    <w:rsid w:val="00FD6665"/>
    <w:rsid w:val="00FE0CFB"/>
    <w:rsid w:val="00FE17A9"/>
    <w:rsid w:val="00FF2D31"/>
    <w:rsid w:val="00FF486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356BF"/>
  <w15:docId w15:val="{C36AF6DD-C5F8-428B-A43A-0B0AE2B3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BD5"/>
    <w:rPr>
      <w:rFonts w:ascii="Calibri" w:eastAsia="Calibri" w:hAnsi="Calibri" w:cs="Times New Roman"/>
    </w:rPr>
  </w:style>
  <w:style w:type="paragraph" w:styleId="Ttulo1">
    <w:name w:val="heading 1"/>
    <w:basedOn w:val="Normal"/>
    <w:next w:val="Normal"/>
    <w:link w:val="Ttulo1Car"/>
    <w:uiPriority w:val="9"/>
    <w:qFormat/>
    <w:rsid w:val="0064010E"/>
    <w:pPr>
      <w:spacing w:before="600" w:after="0" w:line="360" w:lineRule="auto"/>
      <w:outlineLvl w:val="0"/>
    </w:pPr>
    <w:rPr>
      <w:rFonts w:asciiTheme="majorHAnsi" w:eastAsiaTheme="majorEastAsia" w:hAnsiTheme="majorHAnsi" w:cstheme="majorBidi"/>
      <w:b/>
      <w:bCs/>
      <w:i/>
      <w:iCs/>
      <w:sz w:val="32"/>
      <w:szCs w:val="32"/>
      <w:lang w:val="en-US" w:bidi="en-US"/>
    </w:rPr>
  </w:style>
  <w:style w:type="paragraph" w:styleId="Ttulo2">
    <w:name w:val="heading 2"/>
    <w:basedOn w:val="Normal"/>
    <w:next w:val="Normal"/>
    <w:link w:val="Ttulo2Car"/>
    <w:uiPriority w:val="9"/>
    <w:unhideWhenUsed/>
    <w:qFormat/>
    <w:rsid w:val="00F908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640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10E"/>
    <w:rPr>
      <w:rFonts w:asciiTheme="majorHAnsi" w:eastAsiaTheme="majorEastAsia" w:hAnsiTheme="majorHAnsi" w:cstheme="majorBidi"/>
      <w:b/>
      <w:bCs/>
      <w:i/>
      <w:iCs/>
      <w:sz w:val="32"/>
      <w:szCs w:val="32"/>
      <w:lang w:val="en-US" w:bidi="en-US"/>
    </w:rPr>
  </w:style>
  <w:style w:type="character" w:customStyle="1" w:styleId="Ttulo2Car">
    <w:name w:val="Título 2 Car"/>
    <w:basedOn w:val="Fuentedeprrafopredeter"/>
    <w:link w:val="Ttulo2"/>
    <w:uiPriority w:val="9"/>
    <w:rsid w:val="00F908B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64010E"/>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64010E"/>
    <w:pPr>
      <w:ind w:left="720"/>
      <w:contextualSpacing/>
    </w:pPr>
  </w:style>
  <w:style w:type="table" w:styleId="Tablaconcuadrcula">
    <w:name w:val="Table Grid"/>
    <w:basedOn w:val="Tablanormal"/>
    <w:uiPriority w:val="39"/>
    <w:rsid w:val="0064010E"/>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64010E"/>
    <w:pPr>
      <w:tabs>
        <w:tab w:val="center" w:pos="4419"/>
        <w:tab w:val="right" w:pos="8838"/>
      </w:tabs>
    </w:pPr>
  </w:style>
  <w:style w:type="character" w:customStyle="1" w:styleId="EncabezadoCar">
    <w:name w:val="Encabezado Car"/>
    <w:basedOn w:val="Fuentedeprrafopredeter"/>
    <w:link w:val="Encabezado"/>
    <w:uiPriority w:val="99"/>
    <w:rsid w:val="0064010E"/>
    <w:rPr>
      <w:rFonts w:ascii="Calibri" w:eastAsia="Calibri" w:hAnsi="Calibri" w:cs="Times New Roman"/>
    </w:rPr>
  </w:style>
  <w:style w:type="paragraph" w:styleId="Piedepgina">
    <w:name w:val="footer"/>
    <w:basedOn w:val="Normal"/>
    <w:link w:val="PiedepginaCar"/>
    <w:uiPriority w:val="99"/>
    <w:unhideWhenUsed/>
    <w:rsid w:val="0064010E"/>
    <w:pPr>
      <w:tabs>
        <w:tab w:val="center" w:pos="4419"/>
        <w:tab w:val="right" w:pos="8838"/>
      </w:tabs>
    </w:pPr>
  </w:style>
  <w:style w:type="character" w:customStyle="1" w:styleId="PiedepginaCar">
    <w:name w:val="Pie de página Car"/>
    <w:basedOn w:val="Fuentedeprrafopredeter"/>
    <w:link w:val="Piedepgina"/>
    <w:uiPriority w:val="99"/>
    <w:rsid w:val="0064010E"/>
    <w:rPr>
      <w:rFonts w:ascii="Calibri" w:eastAsia="Calibri" w:hAnsi="Calibri" w:cs="Times New Roman"/>
    </w:rPr>
  </w:style>
  <w:style w:type="character" w:styleId="Nmerodepgina">
    <w:name w:val="page number"/>
    <w:basedOn w:val="Fuentedeprrafopredeter"/>
    <w:rsid w:val="0064010E"/>
  </w:style>
  <w:style w:type="paragraph" w:styleId="Textoindependiente">
    <w:name w:val="Body Text"/>
    <w:basedOn w:val="Normal"/>
    <w:link w:val="TextoindependienteCar"/>
    <w:rsid w:val="0064010E"/>
    <w:pPr>
      <w:spacing w:after="0" w:line="240" w:lineRule="auto"/>
      <w:jc w:val="both"/>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64010E"/>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64010E"/>
    <w:pPr>
      <w:spacing w:after="120"/>
      <w:ind w:left="360"/>
    </w:pPr>
    <w:rPr>
      <w:sz w:val="16"/>
      <w:szCs w:val="16"/>
    </w:rPr>
  </w:style>
  <w:style w:type="character" w:customStyle="1" w:styleId="Sangra3detindependienteCar">
    <w:name w:val="Sangría 3 de t. independiente Car"/>
    <w:basedOn w:val="Fuentedeprrafopredeter"/>
    <w:link w:val="Sangra3detindependiente"/>
    <w:rsid w:val="0064010E"/>
    <w:rPr>
      <w:rFonts w:ascii="Calibri" w:eastAsia="Calibri" w:hAnsi="Calibri" w:cs="Times New Roman"/>
      <w:sz w:val="16"/>
      <w:szCs w:val="16"/>
    </w:rPr>
  </w:style>
  <w:style w:type="paragraph" w:customStyle="1" w:styleId="Textonormal">
    <w:name w:val="Texto normal"/>
    <w:basedOn w:val="Normal"/>
    <w:uiPriority w:val="99"/>
    <w:rsid w:val="0064010E"/>
    <w:pPr>
      <w:spacing w:after="220" w:line="288" w:lineRule="atLeast"/>
      <w:jc w:val="both"/>
    </w:pPr>
    <w:rPr>
      <w:rFonts w:ascii="Times New Roman" w:eastAsia="Times New Roman" w:hAnsi="Times New Roman"/>
      <w:sz w:val="20"/>
      <w:szCs w:val="20"/>
      <w:lang w:val="en-US"/>
    </w:rPr>
  </w:style>
  <w:style w:type="character" w:styleId="Refdenotaalpie">
    <w:name w:val="footnote reference"/>
    <w:aliases w:val="Ref,de nota al pie,16 Point,Superscript 6 Point,Superscript 6 Point + 11 pt"/>
    <w:basedOn w:val="Fuentedeprrafopredeter"/>
    <w:uiPriority w:val="99"/>
    <w:rsid w:val="0064010E"/>
    <w:rPr>
      <w:vertAlign w:val="superscript"/>
    </w:rPr>
  </w:style>
  <w:style w:type="paragraph" w:styleId="Textonotapie">
    <w:name w:val="footnote text"/>
    <w:aliases w:val=" Car5,single space Car Car,single space Car,Car,Car Car Car Car,Car Car Car,single space Car Car Car Car Car Car Car Car,single space C,single space Car Car Car Car Car Car Car Car Car,single space C Car Car,Car Car Car Car Car Car, Car,C"/>
    <w:basedOn w:val="Normal"/>
    <w:link w:val="TextonotapieCar"/>
    <w:uiPriority w:val="99"/>
    <w:rsid w:val="0064010E"/>
    <w:pPr>
      <w:spacing w:after="0" w:line="240" w:lineRule="auto"/>
    </w:pPr>
    <w:rPr>
      <w:rFonts w:ascii="Times New Roman" w:eastAsia="SimSun" w:hAnsi="Times New Roman"/>
      <w:snapToGrid w:val="0"/>
      <w:sz w:val="20"/>
      <w:szCs w:val="20"/>
      <w:lang w:val="en-US"/>
    </w:rPr>
  </w:style>
  <w:style w:type="character" w:customStyle="1" w:styleId="TextonotapieCar">
    <w:name w:val="Texto nota pie Car"/>
    <w:aliases w:val=" Car5 Car,single space Car Car Car,single space Car Car1,Car Car,Car Car Car Car Car,Car Car Car Car1,single space Car Car Car Car Car Car Car Car Car1,single space C Car,single space Car Car Car Car Car Car Car Car Car Car, Car Car"/>
    <w:basedOn w:val="Fuentedeprrafopredeter"/>
    <w:link w:val="Textonotapie"/>
    <w:uiPriority w:val="99"/>
    <w:rsid w:val="0064010E"/>
    <w:rPr>
      <w:rFonts w:ascii="Times New Roman" w:eastAsia="SimSun" w:hAnsi="Times New Roman" w:cs="Times New Roman"/>
      <w:snapToGrid w:val="0"/>
      <w:sz w:val="20"/>
      <w:szCs w:val="20"/>
      <w:lang w:val="en-US"/>
    </w:rPr>
  </w:style>
  <w:style w:type="paragraph" w:styleId="Textodeglobo">
    <w:name w:val="Balloon Text"/>
    <w:basedOn w:val="Normal"/>
    <w:link w:val="TextodegloboCar"/>
    <w:uiPriority w:val="99"/>
    <w:semiHidden/>
    <w:unhideWhenUsed/>
    <w:rsid w:val="00640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10E"/>
    <w:rPr>
      <w:rFonts w:ascii="Tahoma" w:eastAsia="Calibri" w:hAnsi="Tahoma" w:cs="Tahoma"/>
      <w:sz w:val="16"/>
      <w:szCs w:val="16"/>
    </w:rPr>
  </w:style>
  <w:style w:type="paragraph" w:styleId="NormalWeb">
    <w:name w:val="Normal (Web)"/>
    <w:basedOn w:val="Normal"/>
    <w:unhideWhenUsed/>
    <w:rsid w:val="0064010E"/>
    <w:pPr>
      <w:spacing w:before="100" w:beforeAutospacing="1" w:after="100" w:afterAutospacing="1" w:line="240" w:lineRule="auto"/>
    </w:pPr>
    <w:rPr>
      <w:rFonts w:ascii="Times New Roman" w:eastAsia="Times New Roman" w:hAnsi="Times New Roman"/>
      <w:sz w:val="24"/>
      <w:szCs w:val="24"/>
      <w:lang w:eastAsia="es-CR"/>
    </w:rPr>
  </w:style>
  <w:style w:type="character" w:styleId="nfasis">
    <w:name w:val="Emphasis"/>
    <w:uiPriority w:val="20"/>
    <w:qFormat/>
    <w:rsid w:val="0064010E"/>
    <w:rPr>
      <w:b/>
      <w:bCs/>
      <w:i/>
      <w:iCs/>
      <w:color w:val="auto"/>
    </w:rPr>
  </w:style>
  <w:style w:type="paragraph" w:styleId="Sinespaciado">
    <w:name w:val="No Spacing"/>
    <w:basedOn w:val="Normal"/>
    <w:link w:val="SinespaciadoCar"/>
    <w:uiPriority w:val="1"/>
    <w:qFormat/>
    <w:rsid w:val="0064010E"/>
    <w:pPr>
      <w:spacing w:after="0" w:line="240" w:lineRule="auto"/>
    </w:pPr>
    <w:rPr>
      <w:rFonts w:asciiTheme="minorHAnsi" w:eastAsiaTheme="minorEastAsia" w:hAnsiTheme="minorHAnsi" w:cstheme="minorBidi"/>
      <w:lang w:val="en-US" w:bidi="en-US"/>
    </w:rPr>
  </w:style>
  <w:style w:type="character" w:customStyle="1" w:styleId="SinespaciadoCar">
    <w:name w:val="Sin espaciado Car"/>
    <w:basedOn w:val="Fuentedeprrafopredeter"/>
    <w:link w:val="Sinespaciado"/>
    <w:uiPriority w:val="1"/>
    <w:rsid w:val="0064010E"/>
    <w:rPr>
      <w:rFonts w:eastAsiaTheme="minorEastAsia"/>
      <w:lang w:val="en-US" w:bidi="en-US"/>
    </w:rPr>
  </w:style>
  <w:style w:type="paragraph" w:styleId="TtuloTDC">
    <w:name w:val="TOC Heading"/>
    <w:basedOn w:val="Ttulo1"/>
    <w:next w:val="Normal"/>
    <w:uiPriority w:val="39"/>
    <w:unhideWhenUsed/>
    <w:qFormat/>
    <w:rsid w:val="0064010E"/>
    <w:pPr>
      <w:outlineLvl w:val="9"/>
    </w:pPr>
  </w:style>
  <w:style w:type="paragraph" w:styleId="Textocomentario">
    <w:name w:val="annotation text"/>
    <w:basedOn w:val="Normal"/>
    <w:link w:val="TextocomentarioCar"/>
    <w:uiPriority w:val="99"/>
    <w:rsid w:val="0064010E"/>
    <w:pPr>
      <w:spacing w:after="0" w:line="240" w:lineRule="auto"/>
    </w:pPr>
    <w:rPr>
      <w:rFonts w:ascii="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64010E"/>
    <w:rPr>
      <w:rFonts w:ascii="Times New Roman" w:eastAsia="Calibri" w:hAnsi="Times New Roman" w:cs="Times New Roman"/>
      <w:sz w:val="20"/>
      <w:szCs w:val="20"/>
      <w:lang w:val="es-ES_tradnl" w:eastAsia="es-ES"/>
    </w:rPr>
  </w:style>
  <w:style w:type="paragraph" w:styleId="Cita">
    <w:name w:val="Quote"/>
    <w:basedOn w:val="Normal"/>
    <w:next w:val="Normal"/>
    <w:link w:val="CitaCar"/>
    <w:uiPriority w:val="29"/>
    <w:qFormat/>
    <w:rsid w:val="0064010E"/>
    <w:pPr>
      <w:spacing w:after="240" w:line="480" w:lineRule="auto"/>
      <w:ind w:firstLine="360"/>
    </w:pPr>
    <w:rPr>
      <w:rFonts w:asciiTheme="minorHAnsi" w:eastAsiaTheme="minorEastAsia" w:hAnsiTheme="minorHAnsi" w:cstheme="minorBidi"/>
      <w:color w:val="5A5A5A" w:themeColor="text1" w:themeTint="A5"/>
      <w:lang w:val="en-US" w:bidi="en-US"/>
    </w:rPr>
  </w:style>
  <w:style w:type="character" w:customStyle="1" w:styleId="CitaCar">
    <w:name w:val="Cita Car"/>
    <w:basedOn w:val="Fuentedeprrafopredeter"/>
    <w:link w:val="Cita"/>
    <w:uiPriority w:val="29"/>
    <w:rsid w:val="0064010E"/>
    <w:rPr>
      <w:rFonts w:eastAsiaTheme="minorEastAsia"/>
      <w:color w:val="5A5A5A" w:themeColor="text1" w:themeTint="A5"/>
      <w:lang w:val="en-US" w:bidi="en-US"/>
    </w:rPr>
  </w:style>
  <w:style w:type="character" w:styleId="Nmerodelnea">
    <w:name w:val="line number"/>
    <w:basedOn w:val="Fuentedeprrafopredeter"/>
    <w:uiPriority w:val="99"/>
    <w:semiHidden/>
    <w:unhideWhenUsed/>
    <w:rsid w:val="0064010E"/>
  </w:style>
  <w:style w:type="character" w:styleId="Hipervnculo">
    <w:name w:val="Hyperlink"/>
    <w:basedOn w:val="Fuentedeprrafopredeter"/>
    <w:uiPriority w:val="99"/>
    <w:unhideWhenUsed/>
    <w:rsid w:val="0064010E"/>
    <w:rPr>
      <w:color w:val="0000FF"/>
      <w:u w:val="single"/>
    </w:rPr>
  </w:style>
  <w:style w:type="character" w:styleId="Hipervnculovisitado">
    <w:name w:val="FollowedHyperlink"/>
    <w:basedOn w:val="Fuentedeprrafopredeter"/>
    <w:uiPriority w:val="99"/>
    <w:semiHidden/>
    <w:unhideWhenUsed/>
    <w:rsid w:val="0064010E"/>
    <w:rPr>
      <w:color w:val="800080"/>
      <w:u w:val="single"/>
    </w:rPr>
  </w:style>
  <w:style w:type="paragraph" w:customStyle="1" w:styleId="font5">
    <w:name w:val="font5"/>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6">
    <w:name w:val="font6"/>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font7">
    <w:name w:val="font7"/>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8">
    <w:name w:val="font8"/>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xl82">
    <w:name w:val="xl82"/>
    <w:basedOn w:val="Normal"/>
    <w:rsid w:val="0064010E"/>
    <w:pPr>
      <w:shd w:val="clear" w:color="000000" w:fill="FFFFFF"/>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xl83">
    <w:name w:val="xl8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4">
    <w:name w:val="xl84"/>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5">
    <w:name w:val="xl8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6">
    <w:name w:val="xl86"/>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7">
    <w:name w:val="xl8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88">
    <w:name w:val="xl8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89">
    <w:name w:val="xl89"/>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0">
    <w:name w:val="xl9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1">
    <w:name w:val="xl9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2">
    <w:name w:val="xl9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3">
    <w:name w:val="xl9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4">
    <w:name w:val="xl9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95">
    <w:name w:val="xl9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6">
    <w:name w:val="xl9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es-CR"/>
    </w:rPr>
  </w:style>
  <w:style w:type="paragraph" w:customStyle="1" w:styleId="xl97">
    <w:name w:val="xl9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8">
    <w:name w:val="xl9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9">
    <w:name w:val="xl9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0">
    <w:name w:val="xl10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01">
    <w:name w:val="xl10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2">
    <w:name w:val="xl10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3">
    <w:name w:val="xl10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4">
    <w:name w:val="xl10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5">
    <w:name w:val="xl10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6">
    <w:name w:val="xl10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7">
    <w:name w:val="xl107"/>
    <w:basedOn w:val="Normal"/>
    <w:rsid w:val="0064010E"/>
    <w:pPr>
      <w:pBdr>
        <w:top w:val="single" w:sz="8" w:space="0" w:color="auto"/>
        <w:bottom w:val="single" w:sz="8" w:space="0" w:color="auto"/>
        <w:right w:val="single" w:sz="8" w:space="0" w:color="auto"/>
      </w:pBdr>
      <w:shd w:val="clear" w:color="000000" w:fill="339966"/>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08">
    <w:name w:val="xl108"/>
    <w:basedOn w:val="Normal"/>
    <w:rsid w:val="0064010E"/>
    <w:pPr>
      <w:pBdr>
        <w:top w:val="single" w:sz="8" w:space="0" w:color="auto"/>
        <w:left w:val="single" w:sz="8" w:space="0" w:color="auto"/>
        <w:bottom w:val="single" w:sz="8" w:space="0" w:color="auto"/>
        <w:right w:val="single" w:sz="8" w:space="0" w:color="auto"/>
      </w:pBdr>
      <w:shd w:val="clear" w:color="000000" w:fill="339966"/>
      <w:spacing w:before="100" w:beforeAutospacing="1" w:after="100" w:afterAutospacing="1" w:line="240" w:lineRule="auto"/>
      <w:jc w:val="center"/>
      <w:textAlignment w:val="center"/>
    </w:pPr>
    <w:rPr>
      <w:rFonts w:ascii="Arial" w:eastAsia="Times New Roman" w:hAnsi="Arial" w:cs="Arial"/>
      <w:b/>
      <w:bCs/>
      <w:sz w:val="12"/>
      <w:szCs w:val="12"/>
      <w:lang w:eastAsia="es-CR"/>
    </w:rPr>
  </w:style>
  <w:style w:type="paragraph" w:customStyle="1" w:styleId="xl109">
    <w:name w:val="xl10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0">
    <w:name w:val="xl11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1">
    <w:name w:val="xl111"/>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2">
    <w:name w:val="xl11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3">
    <w:name w:val="xl11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4">
    <w:name w:val="xl114"/>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5">
    <w:name w:val="xl11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6">
    <w:name w:val="xl11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7">
    <w:name w:val="xl11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18">
    <w:name w:val="xl11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9">
    <w:name w:val="xl11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0">
    <w:name w:val="xl12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1">
    <w:name w:val="xl12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2">
    <w:name w:val="xl122"/>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3">
    <w:name w:val="xl12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4">
    <w:name w:val="xl12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5">
    <w:name w:val="xl12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6">
    <w:name w:val="xl126"/>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7">
    <w:name w:val="xl127"/>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16"/>
      <w:szCs w:val="16"/>
      <w:lang w:eastAsia="es-CR"/>
    </w:rPr>
  </w:style>
  <w:style w:type="paragraph" w:customStyle="1" w:styleId="xl128">
    <w:name w:val="xl12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9">
    <w:name w:val="xl129"/>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0">
    <w:name w:val="xl130"/>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1">
    <w:name w:val="xl131"/>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2">
    <w:name w:val="xl132"/>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3">
    <w:name w:val="xl133"/>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4">
    <w:name w:val="xl134"/>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5">
    <w:name w:val="xl135"/>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6">
    <w:name w:val="xl136"/>
    <w:basedOn w:val="Normal"/>
    <w:rsid w:val="0064010E"/>
    <w:pPr>
      <w:shd w:val="clear" w:color="000000" w:fill="FFFFFF"/>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137">
    <w:name w:val="xl13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color w:val="000000"/>
      <w:sz w:val="16"/>
      <w:szCs w:val="16"/>
      <w:lang w:eastAsia="es-CR"/>
    </w:rPr>
  </w:style>
  <w:style w:type="paragraph" w:customStyle="1" w:styleId="xl138">
    <w:name w:val="xl13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9">
    <w:name w:val="xl139"/>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40">
    <w:name w:val="xl140"/>
    <w:basedOn w:val="Normal"/>
    <w:rsid w:val="0064010E"/>
    <w:pPr>
      <w:pBdr>
        <w:top w:val="single" w:sz="4" w:space="0" w:color="auto"/>
        <w:left w:val="single" w:sz="4" w:space="0" w:color="auto"/>
        <w:bottom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paragraph" w:customStyle="1" w:styleId="xl141">
    <w:name w:val="xl141"/>
    <w:basedOn w:val="Normal"/>
    <w:rsid w:val="0064010E"/>
    <w:pPr>
      <w:pBdr>
        <w:top w:val="single" w:sz="4" w:space="0" w:color="auto"/>
        <w:bottom w:val="single" w:sz="4" w:space="0" w:color="auto"/>
        <w:right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character" w:styleId="Refdecomentario">
    <w:name w:val="annotation reference"/>
    <w:uiPriority w:val="99"/>
    <w:rsid w:val="0064010E"/>
    <w:rPr>
      <w:sz w:val="16"/>
      <w:szCs w:val="16"/>
    </w:rPr>
  </w:style>
  <w:style w:type="paragraph" w:customStyle="1" w:styleId="Default">
    <w:name w:val="Default"/>
    <w:rsid w:val="0064010E"/>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Fuentedeprrafopredeter"/>
    <w:rsid w:val="0064010E"/>
  </w:style>
  <w:style w:type="paragraph" w:styleId="TDC1">
    <w:name w:val="toc 1"/>
    <w:basedOn w:val="Normal"/>
    <w:next w:val="Normal"/>
    <w:autoRedefine/>
    <w:uiPriority w:val="39"/>
    <w:unhideWhenUsed/>
    <w:rsid w:val="0064010E"/>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64010E"/>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64010E"/>
    <w:pPr>
      <w:spacing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64010E"/>
    <w:pPr>
      <w:spacing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64010E"/>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64010E"/>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64010E"/>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64010E"/>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64010E"/>
    <w:pPr>
      <w:spacing w:after="0"/>
      <w:ind w:left="1760"/>
    </w:pPr>
    <w:rPr>
      <w:rFonts w:asciiTheme="minorHAnsi" w:hAnsiTheme="minorHAnsi" w:cstheme="minorHAnsi"/>
      <w:sz w:val="20"/>
      <w:szCs w:val="20"/>
    </w:rPr>
  </w:style>
  <w:style w:type="paragraph" w:customStyle="1" w:styleId="xl66">
    <w:name w:val="xl66"/>
    <w:basedOn w:val="Normal"/>
    <w:rsid w:val="0097689E"/>
    <w:pPr>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67">
    <w:name w:val="xl6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8">
    <w:name w:val="xl6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9">
    <w:name w:val="xl69"/>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0">
    <w:name w:val="xl70"/>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1">
    <w:name w:val="xl71"/>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2">
    <w:name w:val="xl72"/>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3">
    <w:name w:val="xl73"/>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4">
    <w:name w:val="xl74"/>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5">
    <w:name w:val="xl75"/>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6">
    <w:name w:val="xl76"/>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7">
    <w:name w:val="xl7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8">
    <w:name w:val="xl7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9">
    <w:name w:val="xl79"/>
    <w:basedOn w:val="Normal"/>
    <w:rsid w:val="0097689E"/>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0">
    <w:name w:val="xl80"/>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1">
    <w:name w:val="xl81"/>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noparagraphstyle">
    <w:name w:val="noparagraphstyle"/>
    <w:basedOn w:val="Normal"/>
    <w:rsid w:val="005E194C"/>
    <w:pPr>
      <w:spacing w:before="100" w:beforeAutospacing="1" w:after="100" w:afterAutospacing="1" w:line="240" w:lineRule="auto"/>
    </w:pPr>
    <w:rPr>
      <w:rFonts w:ascii="Times New Roman" w:eastAsia="Times New Roman" w:hAnsi="Times New Roman"/>
      <w:sz w:val="24"/>
      <w:szCs w:val="24"/>
      <w:lang w:val="en-US"/>
    </w:rPr>
  </w:style>
  <w:style w:type="paragraph" w:styleId="Asuntodelcomentario">
    <w:name w:val="annotation subject"/>
    <w:basedOn w:val="Textocomentario"/>
    <w:next w:val="Textocomentario"/>
    <w:link w:val="AsuntodelcomentarioCar"/>
    <w:uiPriority w:val="99"/>
    <w:semiHidden/>
    <w:unhideWhenUsed/>
    <w:rsid w:val="0091220E"/>
    <w:pPr>
      <w:spacing w:after="200"/>
    </w:pPr>
    <w:rPr>
      <w:rFonts w:ascii="Calibri" w:hAnsi="Calibri"/>
      <w:b/>
      <w:bCs/>
      <w:lang w:val="es-CR" w:eastAsia="en-US"/>
    </w:rPr>
  </w:style>
  <w:style w:type="character" w:customStyle="1" w:styleId="AsuntodelcomentarioCar">
    <w:name w:val="Asunto del comentario Car"/>
    <w:basedOn w:val="TextocomentarioCar"/>
    <w:link w:val="Asuntodelcomentario"/>
    <w:uiPriority w:val="99"/>
    <w:semiHidden/>
    <w:rsid w:val="0091220E"/>
    <w:rPr>
      <w:rFonts w:ascii="Calibri" w:eastAsia="Calibri" w:hAnsi="Calibri" w:cs="Times New Roman"/>
      <w:b/>
      <w:bCs/>
      <w:sz w:val="20"/>
      <w:szCs w:val="20"/>
      <w:lang w:val="es-ES_tradnl" w:eastAsia="es-ES"/>
    </w:rPr>
  </w:style>
  <w:style w:type="paragraph" w:customStyle="1" w:styleId="xmsonormal">
    <w:name w:val="x_msonormal"/>
    <w:basedOn w:val="Normal"/>
    <w:rsid w:val="00EA10B9"/>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aragraph">
    <w:name w:val="paragraph"/>
    <w:basedOn w:val="Normal"/>
    <w:rsid w:val="00844CC5"/>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normaltextrun">
    <w:name w:val="normaltextrun"/>
    <w:basedOn w:val="Fuentedeprrafopredeter"/>
    <w:rsid w:val="00844CC5"/>
  </w:style>
  <w:style w:type="character" w:customStyle="1" w:styleId="eop">
    <w:name w:val="eop"/>
    <w:basedOn w:val="Fuentedeprrafopredeter"/>
    <w:rsid w:val="0084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08">
      <w:bodyDiv w:val="1"/>
      <w:marLeft w:val="0"/>
      <w:marRight w:val="0"/>
      <w:marTop w:val="0"/>
      <w:marBottom w:val="0"/>
      <w:divBdr>
        <w:top w:val="none" w:sz="0" w:space="0" w:color="auto"/>
        <w:left w:val="none" w:sz="0" w:space="0" w:color="auto"/>
        <w:bottom w:val="none" w:sz="0" w:space="0" w:color="auto"/>
        <w:right w:val="none" w:sz="0" w:space="0" w:color="auto"/>
      </w:divBdr>
    </w:div>
    <w:div w:id="7105346">
      <w:bodyDiv w:val="1"/>
      <w:marLeft w:val="0"/>
      <w:marRight w:val="0"/>
      <w:marTop w:val="0"/>
      <w:marBottom w:val="0"/>
      <w:divBdr>
        <w:top w:val="none" w:sz="0" w:space="0" w:color="auto"/>
        <w:left w:val="none" w:sz="0" w:space="0" w:color="auto"/>
        <w:bottom w:val="none" w:sz="0" w:space="0" w:color="auto"/>
        <w:right w:val="none" w:sz="0" w:space="0" w:color="auto"/>
      </w:divBdr>
    </w:div>
    <w:div w:id="11807964">
      <w:bodyDiv w:val="1"/>
      <w:marLeft w:val="0"/>
      <w:marRight w:val="0"/>
      <w:marTop w:val="0"/>
      <w:marBottom w:val="0"/>
      <w:divBdr>
        <w:top w:val="none" w:sz="0" w:space="0" w:color="auto"/>
        <w:left w:val="none" w:sz="0" w:space="0" w:color="auto"/>
        <w:bottom w:val="none" w:sz="0" w:space="0" w:color="auto"/>
        <w:right w:val="none" w:sz="0" w:space="0" w:color="auto"/>
      </w:divBdr>
    </w:div>
    <w:div w:id="20937467">
      <w:bodyDiv w:val="1"/>
      <w:marLeft w:val="0"/>
      <w:marRight w:val="0"/>
      <w:marTop w:val="0"/>
      <w:marBottom w:val="0"/>
      <w:divBdr>
        <w:top w:val="none" w:sz="0" w:space="0" w:color="auto"/>
        <w:left w:val="none" w:sz="0" w:space="0" w:color="auto"/>
        <w:bottom w:val="none" w:sz="0" w:space="0" w:color="auto"/>
        <w:right w:val="none" w:sz="0" w:space="0" w:color="auto"/>
      </w:divBdr>
    </w:div>
    <w:div w:id="52588126">
      <w:bodyDiv w:val="1"/>
      <w:marLeft w:val="0"/>
      <w:marRight w:val="0"/>
      <w:marTop w:val="0"/>
      <w:marBottom w:val="0"/>
      <w:divBdr>
        <w:top w:val="none" w:sz="0" w:space="0" w:color="auto"/>
        <w:left w:val="none" w:sz="0" w:space="0" w:color="auto"/>
        <w:bottom w:val="none" w:sz="0" w:space="0" w:color="auto"/>
        <w:right w:val="none" w:sz="0" w:space="0" w:color="auto"/>
      </w:divBdr>
    </w:div>
    <w:div w:id="54089585">
      <w:bodyDiv w:val="1"/>
      <w:marLeft w:val="0"/>
      <w:marRight w:val="0"/>
      <w:marTop w:val="0"/>
      <w:marBottom w:val="0"/>
      <w:divBdr>
        <w:top w:val="none" w:sz="0" w:space="0" w:color="auto"/>
        <w:left w:val="none" w:sz="0" w:space="0" w:color="auto"/>
        <w:bottom w:val="none" w:sz="0" w:space="0" w:color="auto"/>
        <w:right w:val="none" w:sz="0" w:space="0" w:color="auto"/>
      </w:divBdr>
    </w:div>
    <w:div w:id="57753570">
      <w:bodyDiv w:val="1"/>
      <w:marLeft w:val="0"/>
      <w:marRight w:val="0"/>
      <w:marTop w:val="0"/>
      <w:marBottom w:val="0"/>
      <w:divBdr>
        <w:top w:val="none" w:sz="0" w:space="0" w:color="auto"/>
        <w:left w:val="none" w:sz="0" w:space="0" w:color="auto"/>
        <w:bottom w:val="none" w:sz="0" w:space="0" w:color="auto"/>
        <w:right w:val="none" w:sz="0" w:space="0" w:color="auto"/>
      </w:divBdr>
    </w:div>
    <w:div w:id="59333760">
      <w:bodyDiv w:val="1"/>
      <w:marLeft w:val="0"/>
      <w:marRight w:val="0"/>
      <w:marTop w:val="0"/>
      <w:marBottom w:val="0"/>
      <w:divBdr>
        <w:top w:val="none" w:sz="0" w:space="0" w:color="auto"/>
        <w:left w:val="none" w:sz="0" w:space="0" w:color="auto"/>
        <w:bottom w:val="none" w:sz="0" w:space="0" w:color="auto"/>
        <w:right w:val="none" w:sz="0" w:space="0" w:color="auto"/>
      </w:divBdr>
    </w:div>
    <w:div w:id="67265694">
      <w:bodyDiv w:val="1"/>
      <w:marLeft w:val="0"/>
      <w:marRight w:val="0"/>
      <w:marTop w:val="0"/>
      <w:marBottom w:val="0"/>
      <w:divBdr>
        <w:top w:val="none" w:sz="0" w:space="0" w:color="auto"/>
        <w:left w:val="none" w:sz="0" w:space="0" w:color="auto"/>
        <w:bottom w:val="none" w:sz="0" w:space="0" w:color="auto"/>
        <w:right w:val="none" w:sz="0" w:space="0" w:color="auto"/>
      </w:divBdr>
    </w:div>
    <w:div w:id="72555962">
      <w:bodyDiv w:val="1"/>
      <w:marLeft w:val="0"/>
      <w:marRight w:val="0"/>
      <w:marTop w:val="0"/>
      <w:marBottom w:val="0"/>
      <w:divBdr>
        <w:top w:val="none" w:sz="0" w:space="0" w:color="auto"/>
        <w:left w:val="none" w:sz="0" w:space="0" w:color="auto"/>
        <w:bottom w:val="none" w:sz="0" w:space="0" w:color="auto"/>
        <w:right w:val="none" w:sz="0" w:space="0" w:color="auto"/>
      </w:divBdr>
    </w:div>
    <w:div w:id="73742457">
      <w:bodyDiv w:val="1"/>
      <w:marLeft w:val="0"/>
      <w:marRight w:val="0"/>
      <w:marTop w:val="0"/>
      <w:marBottom w:val="0"/>
      <w:divBdr>
        <w:top w:val="none" w:sz="0" w:space="0" w:color="auto"/>
        <w:left w:val="none" w:sz="0" w:space="0" w:color="auto"/>
        <w:bottom w:val="none" w:sz="0" w:space="0" w:color="auto"/>
        <w:right w:val="none" w:sz="0" w:space="0" w:color="auto"/>
      </w:divBdr>
    </w:div>
    <w:div w:id="76563076">
      <w:bodyDiv w:val="1"/>
      <w:marLeft w:val="0"/>
      <w:marRight w:val="0"/>
      <w:marTop w:val="0"/>
      <w:marBottom w:val="0"/>
      <w:divBdr>
        <w:top w:val="none" w:sz="0" w:space="0" w:color="auto"/>
        <w:left w:val="none" w:sz="0" w:space="0" w:color="auto"/>
        <w:bottom w:val="none" w:sz="0" w:space="0" w:color="auto"/>
        <w:right w:val="none" w:sz="0" w:space="0" w:color="auto"/>
      </w:divBdr>
    </w:div>
    <w:div w:id="83962889">
      <w:bodyDiv w:val="1"/>
      <w:marLeft w:val="0"/>
      <w:marRight w:val="0"/>
      <w:marTop w:val="0"/>
      <w:marBottom w:val="0"/>
      <w:divBdr>
        <w:top w:val="none" w:sz="0" w:space="0" w:color="auto"/>
        <w:left w:val="none" w:sz="0" w:space="0" w:color="auto"/>
        <w:bottom w:val="none" w:sz="0" w:space="0" w:color="auto"/>
        <w:right w:val="none" w:sz="0" w:space="0" w:color="auto"/>
      </w:divBdr>
    </w:div>
    <w:div w:id="89326397">
      <w:bodyDiv w:val="1"/>
      <w:marLeft w:val="0"/>
      <w:marRight w:val="0"/>
      <w:marTop w:val="0"/>
      <w:marBottom w:val="0"/>
      <w:divBdr>
        <w:top w:val="none" w:sz="0" w:space="0" w:color="auto"/>
        <w:left w:val="none" w:sz="0" w:space="0" w:color="auto"/>
        <w:bottom w:val="none" w:sz="0" w:space="0" w:color="auto"/>
        <w:right w:val="none" w:sz="0" w:space="0" w:color="auto"/>
      </w:divBdr>
    </w:div>
    <w:div w:id="89471814">
      <w:bodyDiv w:val="1"/>
      <w:marLeft w:val="0"/>
      <w:marRight w:val="0"/>
      <w:marTop w:val="0"/>
      <w:marBottom w:val="0"/>
      <w:divBdr>
        <w:top w:val="none" w:sz="0" w:space="0" w:color="auto"/>
        <w:left w:val="none" w:sz="0" w:space="0" w:color="auto"/>
        <w:bottom w:val="none" w:sz="0" w:space="0" w:color="auto"/>
        <w:right w:val="none" w:sz="0" w:space="0" w:color="auto"/>
      </w:divBdr>
    </w:div>
    <w:div w:id="93062004">
      <w:bodyDiv w:val="1"/>
      <w:marLeft w:val="0"/>
      <w:marRight w:val="0"/>
      <w:marTop w:val="0"/>
      <w:marBottom w:val="0"/>
      <w:divBdr>
        <w:top w:val="none" w:sz="0" w:space="0" w:color="auto"/>
        <w:left w:val="none" w:sz="0" w:space="0" w:color="auto"/>
        <w:bottom w:val="none" w:sz="0" w:space="0" w:color="auto"/>
        <w:right w:val="none" w:sz="0" w:space="0" w:color="auto"/>
      </w:divBdr>
    </w:div>
    <w:div w:id="93938985">
      <w:bodyDiv w:val="1"/>
      <w:marLeft w:val="0"/>
      <w:marRight w:val="0"/>
      <w:marTop w:val="0"/>
      <w:marBottom w:val="0"/>
      <w:divBdr>
        <w:top w:val="none" w:sz="0" w:space="0" w:color="auto"/>
        <w:left w:val="none" w:sz="0" w:space="0" w:color="auto"/>
        <w:bottom w:val="none" w:sz="0" w:space="0" w:color="auto"/>
        <w:right w:val="none" w:sz="0" w:space="0" w:color="auto"/>
      </w:divBdr>
    </w:div>
    <w:div w:id="113717188">
      <w:bodyDiv w:val="1"/>
      <w:marLeft w:val="0"/>
      <w:marRight w:val="0"/>
      <w:marTop w:val="0"/>
      <w:marBottom w:val="0"/>
      <w:divBdr>
        <w:top w:val="none" w:sz="0" w:space="0" w:color="auto"/>
        <w:left w:val="none" w:sz="0" w:space="0" w:color="auto"/>
        <w:bottom w:val="none" w:sz="0" w:space="0" w:color="auto"/>
        <w:right w:val="none" w:sz="0" w:space="0" w:color="auto"/>
      </w:divBdr>
    </w:div>
    <w:div w:id="114059135">
      <w:bodyDiv w:val="1"/>
      <w:marLeft w:val="0"/>
      <w:marRight w:val="0"/>
      <w:marTop w:val="0"/>
      <w:marBottom w:val="0"/>
      <w:divBdr>
        <w:top w:val="none" w:sz="0" w:space="0" w:color="auto"/>
        <w:left w:val="none" w:sz="0" w:space="0" w:color="auto"/>
        <w:bottom w:val="none" w:sz="0" w:space="0" w:color="auto"/>
        <w:right w:val="none" w:sz="0" w:space="0" w:color="auto"/>
      </w:divBdr>
    </w:div>
    <w:div w:id="136460408">
      <w:bodyDiv w:val="1"/>
      <w:marLeft w:val="0"/>
      <w:marRight w:val="0"/>
      <w:marTop w:val="0"/>
      <w:marBottom w:val="0"/>
      <w:divBdr>
        <w:top w:val="none" w:sz="0" w:space="0" w:color="auto"/>
        <w:left w:val="none" w:sz="0" w:space="0" w:color="auto"/>
        <w:bottom w:val="none" w:sz="0" w:space="0" w:color="auto"/>
        <w:right w:val="none" w:sz="0" w:space="0" w:color="auto"/>
      </w:divBdr>
    </w:div>
    <w:div w:id="163663702">
      <w:bodyDiv w:val="1"/>
      <w:marLeft w:val="0"/>
      <w:marRight w:val="0"/>
      <w:marTop w:val="0"/>
      <w:marBottom w:val="0"/>
      <w:divBdr>
        <w:top w:val="none" w:sz="0" w:space="0" w:color="auto"/>
        <w:left w:val="none" w:sz="0" w:space="0" w:color="auto"/>
        <w:bottom w:val="none" w:sz="0" w:space="0" w:color="auto"/>
        <w:right w:val="none" w:sz="0" w:space="0" w:color="auto"/>
      </w:divBdr>
    </w:div>
    <w:div w:id="164828200">
      <w:bodyDiv w:val="1"/>
      <w:marLeft w:val="0"/>
      <w:marRight w:val="0"/>
      <w:marTop w:val="0"/>
      <w:marBottom w:val="0"/>
      <w:divBdr>
        <w:top w:val="none" w:sz="0" w:space="0" w:color="auto"/>
        <w:left w:val="none" w:sz="0" w:space="0" w:color="auto"/>
        <w:bottom w:val="none" w:sz="0" w:space="0" w:color="auto"/>
        <w:right w:val="none" w:sz="0" w:space="0" w:color="auto"/>
      </w:divBdr>
    </w:div>
    <w:div w:id="176045584">
      <w:bodyDiv w:val="1"/>
      <w:marLeft w:val="0"/>
      <w:marRight w:val="0"/>
      <w:marTop w:val="0"/>
      <w:marBottom w:val="0"/>
      <w:divBdr>
        <w:top w:val="none" w:sz="0" w:space="0" w:color="auto"/>
        <w:left w:val="none" w:sz="0" w:space="0" w:color="auto"/>
        <w:bottom w:val="none" w:sz="0" w:space="0" w:color="auto"/>
        <w:right w:val="none" w:sz="0" w:space="0" w:color="auto"/>
      </w:divBdr>
    </w:div>
    <w:div w:id="183248708">
      <w:bodyDiv w:val="1"/>
      <w:marLeft w:val="0"/>
      <w:marRight w:val="0"/>
      <w:marTop w:val="0"/>
      <w:marBottom w:val="0"/>
      <w:divBdr>
        <w:top w:val="none" w:sz="0" w:space="0" w:color="auto"/>
        <w:left w:val="none" w:sz="0" w:space="0" w:color="auto"/>
        <w:bottom w:val="none" w:sz="0" w:space="0" w:color="auto"/>
        <w:right w:val="none" w:sz="0" w:space="0" w:color="auto"/>
      </w:divBdr>
    </w:div>
    <w:div w:id="186874878">
      <w:bodyDiv w:val="1"/>
      <w:marLeft w:val="0"/>
      <w:marRight w:val="0"/>
      <w:marTop w:val="0"/>
      <w:marBottom w:val="0"/>
      <w:divBdr>
        <w:top w:val="none" w:sz="0" w:space="0" w:color="auto"/>
        <w:left w:val="none" w:sz="0" w:space="0" w:color="auto"/>
        <w:bottom w:val="none" w:sz="0" w:space="0" w:color="auto"/>
        <w:right w:val="none" w:sz="0" w:space="0" w:color="auto"/>
      </w:divBdr>
    </w:div>
    <w:div w:id="189954490">
      <w:bodyDiv w:val="1"/>
      <w:marLeft w:val="0"/>
      <w:marRight w:val="0"/>
      <w:marTop w:val="0"/>
      <w:marBottom w:val="0"/>
      <w:divBdr>
        <w:top w:val="none" w:sz="0" w:space="0" w:color="auto"/>
        <w:left w:val="none" w:sz="0" w:space="0" w:color="auto"/>
        <w:bottom w:val="none" w:sz="0" w:space="0" w:color="auto"/>
        <w:right w:val="none" w:sz="0" w:space="0" w:color="auto"/>
      </w:divBdr>
    </w:div>
    <w:div w:id="211843959">
      <w:bodyDiv w:val="1"/>
      <w:marLeft w:val="0"/>
      <w:marRight w:val="0"/>
      <w:marTop w:val="0"/>
      <w:marBottom w:val="0"/>
      <w:divBdr>
        <w:top w:val="none" w:sz="0" w:space="0" w:color="auto"/>
        <w:left w:val="none" w:sz="0" w:space="0" w:color="auto"/>
        <w:bottom w:val="none" w:sz="0" w:space="0" w:color="auto"/>
        <w:right w:val="none" w:sz="0" w:space="0" w:color="auto"/>
      </w:divBdr>
    </w:div>
    <w:div w:id="221866431">
      <w:bodyDiv w:val="1"/>
      <w:marLeft w:val="0"/>
      <w:marRight w:val="0"/>
      <w:marTop w:val="0"/>
      <w:marBottom w:val="0"/>
      <w:divBdr>
        <w:top w:val="none" w:sz="0" w:space="0" w:color="auto"/>
        <w:left w:val="none" w:sz="0" w:space="0" w:color="auto"/>
        <w:bottom w:val="none" w:sz="0" w:space="0" w:color="auto"/>
        <w:right w:val="none" w:sz="0" w:space="0" w:color="auto"/>
      </w:divBdr>
    </w:div>
    <w:div w:id="233319371">
      <w:bodyDiv w:val="1"/>
      <w:marLeft w:val="0"/>
      <w:marRight w:val="0"/>
      <w:marTop w:val="0"/>
      <w:marBottom w:val="0"/>
      <w:divBdr>
        <w:top w:val="none" w:sz="0" w:space="0" w:color="auto"/>
        <w:left w:val="none" w:sz="0" w:space="0" w:color="auto"/>
        <w:bottom w:val="none" w:sz="0" w:space="0" w:color="auto"/>
        <w:right w:val="none" w:sz="0" w:space="0" w:color="auto"/>
      </w:divBdr>
    </w:div>
    <w:div w:id="233469371">
      <w:bodyDiv w:val="1"/>
      <w:marLeft w:val="0"/>
      <w:marRight w:val="0"/>
      <w:marTop w:val="0"/>
      <w:marBottom w:val="0"/>
      <w:divBdr>
        <w:top w:val="none" w:sz="0" w:space="0" w:color="auto"/>
        <w:left w:val="none" w:sz="0" w:space="0" w:color="auto"/>
        <w:bottom w:val="none" w:sz="0" w:space="0" w:color="auto"/>
        <w:right w:val="none" w:sz="0" w:space="0" w:color="auto"/>
      </w:divBdr>
    </w:div>
    <w:div w:id="235405471">
      <w:bodyDiv w:val="1"/>
      <w:marLeft w:val="0"/>
      <w:marRight w:val="0"/>
      <w:marTop w:val="0"/>
      <w:marBottom w:val="0"/>
      <w:divBdr>
        <w:top w:val="none" w:sz="0" w:space="0" w:color="auto"/>
        <w:left w:val="none" w:sz="0" w:space="0" w:color="auto"/>
        <w:bottom w:val="none" w:sz="0" w:space="0" w:color="auto"/>
        <w:right w:val="none" w:sz="0" w:space="0" w:color="auto"/>
      </w:divBdr>
    </w:div>
    <w:div w:id="239484008">
      <w:bodyDiv w:val="1"/>
      <w:marLeft w:val="0"/>
      <w:marRight w:val="0"/>
      <w:marTop w:val="0"/>
      <w:marBottom w:val="0"/>
      <w:divBdr>
        <w:top w:val="none" w:sz="0" w:space="0" w:color="auto"/>
        <w:left w:val="none" w:sz="0" w:space="0" w:color="auto"/>
        <w:bottom w:val="none" w:sz="0" w:space="0" w:color="auto"/>
        <w:right w:val="none" w:sz="0" w:space="0" w:color="auto"/>
      </w:divBdr>
    </w:div>
    <w:div w:id="240261724">
      <w:bodyDiv w:val="1"/>
      <w:marLeft w:val="0"/>
      <w:marRight w:val="0"/>
      <w:marTop w:val="0"/>
      <w:marBottom w:val="0"/>
      <w:divBdr>
        <w:top w:val="none" w:sz="0" w:space="0" w:color="auto"/>
        <w:left w:val="none" w:sz="0" w:space="0" w:color="auto"/>
        <w:bottom w:val="none" w:sz="0" w:space="0" w:color="auto"/>
        <w:right w:val="none" w:sz="0" w:space="0" w:color="auto"/>
      </w:divBdr>
    </w:div>
    <w:div w:id="244387715">
      <w:bodyDiv w:val="1"/>
      <w:marLeft w:val="0"/>
      <w:marRight w:val="0"/>
      <w:marTop w:val="0"/>
      <w:marBottom w:val="0"/>
      <w:divBdr>
        <w:top w:val="none" w:sz="0" w:space="0" w:color="auto"/>
        <w:left w:val="none" w:sz="0" w:space="0" w:color="auto"/>
        <w:bottom w:val="none" w:sz="0" w:space="0" w:color="auto"/>
        <w:right w:val="none" w:sz="0" w:space="0" w:color="auto"/>
      </w:divBdr>
    </w:div>
    <w:div w:id="248852801">
      <w:bodyDiv w:val="1"/>
      <w:marLeft w:val="0"/>
      <w:marRight w:val="0"/>
      <w:marTop w:val="0"/>
      <w:marBottom w:val="0"/>
      <w:divBdr>
        <w:top w:val="none" w:sz="0" w:space="0" w:color="auto"/>
        <w:left w:val="none" w:sz="0" w:space="0" w:color="auto"/>
        <w:bottom w:val="none" w:sz="0" w:space="0" w:color="auto"/>
        <w:right w:val="none" w:sz="0" w:space="0" w:color="auto"/>
      </w:divBdr>
    </w:div>
    <w:div w:id="255526769">
      <w:bodyDiv w:val="1"/>
      <w:marLeft w:val="0"/>
      <w:marRight w:val="0"/>
      <w:marTop w:val="0"/>
      <w:marBottom w:val="0"/>
      <w:divBdr>
        <w:top w:val="none" w:sz="0" w:space="0" w:color="auto"/>
        <w:left w:val="none" w:sz="0" w:space="0" w:color="auto"/>
        <w:bottom w:val="none" w:sz="0" w:space="0" w:color="auto"/>
        <w:right w:val="none" w:sz="0" w:space="0" w:color="auto"/>
      </w:divBdr>
    </w:div>
    <w:div w:id="256056733">
      <w:bodyDiv w:val="1"/>
      <w:marLeft w:val="0"/>
      <w:marRight w:val="0"/>
      <w:marTop w:val="0"/>
      <w:marBottom w:val="0"/>
      <w:divBdr>
        <w:top w:val="none" w:sz="0" w:space="0" w:color="auto"/>
        <w:left w:val="none" w:sz="0" w:space="0" w:color="auto"/>
        <w:bottom w:val="none" w:sz="0" w:space="0" w:color="auto"/>
        <w:right w:val="none" w:sz="0" w:space="0" w:color="auto"/>
      </w:divBdr>
    </w:div>
    <w:div w:id="261571835">
      <w:bodyDiv w:val="1"/>
      <w:marLeft w:val="0"/>
      <w:marRight w:val="0"/>
      <w:marTop w:val="0"/>
      <w:marBottom w:val="0"/>
      <w:divBdr>
        <w:top w:val="none" w:sz="0" w:space="0" w:color="auto"/>
        <w:left w:val="none" w:sz="0" w:space="0" w:color="auto"/>
        <w:bottom w:val="none" w:sz="0" w:space="0" w:color="auto"/>
        <w:right w:val="none" w:sz="0" w:space="0" w:color="auto"/>
      </w:divBdr>
    </w:div>
    <w:div w:id="271057190">
      <w:bodyDiv w:val="1"/>
      <w:marLeft w:val="0"/>
      <w:marRight w:val="0"/>
      <w:marTop w:val="0"/>
      <w:marBottom w:val="0"/>
      <w:divBdr>
        <w:top w:val="none" w:sz="0" w:space="0" w:color="auto"/>
        <w:left w:val="none" w:sz="0" w:space="0" w:color="auto"/>
        <w:bottom w:val="none" w:sz="0" w:space="0" w:color="auto"/>
        <w:right w:val="none" w:sz="0" w:space="0" w:color="auto"/>
      </w:divBdr>
    </w:div>
    <w:div w:id="276063015">
      <w:bodyDiv w:val="1"/>
      <w:marLeft w:val="0"/>
      <w:marRight w:val="0"/>
      <w:marTop w:val="0"/>
      <w:marBottom w:val="0"/>
      <w:divBdr>
        <w:top w:val="none" w:sz="0" w:space="0" w:color="auto"/>
        <w:left w:val="none" w:sz="0" w:space="0" w:color="auto"/>
        <w:bottom w:val="none" w:sz="0" w:space="0" w:color="auto"/>
        <w:right w:val="none" w:sz="0" w:space="0" w:color="auto"/>
      </w:divBdr>
    </w:div>
    <w:div w:id="281350124">
      <w:bodyDiv w:val="1"/>
      <w:marLeft w:val="0"/>
      <w:marRight w:val="0"/>
      <w:marTop w:val="0"/>
      <w:marBottom w:val="0"/>
      <w:divBdr>
        <w:top w:val="none" w:sz="0" w:space="0" w:color="auto"/>
        <w:left w:val="none" w:sz="0" w:space="0" w:color="auto"/>
        <w:bottom w:val="none" w:sz="0" w:space="0" w:color="auto"/>
        <w:right w:val="none" w:sz="0" w:space="0" w:color="auto"/>
      </w:divBdr>
    </w:div>
    <w:div w:id="287592352">
      <w:bodyDiv w:val="1"/>
      <w:marLeft w:val="0"/>
      <w:marRight w:val="0"/>
      <w:marTop w:val="0"/>
      <w:marBottom w:val="0"/>
      <w:divBdr>
        <w:top w:val="none" w:sz="0" w:space="0" w:color="auto"/>
        <w:left w:val="none" w:sz="0" w:space="0" w:color="auto"/>
        <w:bottom w:val="none" w:sz="0" w:space="0" w:color="auto"/>
        <w:right w:val="none" w:sz="0" w:space="0" w:color="auto"/>
      </w:divBdr>
    </w:div>
    <w:div w:id="294678868">
      <w:bodyDiv w:val="1"/>
      <w:marLeft w:val="0"/>
      <w:marRight w:val="0"/>
      <w:marTop w:val="0"/>
      <w:marBottom w:val="0"/>
      <w:divBdr>
        <w:top w:val="none" w:sz="0" w:space="0" w:color="auto"/>
        <w:left w:val="none" w:sz="0" w:space="0" w:color="auto"/>
        <w:bottom w:val="none" w:sz="0" w:space="0" w:color="auto"/>
        <w:right w:val="none" w:sz="0" w:space="0" w:color="auto"/>
      </w:divBdr>
    </w:div>
    <w:div w:id="311300000">
      <w:bodyDiv w:val="1"/>
      <w:marLeft w:val="0"/>
      <w:marRight w:val="0"/>
      <w:marTop w:val="0"/>
      <w:marBottom w:val="0"/>
      <w:divBdr>
        <w:top w:val="none" w:sz="0" w:space="0" w:color="auto"/>
        <w:left w:val="none" w:sz="0" w:space="0" w:color="auto"/>
        <w:bottom w:val="none" w:sz="0" w:space="0" w:color="auto"/>
        <w:right w:val="none" w:sz="0" w:space="0" w:color="auto"/>
      </w:divBdr>
    </w:div>
    <w:div w:id="311519953">
      <w:bodyDiv w:val="1"/>
      <w:marLeft w:val="0"/>
      <w:marRight w:val="0"/>
      <w:marTop w:val="0"/>
      <w:marBottom w:val="0"/>
      <w:divBdr>
        <w:top w:val="none" w:sz="0" w:space="0" w:color="auto"/>
        <w:left w:val="none" w:sz="0" w:space="0" w:color="auto"/>
        <w:bottom w:val="none" w:sz="0" w:space="0" w:color="auto"/>
        <w:right w:val="none" w:sz="0" w:space="0" w:color="auto"/>
      </w:divBdr>
    </w:div>
    <w:div w:id="318727099">
      <w:bodyDiv w:val="1"/>
      <w:marLeft w:val="0"/>
      <w:marRight w:val="0"/>
      <w:marTop w:val="0"/>
      <w:marBottom w:val="0"/>
      <w:divBdr>
        <w:top w:val="none" w:sz="0" w:space="0" w:color="auto"/>
        <w:left w:val="none" w:sz="0" w:space="0" w:color="auto"/>
        <w:bottom w:val="none" w:sz="0" w:space="0" w:color="auto"/>
        <w:right w:val="none" w:sz="0" w:space="0" w:color="auto"/>
      </w:divBdr>
    </w:div>
    <w:div w:id="331446343">
      <w:bodyDiv w:val="1"/>
      <w:marLeft w:val="0"/>
      <w:marRight w:val="0"/>
      <w:marTop w:val="0"/>
      <w:marBottom w:val="0"/>
      <w:divBdr>
        <w:top w:val="none" w:sz="0" w:space="0" w:color="auto"/>
        <w:left w:val="none" w:sz="0" w:space="0" w:color="auto"/>
        <w:bottom w:val="none" w:sz="0" w:space="0" w:color="auto"/>
        <w:right w:val="none" w:sz="0" w:space="0" w:color="auto"/>
      </w:divBdr>
    </w:div>
    <w:div w:id="347024805">
      <w:bodyDiv w:val="1"/>
      <w:marLeft w:val="0"/>
      <w:marRight w:val="0"/>
      <w:marTop w:val="0"/>
      <w:marBottom w:val="0"/>
      <w:divBdr>
        <w:top w:val="none" w:sz="0" w:space="0" w:color="auto"/>
        <w:left w:val="none" w:sz="0" w:space="0" w:color="auto"/>
        <w:bottom w:val="none" w:sz="0" w:space="0" w:color="auto"/>
        <w:right w:val="none" w:sz="0" w:space="0" w:color="auto"/>
      </w:divBdr>
    </w:div>
    <w:div w:id="359667365">
      <w:bodyDiv w:val="1"/>
      <w:marLeft w:val="0"/>
      <w:marRight w:val="0"/>
      <w:marTop w:val="0"/>
      <w:marBottom w:val="0"/>
      <w:divBdr>
        <w:top w:val="none" w:sz="0" w:space="0" w:color="auto"/>
        <w:left w:val="none" w:sz="0" w:space="0" w:color="auto"/>
        <w:bottom w:val="none" w:sz="0" w:space="0" w:color="auto"/>
        <w:right w:val="none" w:sz="0" w:space="0" w:color="auto"/>
      </w:divBdr>
    </w:div>
    <w:div w:id="369961818">
      <w:bodyDiv w:val="1"/>
      <w:marLeft w:val="0"/>
      <w:marRight w:val="0"/>
      <w:marTop w:val="0"/>
      <w:marBottom w:val="0"/>
      <w:divBdr>
        <w:top w:val="none" w:sz="0" w:space="0" w:color="auto"/>
        <w:left w:val="none" w:sz="0" w:space="0" w:color="auto"/>
        <w:bottom w:val="none" w:sz="0" w:space="0" w:color="auto"/>
        <w:right w:val="none" w:sz="0" w:space="0" w:color="auto"/>
      </w:divBdr>
    </w:div>
    <w:div w:id="376466349">
      <w:bodyDiv w:val="1"/>
      <w:marLeft w:val="0"/>
      <w:marRight w:val="0"/>
      <w:marTop w:val="0"/>
      <w:marBottom w:val="0"/>
      <w:divBdr>
        <w:top w:val="none" w:sz="0" w:space="0" w:color="auto"/>
        <w:left w:val="none" w:sz="0" w:space="0" w:color="auto"/>
        <w:bottom w:val="none" w:sz="0" w:space="0" w:color="auto"/>
        <w:right w:val="none" w:sz="0" w:space="0" w:color="auto"/>
      </w:divBdr>
    </w:div>
    <w:div w:id="377051673">
      <w:bodyDiv w:val="1"/>
      <w:marLeft w:val="0"/>
      <w:marRight w:val="0"/>
      <w:marTop w:val="0"/>
      <w:marBottom w:val="0"/>
      <w:divBdr>
        <w:top w:val="none" w:sz="0" w:space="0" w:color="auto"/>
        <w:left w:val="none" w:sz="0" w:space="0" w:color="auto"/>
        <w:bottom w:val="none" w:sz="0" w:space="0" w:color="auto"/>
        <w:right w:val="none" w:sz="0" w:space="0" w:color="auto"/>
      </w:divBdr>
    </w:div>
    <w:div w:id="384910733">
      <w:bodyDiv w:val="1"/>
      <w:marLeft w:val="0"/>
      <w:marRight w:val="0"/>
      <w:marTop w:val="0"/>
      <w:marBottom w:val="0"/>
      <w:divBdr>
        <w:top w:val="none" w:sz="0" w:space="0" w:color="auto"/>
        <w:left w:val="none" w:sz="0" w:space="0" w:color="auto"/>
        <w:bottom w:val="none" w:sz="0" w:space="0" w:color="auto"/>
        <w:right w:val="none" w:sz="0" w:space="0" w:color="auto"/>
      </w:divBdr>
    </w:div>
    <w:div w:id="387530955">
      <w:bodyDiv w:val="1"/>
      <w:marLeft w:val="0"/>
      <w:marRight w:val="0"/>
      <w:marTop w:val="0"/>
      <w:marBottom w:val="0"/>
      <w:divBdr>
        <w:top w:val="none" w:sz="0" w:space="0" w:color="auto"/>
        <w:left w:val="none" w:sz="0" w:space="0" w:color="auto"/>
        <w:bottom w:val="none" w:sz="0" w:space="0" w:color="auto"/>
        <w:right w:val="none" w:sz="0" w:space="0" w:color="auto"/>
      </w:divBdr>
    </w:div>
    <w:div w:id="392578609">
      <w:bodyDiv w:val="1"/>
      <w:marLeft w:val="0"/>
      <w:marRight w:val="0"/>
      <w:marTop w:val="0"/>
      <w:marBottom w:val="0"/>
      <w:divBdr>
        <w:top w:val="none" w:sz="0" w:space="0" w:color="auto"/>
        <w:left w:val="none" w:sz="0" w:space="0" w:color="auto"/>
        <w:bottom w:val="none" w:sz="0" w:space="0" w:color="auto"/>
        <w:right w:val="none" w:sz="0" w:space="0" w:color="auto"/>
      </w:divBdr>
    </w:div>
    <w:div w:id="401954919">
      <w:bodyDiv w:val="1"/>
      <w:marLeft w:val="0"/>
      <w:marRight w:val="0"/>
      <w:marTop w:val="0"/>
      <w:marBottom w:val="0"/>
      <w:divBdr>
        <w:top w:val="none" w:sz="0" w:space="0" w:color="auto"/>
        <w:left w:val="none" w:sz="0" w:space="0" w:color="auto"/>
        <w:bottom w:val="none" w:sz="0" w:space="0" w:color="auto"/>
        <w:right w:val="none" w:sz="0" w:space="0" w:color="auto"/>
      </w:divBdr>
    </w:div>
    <w:div w:id="418143044">
      <w:bodyDiv w:val="1"/>
      <w:marLeft w:val="0"/>
      <w:marRight w:val="0"/>
      <w:marTop w:val="0"/>
      <w:marBottom w:val="0"/>
      <w:divBdr>
        <w:top w:val="none" w:sz="0" w:space="0" w:color="auto"/>
        <w:left w:val="none" w:sz="0" w:space="0" w:color="auto"/>
        <w:bottom w:val="none" w:sz="0" w:space="0" w:color="auto"/>
        <w:right w:val="none" w:sz="0" w:space="0" w:color="auto"/>
      </w:divBdr>
    </w:div>
    <w:div w:id="424115774">
      <w:bodyDiv w:val="1"/>
      <w:marLeft w:val="0"/>
      <w:marRight w:val="0"/>
      <w:marTop w:val="0"/>
      <w:marBottom w:val="0"/>
      <w:divBdr>
        <w:top w:val="none" w:sz="0" w:space="0" w:color="auto"/>
        <w:left w:val="none" w:sz="0" w:space="0" w:color="auto"/>
        <w:bottom w:val="none" w:sz="0" w:space="0" w:color="auto"/>
        <w:right w:val="none" w:sz="0" w:space="0" w:color="auto"/>
      </w:divBdr>
    </w:div>
    <w:div w:id="441802958">
      <w:bodyDiv w:val="1"/>
      <w:marLeft w:val="0"/>
      <w:marRight w:val="0"/>
      <w:marTop w:val="0"/>
      <w:marBottom w:val="0"/>
      <w:divBdr>
        <w:top w:val="none" w:sz="0" w:space="0" w:color="auto"/>
        <w:left w:val="none" w:sz="0" w:space="0" w:color="auto"/>
        <w:bottom w:val="none" w:sz="0" w:space="0" w:color="auto"/>
        <w:right w:val="none" w:sz="0" w:space="0" w:color="auto"/>
      </w:divBdr>
    </w:div>
    <w:div w:id="447555259">
      <w:bodyDiv w:val="1"/>
      <w:marLeft w:val="0"/>
      <w:marRight w:val="0"/>
      <w:marTop w:val="0"/>
      <w:marBottom w:val="0"/>
      <w:divBdr>
        <w:top w:val="none" w:sz="0" w:space="0" w:color="auto"/>
        <w:left w:val="none" w:sz="0" w:space="0" w:color="auto"/>
        <w:bottom w:val="none" w:sz="0" w:space="0" w:color="auto"/>
        <w:right w:val="none" w:sz="0" w:space="0" w:color="auto"/>
      </w:divBdr>
    </w:div>
    <w:div w:id="454831100">
      <w:bodyDiv w:val="1"/>
      <w:marLeft w:val="0"/>
      <w:marRight w:val="0"/>
      <w:marTop w:val="0"/>
      <w:marBottom w:val="0"/>
      <w:divBdr>
        <w:top w:val="none" w:sz="0" w:space="0" w:color="auto"/>
        <w:left w:val="none" w:sz="0" w:space="0" w:color="auto"/>
        <w:bottom w:val="none" w:sz="0" w:space="0" w:color="auto"/>
        <w:right w:val="none" w:sz="0" w:space="0" w:color="auto"/>
      </w:divBdr>
    </w:div>
    <w:div w:id="464200985">
      <w:bodyDiv w:val="1"/>
      <w:marLeft w:val="0"/>
      <w:marRight w:val="0"/>
      <w:marTop w:val="0"/>
      <w:marBottom w:val="0"/>
      <w:divBdr>
        <w:top w:val="none" w:sz="0" w:space="0" w:color="auto"/>
        <w:left w:val="none" w:sz="0" w:space="0" w:color="auto"/>
        <w:bottom w:val="none" w:sz="0" w:space="0" w:color="auto"/>
        <w:right w:val="none" w:sz="0" w:space="0" w:color="auto"/>
      </w:divBdr>
    </w:div>
    <w:div w:id="504395146">
      <w:bodyDiv w:val="1"/>
      <w:marLeft w:val="0"/>
      <w:marRight w:val="0"/>
      <w:marTop w:val="0"/>
      <w:marBottom w:val="0"/>
      <w:divBdr>
        <w:top w:val="none" w:sz="0" w:space="0" w:color="auto"/>
        <w:left w:val="none" w:sz="0" w:space="0" w:color="auto"/>
        <w:bottom w:val="none" w:sz="0" w:space="0" w:color="auto"/>
        <w:right w:val="none" w:sz="0" w:space="0" w:color="auto"/>
      </w:divBdr>
    </w:div>
    <w:div w:id="506336267">
      <w:bodyDiv w:val="1"/>
      <w:marLeft w:val="0"/>
      <w:marRight w:val="0"/>
      <w:marTop w:val="0"/>
      <w:marBottom w:val="0"/>
      <w:divBdr>
        <w:top w:val="none" w:sz="0" w:space="0" w:color="auto"/>
        <w:left w:val="none" w:sz="0" w:space="0" w:color="auto"/>
        <w:bottom w:val="none" w:sz="0" w:space="0" w:color="auto"/>
        <w:right w:val="none" w:sz="0" w:space="0" w:color="auto"/>
      </w:divBdr>
    </w:div>
    <w:div w:id="518542522">
      <w:bodyDiv w:val="1"/>
      <w:marLeft w:val="0"/>
      <w:marRight w:val="0"/>
      <w:marTop w:val="0"/>
      <w:marBottom w:val="0"/>
      <w:divBdr>
        <w:top w:val="none" w:sz="0" w:space="0" w:color="auto"/>
        <w:left w:val="none" w:sz="0" w:space="0" w:color="auto"/>
        <w:bottom w:val="none" w:sz="0" w:space="0" w:color="auto"/>
        <w:right w:val="none" w:sz="0" w:space="0" w:color="auto"/>
      </w:divBdr>
    </w:div>
    <w:div w:id="539055232">
      <w:bodyDiv w:val="1"/>
      <w:marLeft w:val="0"/>
      <w:marRight w:val="0"/>
      <w:marTop w:val="0"/>
      <w:marBottom w:val="0"/>
      <w:divBdr>
        <w:top w:val="none" w:sz="0" w:space="0" w:color="auto"/>
        <w:left w:val="none" w:sz="0" w:space="0" w:color="auto"/>
        <w:bottom w:val="none" w:sz="0" w:space="0" w:color="auto"/>
        <w:right w:val="none" w:sz="0" w:space="0" w:color="auto"/>
      </w:divBdr>
    </w:div>
    <w:div w:id="542792011">
      <w:bodyDiv w:val="1"/>
      <w:marLeft w:val="0"/>
      <w:marRight w:val="0"/>
      <w:marTop w:val="0"/>
      <w:marBottom w:val="0"/>
      <w:divBdr>
        <w:top w:val="none" w:sz="0" w:space="0" w:color="auto"/>
        <w:left w:val="none" w:sz="0" w:space="0" w:color="auto"/>
        <w:bottom w:val="none" w:sz="0" w:space="0" w:color="auto"/>
        <w:right w:val="none" w:sz="0" w:space="0" w:color="auto"/>
      </w:divBdr>
    </w:div>
    <w:div w:id="548229219">
      <w:bodyDiv w:val="1"/>
      <w:marLeft w:val="0"/>
      <w:marRight w:val="0"/>
      <w:marTop w:val="0"/>
      <w:marBottom w:val="0"/>
      <w:divBdr>
        <w:top w:val="none" w:sz="0" w:space="0" w:color="auto"/>
        <w:left w:val="none" w:sz="0" w:space="0" w:color="auto"/>
        <w:bottom w:val="none" w:sz="0" w:space="0" w:color="auto"/>
        <w:right w:val="none" w:sz="0" w:space="0" w:color="auto"/>
      </w:divBdr>
    </w:div>
    <w:div w:id="556282847">
      <w:bodyDiv w:val="1"/>
      <w:marLeft w:val="0"/>
      <w:marRight w:val="0"/>
      <w:marTop w:val="0"/>
      <w:marBottom w:val="0"/>
      <w:divBdr>
        <w:top w:val="none" w:sz="0" w:space="0" w:color="auto"/>
        <w:left w:val="none" w:sz="0" w:space="0" w:color="auto"/>
        <w:bottom w:val="none" w:sz="0" w:space="0" w:color="auto"/>
        <w:right w:val="none" w:sz="0" w:space="0" w:color="auto"/>
      </w:divBdr>
    </w:div>
    <w:div w:id="564687292">
      <w:bodyDiv w:val="1"/>
      <w:marLeft w:val="0"/>
      <w:marRight w:val="0"/>
      <w:marTop w:val="0"/>
      <w:marBottom w:val="0"/>
      <w:divBdr>
        <w:top w:val="none" w:sz="0" w:space="0" w:color="auto"/>
        <w:left w:val="none" w:sz="0" w:space="0" w:color="auto"/>
        <w:bottom w:val="none" w:sz="0" w:space="0" w:color="auto"/>
        <w:right w:val="none" w:sz="0" w:space="0" w:color="auto"/>
      </w:divBdr>
    </w:div>
    <w:div w:id="567569569">
      <w:bodyDiv w:val="1"/>
      <w:marLeft w:val="0"/>
      <w:marRight w:val="0"/>
      <w:marTop w:val="0"/>
      <w:marBottom w:val="0"/>
      <w:divBdr>
        <w:top w:val="none" w:sz="0" w:space="0" w:color="auto"/>
        <w:left w:val="none" w:sz="0" w:space="0" w:color="auto"/>
        <w:bottom w:val="none" w:sz="0" w:space="0" w:color="auto"/>
        <w:right w:val="none" w:sz="0" w:space="0" w:color="auto"/>
      </w:divBdr>
    </w:div>
    <w:div w:id="572661564">
      <w:bodyDiv w:val="1"/>
      <w:marLeft w:val="0"/>
      <w:marRight w:val="0"/>
      <w:marTop w:val="0"/>
      <w:marBottom w:val="0"/>
      <w:divBdr>
        <w:top w:val="none" w:sz="0" w:space="0" w:color="auto"/>
        <w:left w:val="none" w:sz="0" w:space="0" w:color="auto"/>
        <w:bottom w:val="none" w:sz="0" w:space="0" w:color="auto"/>
        <w:right w:val="none" w:sz="0" w:space="0" w:color="auto"/>
      </w:divBdr>
    </w:div>
    <w:div w:id="587538807">
      <w:bodyDiv w:val="1"/>
      <w:marLeft w:val="0"/>
      <w:marRight w:val="0"/>
      <w:marTop w:val="0"/>
      <w:marBottom w:val="0"/>
      <w:divBdr>
        <w:top w:val="none" w:sz="0" w:space="0" w:color="auto"/>
        <w:left w:val="none" w:sz="0" w:space="0" w:color="auto"/>
        <w:bottom w:val="none" w:sz="0" w:space="0" w:color="auto"/>
        <w:right w:val="none" w:sz="0" w:space="0" w:color="auto"/>
      </w:divBdr>
    </w:div>
    <w:div w:id="587812800">
      <w:bodyDiv w:val="1"/>
      <w:marLeft w:val="0"/>
      <w:marRight w:val="0"/>
      <w:marTop w:val="0"/>
      <w:marBottom w:val="0"/>
      <w:divBdr>
        <w:top w:val="none" w:sz="0" w:space="0" w:color="auto"/>
        <w:left w:val="none" w:sz="0" w:space="0" w:color="auto"/>
        <w:bottom w:val="none" w:sz="0" w:space="0" w:color="auto"/>
        <w:right w:val="none" w:sz="0" w:space="0" w:color="auto"/>
      </w:divBdr>
    </w:div>
    <w:div w:id="589510946">
      <w:bodyDiv w:val="1"/>
      <w:marLeft w:val="0"/>
      <w:marRight w:val="0"/>
      <w:marTop w:val="0"/>
      <w:marBottom w:val="0"/>
      <w:divBdr>
        <w:top w:val="none" w:sz="0" w:space="0" w:color="auto"/>
        <w:left w:val="none" w:sz="0" w:space="0" w:color="auto"/>
        <w:bottom w:val="none" w:sz="0" w:space="0" w:color="auto"/>
        <w:right w:val="none" w:sz="0" w:space="0" w:color="auto"/>
      </w:divBdr>
    </w:div>
    <w:div w:id="597954064">
      <w:bodyDiv w:val="1"/>
      <w:marLeft w:val="0"/>
      <w:marRight w:val="0"/>
      <w:marTop w:val="0"/>
      <w:marBottom w:val="0"/>
      <w:divBdr>
        <w:top w:val="none" w:sz="0" w:space="0" w:color="auto"/>
        <w:left w:val="none" w:sz="0" w:space="0" w:color="auto"/>
        <w:bottom w:val="none" w:sz="0" w:space="0" w:color="auto"/>
        <w:right w:val="none" w:sz="0" w:space="0" w:color="auto"/>
      </w:divBdr>
    </w:div>
    <w:div w:id="618756712">
      <w:bodyDiv w:val="1"/>
      <w:marLeft w:val="0"/>
      <w:marRight w:val="0"/>
      <w:marTop w:val="0"/>
      <w:marBottom w:val="0"/>
      <w:divBdr>
        <w:top w:val="none" w:sz="0" w:space="0" w:color="auto"/>
        <w:left w:val="none" w:sz="0" w:space="0" w:color="auto"/>
        <w:bottom w:val="none" w:sz="0" w:space="0" w:color="auto"/>
        <w:right w:val="none" w:sz="0" w:space="0" w:color="auto"/>
      </w:divBdr>
    </w:div>
    <w:div w:id="648637963">
      <w:bodyDiv w:val="1"/>
      <w:marLeft w:val="0"/>
      <w:marRight w:val="0"/>
      <w:marTop w:val="0"/>
      <w:marBottom w:val="0"/>
      <w:divBdr>
        <w:top w:val="none" w:sz="0" w:space="0" w:color="auto"/>
        <w:left w:val="none" w:sz="0" w:space="0" w:color="auto"/>
        <w:bottom w:val="none" w:sz="0" w:space="0" w:color="auto"/>
        <w:right w:val="none" w:sz="0" w:space="0" w:color="auto"/>
      </w:divBdr>
    </w:div>
    <w:div w:id="654601178">
      <w:bodyDiv w:val="1"/>
      <w:marLeft w:val="0"/>
      <w:marRight w:val="0"/>
      <w:marTop w:val="0"/>
      <w:marBottom w:val="0"/>
      <w:divBdr>
        <w:top w:val="none" w:sz="0" w:space="0" w:color="auto"/>
        <w:left w:val="none" w:sz="0" w:space="0" w:color="auto"/>
        <w:bottom w:val="none" w:sz="0" w:space="0" w:color="auto"/>
        <w:right w:val="none" w:sz="0" w:space="0" w:color="auto"/>
      </w:divBdr>
    </w:div>
    <w:div w:id="659192872">
      <w:bodyDiv w:val="1"/>
      <w:marLeft w:val="0"/>
      <w:marRight w:val="0"/>
      <w:marTop w:val="0"/>
      <w:marBottom w:val="0"/>
      <w:divBdr>
        <w:top w:val="none" w:sz="0" w:space="0" w:color="auto"/>
        <w:left w:val="none" w:sz="0" w:space="0" w:color="auto"/>
        <w:bottom w:val="none" w:sz="0" w:space="0" w:color="auto"/>
        <w:right w:val="none" w:sz="0" w:space="0" w:color="auto"/>
      </w:divBdr>
    </w:div>
    <w:div w:id="664210905">
      <w:bodyDiv w:val="1"/>
      <w:marLeft w:val="0"/>
      <w:marRight w:val="0"/>
      <w:marTop w:val="0"/>
      <w:marBottom w:val="0"/>
      <w:divBdr>
        <w:top w:val="none" w:sz="0" w:space="0" w:color="auto"/>
        <w:left w:val="none" w:sz="0" w:space="0" w:color="auto"/>
        <w:bottom w:val="none" w:sz="0" w:space="0" w:color="auto"/>
        <w:right w:val="none" w:sz="0" w:space="0" w:color="auto"/>
      </w:divBdr>
    </w:div>
    <w:div w:id="664748113">
      <w:bodyDiv w:val="1"/>
      <w:marLeft w:val="0"/>
      <w:marRight w:val="0"/>
      <w:marTop w:val="0"/>
      <w:marBottom w:val="0"/>
      <w:divBdr>
        <w:top w:val="none" w:sz="0" w:space="0" w:color="auto"/>
        <w:left w:val="none" w:sz="0" w:space="0" w:color="auto"/>
        <w:bottom w:val="none" w:sz="0" w:space="0" w:color="auto"/>
        <w:right w:val="none" w:sz="0" w:space="0" w:color="auto"/>
      </w:divBdr>
    </w:div>
    <w:div w:id="696586274">
      <w:bodyDiv w:val="1"/>
      <w:marLeft w:val="0"/>
      <w:marRight w:val="0"/>
      <w:marTop w:val="0"/>
      <w:marBottom w:val="0"/>
      <w:divBdr>
        <w:top w:val="none" w:sz="0" w:space="0" w:color="auto"/>
        <w:left w:val="none" w:sz="0" w:space="0" w:color="auto"/>
        <w:bottom w:val="none" w:sz="0" w:space="0" w:color="auto"/>
        <w:right w:val="none" w:sz="0" w:space="0" w:color="auto"/>
      </w:divBdr>
    </w:div>
    <w:div w:id="716972544">
      <w:bodyDiv w:val="1"/>
      <w:marLeft w:val="0"/>
      <w:marRight w:val="0"/>
      <w:marTop w:val="0"/>
      <w:marBottom w:val="0"/>
      <w:divBdr>
        <w:top w:val="none" w:sz="0" w:space="0" w:color="auto"/>
        <w:left w:val="none" w:sz="0" w:space="0" w:color="auto"/>
        <w:bottom w:val="none" w:sz="0" w:space="0" w:color="auto"/>
        <w:right w:val="none" w:sz="0" w:space="0" w:color="auto"/>
      </w:divBdr>
    </w:div>
    <w:div w:id="727414046">
      <w:bodyDiv w:val="1"/>
      <w:marLeft w:val="0"/>
      <w:marRight w:val="0"/>
      <w:marTop w:val="0"/>
      <w:marBottom w:val="0"/>
      <w:divBdr>
        <w:top w:val="none" w:sz="0" w:space="0" w:color="auto"/>
        <w:left w:val="none" w:sz="0" w:space="0" w:color="auto"/>
        <w:bottom w:val="none" w:sz="0" w:space="0" w:color="auto"/>
        <w:right w:val="none" w:sz="0" w:space="0" w:color="auto"/>
      </w:divBdr>
    </w:div>
    <w:div w:id="734743355">
      <w:bodyDiv w:val="1"/>
      <w:marLeft w:val="0"/>
      <w:marRight w:val="0"/>
      <w:marTop w:val="0"/>
      <w:marBottom w:val="0"/>
      <w:divBdr>
        <w:top w:val="none" w:sz="0" w:space="0" w:color="auto"/>
        <w:left w:val="none" w:sz="0" w:space="0" w:color="auto"/>
        <w:bottom w:val="none" w:sz="0" w:space="0" w:color="auto"/>
        <w:right w:val="none" w:sz="0" w:space="0" w:color="auto"/>
      </w:divBdr>
    </w:div>
    <w:div w:id="734862360">
      <w:bodyDiv w:val="1"/>
      <w:marLeft w:val="0"/>
      <w:marRight w:val="0"/>
      <w:marTop w:val="0"/>
      <w:marBottom w:val="0"/>
      <w:divBdr>
        <w:top w:val="none" w:sz="0" w:space="0" w:color="auto"/>
        <w:left w:val="none" w:sz="0" w:space="0" w:color="auto"/>
        <w:bottom w:val="none" w:sz="0" w:space="0" w:color="auto"/>
        <w:right w:val="none" w:sz="0" w:space="0" w:color="auto"/>
      </w:divBdr>
    </w:div>
    <w:div w:id="737900001">
      <w:bodyDiv w:val="1"/>
      <w:marLeft w:val="0"/>
      <w:marRight w:val="0"/>
      <w:marTop w:val="0"/>
      <w:marBottom w:val="0"/>
      <w:divBdr>
        <w:top w:val="none" w:sz="0" w:space="0" w:color="auto"/>
        <w:left w:val="none" w:sz="0" w:space="0" w:color="auto"/>
        <w:bottom w:val="none" w:sz="0" w:space="0" w:color="auto"/>
        <w:right w:val="none" w:sz="0" w:space="0" w:color="auto"/>
      </w:divBdr>
    </w:div>
    <w:div w:id="738671221">
      <w:bodyDiv w:val="1"/>
      <w:marLeft w:val="0"/>
      <w:marRight w:val="0"/>
      <w:marTop w:val="0"/>
      <w:marBottom w:val="0"/>
      <w:divBdr>
        <w:top w:val="none" w:sz="0" w:space="0" w:color="auto"/>
        <w:left w:val="none" w:sz="0" w:space="0" w:color="auto"/>
        <w:bottom w:val="none" w:sz="0" w:space="0" w:color="auto"/>
        <w:right w:val="none" w:sz="0" w:space="0" w:color="auto"/>
      </w:divBdr>
    </w:div>
    <w:div w:id="741222320">
      <w:bodyDiv w:val="1"/>
      <w:marLeft w:val="0"/>
      <w:marRight w:val="0"/>
      <w:marTop w:val="0"/>
      <w:marBottom w:val="0"/>
      <w:divBdr>
        <w:top w:val="none" w:sz="0" w:space="0" w:color="auto"/>
        <w:left w:val="none" w:sz="0" w:space="0" w:color="auto"/>
        <w:bottom w:val="none" w:sz="0" w:space="0" w:color="auto"/>
        <w:right w:val="none" w:sz="0" w:space="0" w:color="auto"/>
      </w:divBdr>
    </w:div>
    <w:div w:id="747768852">
      <w:bodyDiv w:val="1"/>
      <w:marLeft w:val="0"/>
      <w:marRight w:val="0"/>
      <w:marTop w:val="0"/>
      <w:marBottom w:val="0"/>
      <w:divBdr>
        <w:top w:val="none" w:sz="0" w:space="0" w:color="auto"/>
        <w:left w:val="none" w:sz="0" w:space="0" w:color="auto"/>
        <w:bottom w:val="none" w:sz="0" w:space="0" w:color="auto"/>
        <w:right w:val="none" w:sz="0" w:space="0" w:color="auto"/>
      </w:divBdr>
    </w:div>
    <w:div w:id="749352952">
      <w:bodyDiv w:val="1"/>
      <w:marLeft w:val="0"/>
      <w:marRight w:val="0"/>
      <w:marTop w:val="0"/>
      <w:marBottom w:val="0"/>
      <w:divBdr>
        <w:top w:val="none" w:sz="0" w:space="0" w:color="auto"/>
        <w:left w:val="none" w:sz="0" w:space="0" w:color="auto"/>
        <w:bottom w:val="none" w:sz="0" w:space="0" w:color="auto"/>
        <w:right w:val="none" w:sz="0" w:space="0" w:color="auto"/>
      </w:divBdr>
    </w:div>
    <w:div w:id="764767387">
      <w:bodyDiv w:val="1"/>
      <w:marLeft w:val="0"/>
      <w:marRight w:val="0"/>
      <w:marTop w:val="0"/>
      <w:marBottom w:val="0"/>
      <w:divBdr>
        <w:top w:val="none" w:sz="0" w:space="0" w:color="auto"/>
        <w:left w:val="none" w:sz="0" w:space="0" w:color="auto"/>
        <w:bottom w:val="none" w:sz="0" w:space="0" w:color="auto"/>
        <w:right w:val="none" w:sz="0" w:space="0" w:color="auto"/>
      </w:divBdr>
    </w:div>
    <w:div w:id="779569183">
      <w:bodyDiv w:val="1"/>
      <w:marLeft w:val="0"/>
      <w:marRight w:val="0"/>
      <w:marTop w:val="0"/>
      <w:marBottom w:val="0"/>
      <w:divBdr>
        <w:top w:val="none" w:sz="0" w:space="0" w:color="auto"/>
        <w:left w:val="none" w:sz="0" w:space="0" w:color="auto"/>
        <w:bottom w:val="none" w:sz="0" w:space="0" w:color="auto"/>
        <w:right w:val="none" w:sz="0" w:space="0" w:color="auto"/>
      </w:divBdr>
    </w:div>
    <w:div w:id="788932653">
      <w:bodyDiv w:val="1"/>
      <w:marLeft w:val="0"/>
      <w:marRight w:val="0"/>
      <w:marTop w:val="0"/>
      <w:marBottom w:val="0"/>
      <w:divBdr>
        <w:top w:val="none" w:sz="0" w:space="0" w:color="auto"/>
        <w:left w:val="none" w:sz="0" w:space="0" w:color="auto"/>
        <w:bottom w:val="none" w:sz="0" w:space="0" w:color="auto"/>
        <w:right w:val="none" w:sz="0" w:space="0" w:color="auto"/>
      </w:divBdr>
    </w:div>
    <w:div w:id="794837795">
      <w:bodyDiv w:val="1"/>
      <w:marLeft w:val="0"/>
      <w:marRight w:val="0"/>
      <w:marTop w:val="0"/>
      <w:marBottom w:val="0"/>
      <w:divBdr>
        <w:top w:val="none" w:sz="0" w:space="0" w:color="auto"/>
        <w:left w:val="none" w:sz="0" w:space="0" w:color="auto"/>
        <w:bottom w:val="none" w:sz="0" w:space="0" w:color="auto"/>
        <w:right w:val="none" w:sz="0" w:space="0" w:color="auto"/>
      </w:divBdr>
    </w:div>
    <w:div w:id="795832651">
      <w:bodyDiv w:val="1"/>
      <w:marLeft w:val="0"/>
      <w:marRight w:val="0"/>
      <w:marTop w:val="0"/>
      <w:marBottom w:val="0"/>
      <w:divBdr>
        <w:top w:val="none" w:sz="0" w:space="0" w:color="auto"/>
        <w:left w:val="none" w:sz="0" w:space="0" w:color="auto"/>
        <w:bottom w:val="none" w:sz="0" w:space="0" w:color="auto"/>
        <w:right w:val="none" w:sz="0" w:space="0" w:color="auto"/>
      </w:divBdr>
    </w:div>
    <w:div w:id="803816612">
      <w:bodyDiv w:val="1"/>
      <w:marLeft w:val="0"/>
      <w:marRight w:val="0"/>
      <w:marTop w:val="0"/>
      <w:marBottom w:val="0"/>
      <w:divBdr>
        <w:top w:val="none" w:sz="0" w:space="0" w:color="auto"/>
        <w:left w:val="none" w:sz="0" w:space="0" w:color="auto"/>
        <w:bottom w:val="none" w:sz="0" w:space="0" w:color="auto"/>
        <w:right w:val="none" w:sz="0" w:space="0" w:color="auto"/>
      </w:divBdr>
    </w:div>
    <w:div w:id="805464648">
      <w:bodyDiv w:val="1"/>
      <w:marLeft w:val="0"/>
      <w:marRight w:val="0"/>
      <w:marTop w:val="0"/>
      <w:marBottom w:val="0"/>
      <w:divBdr>
        <w:top w:val="none" w:sz="0" w:space="0" w:color="auto"/>
        <w:left w:val="none" w:sz="0" w:space="0" w:color="auto"/>
        <w:bottom w:val="none" w:sz="0" w:space="0" w:color="auto"/>
        <w:right w:val="none" w:sz="0" w:space="0" w:color="auto"/>
      </w:divBdr>
    </w:div>
    <w:div w:id="805583469">
      <w:bodyDiv w:val="1"/>
      <w:marLeft w:val="0"/>
      <w:marRight w:val="0"/>
      <w:marTop w:val="0"/>
      <w:marBottom w:val="0"/>
      <w:divBdr>
        <w:top w:val="none" w:sz="0" w:space="0" w:color="auto"/>
        <w:left w:val="none" w:sz="0" w:space="0" w:color="auto"/>
        <w:bottom w:val="none" w:sz="0" w:space="0" w:color="auto"/>
        <w:right w:val="none" w:sz="0" w:space="0" w:color="auto"/>
      </w:divBdr>
    </w:div>
    <w:div w:id="833380599">
      <w:bodyDiv w:val="1"/>
      <w:marLeft w:val="0"/>
      <w:marRight w:val="0"/>
      <w:marTop w:val="0"/>
      <w:marBottom w:val="0"/>
      <w:divBdr>
        <w:top w:val="none" w:sz="0" w:space="0" w:color="auto"/>
        <w:left w:val="none" w:sz="0" w:space="0" w:color="auto"/>
        <w:bottom w:val="none" w:sz="0" w:space="0" w:color="auto"/>
        <w:right w:val="none" w:sz="0" w:space="0" w:color="auto"/>
      </w:divBdr>
    </w:div>
    <w:div w:id="837233571">
      <w:bodyDiv w:val="1"/>
      <w:marLeft w:val="0"/>
      <w:marRight w:val="0"/>
      <w:marTop w:val="0"/>
      <w:marBottom w:val="0"/>
      <w:divBdr>
        <w:top w:val="none" w:sz="0" w:space="0" w:color="auto"/>
        <w:left w:val="none" w:sz="0" w:space="0" w:color="auto"/>
        <w:bottom w:val="none" w:sz="0" w:space="0" w:color="auto"/>
        <w:right w:val="none" w:sz="0" w:space="0" w:color="auto"/>
      </w:divBdr>
    </w:div>
    <w:div w:id="864247717">
      <w:bodyDiv w:val="1"/>
      <w:marLeft w:val="0"/>
      <w:marRight w:val="0"/>
      <w:marTop w:val="0"/>
      <w:marBottom w:val="0"/>
      <w:divBdr>
        <w:top w:val="none" w:sz="0" w:space="0" w:color="auto"/>
        <w:left w:val="none" w:sz="0" w:space="0" w:color="auto"/>
        <w:bottom w:val="none" w:sz="0" w:space="0" w:color="auto"/>
        <w:right w:val="none" w:sz="0" w:space="0" w:color="auto"/>
      </w:divBdr>
    </w:div>
    <w:div w:id="884371435">
      <w:bodyDiv w:val="1"/>
      <w:marLeft w:val="0"/>
      <w:marRight w:val="0"/>
      <w:marTop w:val="0"/>
      <w:marBottom w:val="0"/>
      <w:divBdr>
        <w:top w:val="none" w:sz="0" w:space="0" w:color="auto"/>
        <w:left w:val="none" w:sz="0" w:space="0" w:color="auto"/>
        <w:bottom w:val="none" w:sz="0" w:space="0" w:color="auto"/>
        <w:right w:val="none" w:sz="0" w:space="0" w:color="auto"/>
      </w:divBdr>
    </w:div>
    <w:div w:id="891379885">
      <w:bodyDiv w:val="1"/>
      <w:marLeft w:val="0"/>
      <w:marRight w:val="0"/>
      <w:marTop w:val="0"/>
      <w:marBottom w:val="0"/>
      <w:divBdr>
        <w:top w:val="none" w:sz="0" w:space="0" w:color="auto"/>
        <w:left w:val="none" w:sz="0" w:space="0" w:color="auto"/>
        <w:bottom w:val="none" w:sz="0" w:space="0" w:color="auto"/>
        <w:right w:val="none" w:sz="0" w:space="0" w:color="auto"/>
      </w:divBdr>
    </w:div>
    <w:div w:id="891695239">
      <w:bodyDiv w:val="1"/>
      <w:marLeft w:val="0"/>
      <w:marRight w:val="0"/>
      <w:marTop w:val="0"/>
      <w:marBottom w:val="0"/>
      <w:divBdr>
        <w:top w:val="none" w:sz="0" w:space="0" w:color="auto"/>
        <w:left w:val="none" w:sz="0" w:space="0" w:color="auto"/>
        <w:bottom w:val="none" w:sz="0" w:space="0" w:color="auto"/>
        <w:right w:val="none" w:sz="0" w:space="0" w:color="auto"/>
      </w:divBdr>
    </w:div>
    <w:div w:id="898439534">
      <w:bodyDiv w:val="1"/>
      <w:marLeft w:val="0"/>
      <w:marRight w:val="0"/>
      <w:marTop w:val="0"/>
      <w:marBottom w:val="0"/>
      <w:divBdr>
        <w:top w:val="none" w:sz="0" w:space="0" w:color="auto"/>
        <w:left w:val="none" w:sz="0" w:space="0" w:color="auto"/>
        <w:bottom w:val="none" w:sz="0" w:space="0" w:color="auto"/>
        <w:right w:val="none" w:sz="0" w:space="0" w:color="auto"/>
      </w:divBdr>
    </w:div>
    <w:div w:id="915820785">
      <w:bodyDiv w:val="1"/>
      <w:marLeft w:val="0"/>
      <w:marRight w:val="0"/>
      <w:marTop w:val="0"/>
      <w:marBottom w:val="0"/>
      <w:divBdr>
        <w:top w:val="none" w:sz="0" w:space="0" w:color="auto"/>
        <w:left w:val="none" w:sz="0" w:space="0" w:color="auto"/>
        <w:bottom w:val="none" w:sz="0" w:space="0" w:color="auto"/>
        <w:right w:val="none" w:sz="0" w:space="0" w:color="auto"/>
      </w:divBdr>
    </w:div>
    <w:div w:id="917523552">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1550354">
      <w:bodyDiv w:val="1"/>
      <w:marLeft w:val="0"/>
      <w:marRight w:val="0"/>
      <w:marTop w:val="0"/>
      <w:marBottom w:val="0"/>
      <w:divBdr>
        <w:top w:val="none" w:sz="0" w:space="0" w:color="auto"/>
        <w:left w:val="none" w:sz="0" w:space="0" w:color="auto"/>
        <w:bottom w:val="none" w:sz="0" w:space="0" w:color="auto"/>
        <w:right w:val="none" w:sz="0" w:space="0" w:color="auto"/>
      </w:divBdr>
    </w:div>
    <w:div w:id="935554783">
      <w:bodyDiv w:val="1"/>
      <w:marLeft w:val="0"/>
      <w:marRight w:val="0"/>
      <w:marTop w:val="0"/>
      <w:marBottom w:val="0"/>
      <w:divBdr>
        <w:top w:val="none" w:sz="0" w:space="0" w:color="auto"/>
        <w:left w:val="none" w:sz="0" w:space="0" w:color="auto"/>
        <w:bottom w:val="none" w:sz="0" w:space="0" w:color="auto"/>
        <w:right w:val="none" w:sz="0" w:space="0" w:color="auto"/>
      </w:divBdr>
    </w:div>
    <w:div w:id="940919701">
      <w:bodyDiv w:val="1"/>
      <w:marLeft w:val="0"/>
      <w:marRight w:val="0"/>
      <w:marTop w:val="0"/>
      <w:marBottom w:val="0"/>
      <w:divBdr>
        <w:top w:val="none" w:sz="0" w:space="0" w:color="auto"/>
        <w:left w:val="none" w:sz="0" w:space="0" w:color="auto"/>
        <w:bottom w:val="none" w:sz="0" w:space="0" w:color="auto"/>
        <w:right w:val="none" w:sz="0" w:space="0" w:color="auto"/>
      </w:divBdr>
    </w:div>
    <w:div w:id="949047608">
      <w:bodyDiv w:val="1"/>
      <w:marLeft w:val="0"/>
      <w:marRight w:val="0"/>
      <w:marTop w:val="0"/>
      <w:marBottom w:val="0"/>
      <w:divBdr>
        <w:top w:val="none" w:sz="0" w:space="0" w:color="auto"/>
        <w:left w:val="none" w:sz="0" w:space="0" w:color="auto"/>
        <w:bottom w:val="none" w:sz="0" w:space="0" w:color="auto"/>
        <w:right w:val="none" w:sz="0" w:space="0" w:color="auto"/>
      </w:divBdr>
    </w:div>
    <w:div w:id="951279741">
      <w:bodyDiv w:val="1"/>
      <w:marLeft w:val="0"/>
      <w:marRight w:val="0"/>
      <w:marTop w:val="0"/>
      <w:marBottom w:val="0"/>
      <w:divBdr>
        <w:top w:val="none" w:sz="0" w:space="0" w:color="auto"/>
        <w:left w:val="none" w:sz="0" w:space="0" w:color="auto"/>
        <w:bottom w:val="none" w:sz="0" w:space="0" w:color="auto"/>
        <w:right w:val="none" w:sz="0" w:space="0" w:color="auto"/>
      </w:divBdr>
    </w:div>
    <w:div w:id="954367770">
      <w:bodyDiv w:val="1"/>
      <w:marLeft w:val="0"/>
      <w:marRight w:val="0"/>
      <w:marTop w:val="0"/>
      <w:marBottom w:val="0"/>
      <w:divBdr>
        <w:top w:val="none" w:sz="0" w:space="0" w:color="auto"/>
        <w:left w:val="none" w:sz="0" w:space="0" w:color="auto"/>
        <w:bottom w:val="none" w:sz="0" w:space="0" w:color="auto"/>
        <w:right w:val="none" w:sz="0" w:space="0" w:color="auto"/>
      </w:divBdr>
    </w:div>
    <w:div w:id="970745221">
      <w:bodyDiv w:val="1"/>
      <w:marLeft w:val="0"/>
      <w:marRight w:val="0"/>
      <w:marTop w:val="0"/>
      <w:marBottom w:val="0"/>
      <w:divBdr>
        <w:top w:val="none" w:sz="0" w:space="0" w:color="auto"/>
        <w:left w:val="none" w:sz="0" w:space="0" w:color="auto"/>
        <w:bottom w:val="none" w:sz="0" w:space="0" w:color="auto"/>
        <w:right w:val="none" w:sz="0" w:space="0" w:color="auto"/>
      </w:divBdr>
    </w:div>
    <w:div w:id="976564762">
      <w:bodyDiv w:val="1"/>
      <w:marLeft w:val="0"/>
      <w:marRight w:val="0"/>
      <w:marTop w:val="0"/>
      <w:marBottom w:val="0"/>
      <w:divBdr>
        <w:top w:val="none" w:sz="0" w:space="0" w:color="auto"/>
        <w:left w:val="none" w:sz="0" w:space="0" w:color="auto"/>
        <w:bottom w:val="none" w:sz="0" w:space="0" w:color="auto"/>
        <w:right w:val="none" w:sz="0" w:space="0" w:color="auto"/>
      </w:divBdr>
    </w:div>
    <w:div w:id="980574902">
      <w:bodyDiv w:val="1"/>
      <w:marLeft w:val="0"/>
      <w:marRight w:val="0"/>
      <w:marTop w:val="0"/>
      <w:marBottom w:val="0"/>
      <w:divBdr>
        <w:top w:val="none" w:sz="0" w:space="0" w:color="auto"/>
        <w:left w:val="none" w:sz="0" w:space="0" w:color="auto"/>
        <w:bottom w:val="none" w:sz="0" w:space="0" w:color="auto"/>
        <w:right w:val="none" w:sz="0" w:space="0" w:color="auto"/>
      </w:divBdr>
    </w:div>
    <w:div w:id="980890220">
      <w:bodyDiv w:val="1"/>
      <w:marLeft w:val="0"/>
      <w:marRight w:val="0"/>
      <w:marTop w:val="0"/>
      <w:marBottom w:val="0"/>
      <w:divBdr>
        <w:top w:val="none" w:sz="0" w:space="0" w:color="auto"/>
        <w:left w:val="none" w:sz="0" w:space="0" w:color="auto"/>
        <w:bottom w:val="none" w:sz="0" w:space="0" w:color="auto"/>
        <w:right w:val="none" w:sz="0" w:space="0" w:color="auto"/>
      </w:divBdr>
    </w:div>
    <w:div w:id="986082196">
      <w:bodyDiv w:val="1"/>
      <w:marLeft w:val="0"/>
      <w:marRight w:val="0"/>
      <w:marTop w:val="0"/>
      <w:marBottom w:val="0"/>
      <w:divBdr>
        <w:top w:val="none" w:sz="0" w:space="0" w:color="auto"/>
        <w:left w:val="none" w:sz="0" w:space="0" w:color="auto"/>
        <w:bottom w:val="none" w:sz="0" w:space="0" w:color="auto"/>
        <w:right w:val="none" w:sz="0" w:space="0" w:color="auto"/>
      </w:divBdr>
    </w:div>
    <w:div w:id="1000935711">
      <w:bodyDiv w:val="1"/>
      <w:marLeft w:val="0"/>
      <w:marRight w:val="0"/>
      <w:marTop w:val="0"/>
      <w:marBottom w:val="0"/>
      <w:divBdr>
        <w:top w:val="none" w:sz="0" w:space="0" w:color="auto"/>
        <w:left w:val="none" w:sz="0" w:space="0" w:color="auto"/>
        <w:bottom w:val="none" w:sz="0" w:space="0" w:color="auto"/>
        <w:right w:val="none" w:sz="0" w:space="0" w:color="auto"/>
      </w:divBdr>
    </w:div>
    <w:div w:id="1010446407">
      <w:bodyDiv w:val="1"/>
      <w:marLeft w:val="0"/>
      <w:marRight w:val="0"/>
      <w:marTop w:val="0"/>
      <w:marBottom w:val="0"/>
      <w:divBdr>
        <w:top w:val="none" w:sz="0" w:space="0" w:color="auto"/>
        <w:left w:val="none" w:sz="0" w:space="0" w:color="auto"/>
        <w:bottom w:val="none" w:sz="0" w:space="0" w:color="auto"/>
        <w:right w:val="none" w:sz="0" w:space="0" w:color="auto"/>
      </w:divBdr>
    </w:div>
    <w:div w:id="1013916675">
      <w:bodyDiv w:val="1"/>
      <w:marLeft w:val="0"/>
      <w:marRight w:val="0"/>
      <w:marTop w:val="0"/>
      <w:marBottom w:val="0"/>
      <w:divBdr>
        <w:top w:val="none" w:sz="0" w:space="0" w:color="auto"/>
        <w:left w:val="none" w:sz="0" w:space="0" w:color="auto"/>
        <w:bottom w:val="none" w:sz="0" w:space="0" w:color="auto"/>
        <w:right w:val="none" w:sz="0" w:space="0" w:color="auto"/>
      </w:divBdr>
    </w:div>
    <w:div w:id="1053383423">
      <w:bodyDiv w:val="1"/>
      <w:marLeft w:val="0"/>
      <w:marRight w:val="0"/>
      <w:marTop w:val="0"/>
      <w:marBottom w:val="0"/>
      <w:divBdr>
        <w:top w:val="none" w:sz="0" w:space="0" w:color="auto"/>
        <w:left w:val="none" w:sz="0" w:space="0" w:color="auto"/>
        <w:bottom w:val="none" w:sz="0" w:space="0" w:color="auto"/>
        <w:right w:val="none" w:sz="0" w:space="0" w:color="auto"/>
      </w:divBdr>
    </w:div>
    <w:div w:id="1055933534">
      <w:bodyDiv w:val="1"/>
      <w:marLeft w:val="0"/>
      <w:marRight w:val="0"/>
      <w:marTop w:val="0"/>
      <w:marBottom w:val="0"/>
      <w:divBdr>
        <w:top w:val="none" w:sz="0" w:space="0" w:color="auto"/>
        <w:left w:val="none" w:sz="0" w:space="0" w:color="auto"/>
        <w:bottom w:val="none" w:sz="0" w:space="0" w:color="auto"/>
        <w:right w:val="none" w:sz="0" w:space="0" w:color="auto"/>
      </w:divBdr>
    </w:div>
    <w:div w:id="1056858547">
      <w:bodyDiv w:val="1"/>
      <w:marLeft w:val="0"/>
      <w:marRight w:val="0"/>
      <w:marTop w:val="0"/>
      <w:marBottom w:val="0"/>
      <w:divBdr>
        <w:top w:val="none" w:sz="0" w:space="0" w:color="auto"/>
        <w:left w:val="none" w:sz="0" w:space="0" w:color="auto"/>
        <w:bottom w:val="none" w:sz="0" w:space="0" w:color="auto"/>
        <w:right w:val="none" w:sz="0" w:space="0" w:color="auto"/>
      </w:divBdr>
    </w:div>
    <w:div w:id="1064255269">
      <w:bodyDiv w:val="1"/>
      <w:marLeft w:val="0"/>
      <w:marRight w:val="0"/>
      <w:marTop w:val="0"/>
      <w:marBottom w:val="0"/>
      <w:divBdr>
        <w:top w:val="none" w:sz="0" w:space="0" w:color="auto"/>
        <w:left w:val="none" w:sz="0" w:space="0" w:color="auto"/>
        <w:bottom w:val="none" w:sz="0" w:space="0" w:color="auto"/>
        <w:right w:val="none" w:sz="0" w:space="0" w:color="auto"/>
      </w:divBdr>
    </w:div>
    <w:div w:id="1084717625">
      <w:bodyDiv w:val="1"/>
      <w:marLeft w:val="0"/>
      <w:marRight w:val="0"/>
      <w:marTop w:val="0"/>
      <w:marBottom w:val="0"/>
      <w:divBdr>
        <w:top w:val="none" w:sz="0" w:space="0" w:color="auto"/>
        <w:left w:val="none" w:sz="0" w:space="0" w:color="auto"/>
        <w:bottom w:val="none" w:sz="0" w:space="0" w:color="auto"/>
        <w:right w:val="none" w:sz="0" w:space="0" w:color="auto"/>
      </w:divBdr>
    </w:div>
    <w:div w:id="1086731290">
      <w:bodyDiv w:val="1"/>
      <w:marLeft w:val="0"/>
      <w:marRight w:val="0"/>
      <w:marTop w:val="0"/>
      <w:marBottom w:val="0"/>
      <w:divBdr>
        <w:top w:val="none" w:sz="0" w:space="0" w:color="auto"/>
        <w:left w:val="none" w:sz="0" w:space="0" w:color="auto"/>
        <w:bottom w:val="none" w:sz="0" w:space="0" w:color="auto"/>
        <w:right w:val="none" w:sz="0" w:space="0" w:color="auto"/>
      </w:divBdr>
    </w:div>
    <w:div w:id="1090463553">
      <w:bodyDiv w:val="1"/>
      <w:marLeft w:val="0"/>
      <w:marRight w:val="0"/>
      <w:marTop w:val="0"/>
      <w:marBottom w:val="0"/>
      <w:divBdr>
        <w:top w:val="none" w:sz="0" w:space="0" w:color="auto"/>
        <w:left w:val="none" w:sz="0" w:space="0" w:color="auto"/>
        <w:bottom w:val="none" w:sz="0" w:space="0" w:color="auto"/>
        <w:right w:val="none" w:sz="0" w:space="0" w:color="auto"/>
      </w:divBdr>
    </w:div>
    <w:div w:id="1096286770">
      <w:bodyDiv w:val="1"/>
      <w:marLeft w:val="0"/>
      <w:marRight w:val="0"/>
      <w:marTop w:val="0"/>
      <w:marBottom w:val="0"/>
      <w:divBdr>
        <w:top w:val="none" w:sz="0" w:space="0" w:color="auto"/>
        <w:left w:val="none" w:sz="0" w:space="0" w:color="auto"/>
        <w:bottom w:val="none" w:sz="0" w:space="0" w:color="auto"/>
        <w:right w:val="none" w:sz="0" w:space="0" w:color="auto"/>
      </w:divBdr>
    </w:div>
    <w:div w:id="1100757151">
      <w:bodyDiv w:val="1"/>
      <w:marLeft w:val="0"/>
      <w:marRight w:val="0"/>
      <w:marTop w:val="0"/>
      <w:marBottom w:val="0"/>
      <w:divBdr>
        <w:top w:val="none" w:sz="0" w:space="0" w:color="auto"/>
        <w:left w:val="none" w:sz="0" w:space="0" w:color="auto"/>
        <w:bottom w:val="none" w:sz="0" w:space="0" w:color="auto"/>
        <w:right w:val="none" w:sz="0" w:space="0" w:color="auto"/>
      </w:divBdr>
    </w:div>
    <w:div w:id="1122261837">
      <w:bodyDiv w:val="1"/>
      <w:marLeft w:val="0"/>
      <w:marRight w:val="0"/>
      <w:marTop w:val="0"/>
      <w:marBottom w:val="0"/>
      <w:divBdr>
        <w:top w:val="none" w:sz="0" w:space="0" w:color="auto"/>
        <w:left w:val="none" w:sz="0" w:space="0" w:color="auto"/>
        <w:bottom w:val="none" w:sz="0" w:space="0" w:color="auto"/>
        <w:right w:val="none" w:sz="0" w:space="0" w:color="auto"/>
      </w:divBdr>
    </w:div>
    <w:div w:id="1122920345">
      <w:bodyDiv w:val="1"/>
      <w:marLeft w:val="0"/>
      <w:marRight w:val="0"/>
      <w:marTop w:val="0"/>
      <w:marBottom w:val="0"/>
      <w:divBdr>
        <w:top w:val="none" w:sz="0" w:space="0" w:color="auto"/>
        <w:left w:val="none" w:sz="0" w:space="0" w:color="auto"/>
        <w:bottom w:val="none" w:sz="0" w:space="0" w:color="auto"/>
        <w:right w:val="none" w:sz="0" w:space="0" w:color="auto"/>
      </w:divBdr>
    </w:div>
    <w:div w:id="1124929467">
      <w:bodyDiv w:val="1"/>
      <w:marLeft w:val="0"/>
      <w:marRight w:val="0"/>
      <w:marTop w:val="0"/>
      <w:marBottom w:val="0"/>
      <w:divBdr>
        <w:top w:val="none" w:sz="0" w:space="0" w:color="auto"/>
        <w:left w:val="none" w:sz="0" w:space="0" w:color="auto"/>
        <w:bottom w:val="none" w:sz="0" w:space="0" w:color="auto"/>
        <w:right w:val="none" w:sz="0" w:space="0" w:color="auto"/>
      </w:divBdr>
    </w:div>
    <w:div w:id="1138106752">
      <w:bodyDiv w:val="1"/>
      <w:marLeft w:val="0"/>
      <w:marRight w:val="0"/>
      <w:marTop w:val="0"/>
      <w:marBottom w:val="0"/>
      <w:divBdr>
        <w:top w:val="none" w:sz="0" w:space="0" w:color="auto"/>
        <w:left w:val="none" w:sz="0" w:space="0" w:color="auto"/>
        <w:bottom w:val="none" w:sz="0" w:space="0" w:color="auto"/>
        <w:right w:val="none" w:sz="0" w:space="0" w:color="auto"/>
      </w:divBdr>
    </w:div>
    <w:div w:id="1143542330">
      <w:bodyDiv w:val="1"/>
      <w:marLeft w:val="0"/>
      <w:marRight w:val="0"/>
      <w:marTop w:val="0"/>
      <w:marBottom w:val="0"/>
      <w:divBdr>
        <w:top w:val="none" w:sz="0" w:space="0" w:color="auto"/>
        <w:left w:val="none" w:sz="0" w:space="0" w:color="auto"/>
        <w:bottom w:val="none" w:sz="0" w:space="0" w:color="auto"/>
        <w:right w:val="none" w:sz="0" w:space="0" w:color="auto"/>
      </w:divBdr>
    </w:div>
    <w:div w:id="1164591081">
      <w:bodyDiv w:val="1"/>
      <w:marLeft w:val="0"/>
      <w:marRight w:val="0"/>
      <w:marTop w:val="0"/>
      <w:marBottom w:val="0"/>
      <w:divBdr>
        <w:top w:val="none" w:sz="0" w:space="0" w:color="auto"/>
        <w:left w:val="none" w:sz="0" w:space="0" w:color="auto"/>
        <w:bottom w:val="none" w:sz="0" w:space="0" w:color="auto"/>
        <w:right w:val="none" w:sz="0" w:space="0" w:color="auto"/>
      </w:divBdr>
    </w:div>
    <w:div w:id="1179393088">
      <w:bodyDiv w:val="1"/>
      <w:marLeft w:val="0"/>
      <w:marRight w:val="0"/>
      <w:marTop w:val="0"/>
      <w:marBottom w:val="0"/>
      <w:divBdr>
        <w:top w:val="none" w:sz="0" w:space="0" w:color="auto"/>
        <w:left w:val="none" w:sz="0" w:space="0" w:color="auto"/>
        <w:bottom w:val="none" w:sz="0" w:space="0" w:color="auto"/>
        <w:right w:val="none" w:sz="0" w:space="0" w:color="auto"/>
      </w:divBdr>
    </w:div>
    <w:div w:id="1181819237">
      <w:bodyDiv w:val="1"/>
      <w:marLeft w:val="0"/>
      <w:marRight w:val="0"/>
      <w:marTop w:val="0"/>
      <w:marBottom w:val="0"/>
      <w:divBdr>
        <w:top w:val="none" w:sz="0" w:space="0" w:color="auto"/>
        <w:left w:val="none" w:sz="0" w:space="0" w:color="auto"/>
        <w:bottom w:val="none" w:sz="0" w:space="0" w:color="auto"/>
        <w:right w:val="none" w:sz="0" w:space="0" w:color="auto"/>
      </w:divBdr>
    </w:div>
    <w:div w:id="1191801871">
      <w:bodyDiv w:val="1"/>
      <w:marLeft w:val="0"/>
      <w:marRight w:val="0"/>
      <w:marTop w:val="0"/>
      <w:marBottom w:val="0"/>
      <w:divBdr>
        <w:top w:val="none" w:sz="0" w:space="0" w:color="auto"/>
        <w:left w:val="none" w:sz="0" w:space="0" w:color="auto"/>
        <w:bottom w:val="none" w:sz="0" w:space="0" w:color="auto"/>
        <w:right w:val="none" w:sz="0" w:space="0" w:color="auto"/>
      </w:divBdr>
    </w:div>
    <w:div w:id="1203447401">
      <w:bodyDiv w:val="1"/>
      <w:marLeft w:val="0"/>
      <w:marRight w:val="0"/>
      <w:marTop w:val="0"/>
      <w:marBottom w:val="0"/>
      <w:divBdr>
        <w:top w:val="none" w:sz="0" w:space="0" w:color="auto"/>
        <w:left w:val="none" w:sz="0" w:space="0" w:color="auto"/>
        <w:bottom w:val="none" w:sz="0" w:space="0" w:color="auto"/>
        <w:right w:val="none" w:sz="0" w:space="0" w:color="auto"/>
      </w:divBdr>
    </w:div>
    <w:div w:id="1222055750">
      <w:bodyDiv w:val="1"/>
      <w:marLeft w:val="0"/>
      <w:marRight w:val="0"/>
      <w:marTop w:val="0"/>
      <w:marBottom w:val="0"/>
      <w:divBdr>
        <w:top w:val="none" w:sz="0" w:space="0" w:color="auto"/>
        <w:left w:val="none" w:sz="0" w:space="0" w:color="auto"/>
        <w:bottom w:val="none" w:sz="0" w:space="0" w:color="auto"/>
        <w:right w:val="none" w:sz="0" w:space="0" w:color="auto"/>
      </w:divBdr>
    </w:div>
    <w:div w:id="1224758524">
      <w:bodyDiv w:val="1"/>
      <w:marLeft w:val="0"/>
      <w:marRight w:val="0"/>
      <w:marTop w:val="0"/>
      <w:marBottom w:val="0"/>
      <w:divBdr>
        <w:top w:val="none" w:sz="0" w:space="0" w:color="auto"/>
        <w:left w:val="none" w:sz="0" w:space="0" w:color="auto"/>
        <w:bottom w:val="none" w:sz="0" w:space="0" w:color="auto"/>
        <w:right w:val="none" w:sz="0" w:space="0" w:color="auto"/>
      </w:divBdr>
    </w:div>
    <w:div w:id="1230533673">
      <w:bodyDiv w:val="1"/>
      <w:marLeft w:val="0"/>
      <w:marRight w:val="0"/>
      <w:marTop w:val="0"/>
      <w:marBottom w:val="0"/>
      <w:divBdr>
        <w:top w:val="none" w:sz="0" w:space="0" w:color="auto"/>
        <w:left w:val="none" w:sz="0" w:space="0" w:color="auto"/>
        <w:bottom w:val="none" w:sz="0" w:space="0" w:color="auto"/>
        <w:right w:val="none" w:sz="0" w:space="0" w:color="auto"/>
      </w:divBdr>
    </w:div>
    <w:div w:id="1230846233">
      <w:bodyDiv w:val="1"/>
      <w:marLeft w:val="0"/>
      <w:marRight w:val="0"/>
      <w:marTop w:val="0"/>
      <w:marBottom w:val="0"/>
      <w:divBdr>
        <w:top w:val="none" w:sz="0" w:space="0" w:color="auto"/>
        <w:left w:val="none" w:sz="0" w:space="0" w:color="auto"/>
        <w:bottom w:val="none" w:sz="0" w:space="0" w:color="auto"/>
        <w:right w:val="none" w:sz="0" w:space="0" w:color="auto"/>
      </w:divBdr>
    </w:div>
    <w:div w:id="1241871941">
      <w:bodyDiv w:val="1"/>
      <w:marLeft w:val="0"/>
      <w:marRight w:val="0"/>
      <w:marTop w:val="0"/>
      <w:marBottom w:val="0"/>
      <w:divBdr>
        <w:top w:val="none" w:sz="0" w:space="0" w:color="auto"/>
        <w:left w:val="none" w:sz="0" w:space="0" w:color="auto"/>
        <w:bottom w:val="none" w:sz="0" w:space="0" w:color="auto"/>
        <w:right w:val="none" w:sz="0" w:space="0" w:color="auto"/>
      </w:divBdr>
    </w:div>
    <w:div w:id="1246916732">
      <w:bodyDiv w:val="1"/>
      <w:marLeft w:val="0"/>
      <w:marRight w:val="0"/>
      <w:marTop w:val="0"/>
      <w:marBottom w:val="0"/>
      <w:divBdr>
        <w:top w:val="none" w:sz="0" w:space="0" w:color="auto"/>
        <w:left w:val="none" w:sz="0" w:space="0" w:color="auto"/>
        <w:bottom w:val="none" w:sz="0" w:space="0" w:color="auto"/>
        <w:right w:val="none" w:sz="0" w:space="0" w:color="auto"/>
      </w:divBdr>
    </w:div>
    <w:div w:id="1254702538">
      <w:bodyDiv w:val="1"/>
      <w:marLeft w:val="0"/>
      <w:marRight w:val="0"/>
      <w:marTop w:val="0"/>
      <w:marBottom w:val="0"/>
      <w:divBdr>
        <w:top w:val="none" w:sz="0" w:space="0" w:color="auto"/>
        <w:left w:val="none" w:sz="0" w:space="0" w:color="auto"/>
        <w:bottom w:val="none" w:sz="0" w:space="0" w:color="auto"/>
        <w:right w:val="none" w:sz="0" w:space="0" w:color="auto"/>
      </w:divBdr>
    </w:div>
    <w:div w:id="1266039140">
      <w:bodyDiv w:val="1"/>
      <w:marLeft w:val="0"/>
      <w:marRight w:val="0"/>
      <w:marTop w:val="0"/>
      <w:marBottom w:val="0"/>
      <w:divBdr>
        <w:top w:val="none" w:sz="0" w:space="0" w:color="auto"/>
        <w:left w:val="none" w:sz="0" w:space="0" w:color="auto"/>
        <w:bottom w:val="none" w:sz="0" w:space="0" w:color="auto"/>
        <w:right w:val="none" w:sz="0" w:space="0" w:color="auto"/>
      </w:divBdr>
    </w:div>
    <w:div w:id="1269195556">
      <w:bodyDiv w:val="1"/>
      <w:marLeft w:val="0"/>
      <w:marRight w:val="0"/>
      <w:marTop w:val="0"/>
      <w:marBottom w:val="0"/>
      <w:divBdr>
        <w:top w:val="none" w:sz="0" w:space="0" w:color="auto"/>
        <w:left w:val="none" w:sz="0" w:space="0" w:color="auto"/>
        <w:bottom w:val="none" w:sz="0" w:space="0" w:color="auto"/>
        <w:right w:val="none" w:sz="0" w:space="0" w:color="auto"/>
      </w:divBdr>
    </w:div>
    <w:div w:id="1282612590">
      <w:bodyDiv w:val="1"/>
      <w:marLeft w:val="0"/>
      <w:marRight w:val="0"/>
      <w:marTop w:val="0"/>
      <w:marBottom w:val="0"/>
      <w:divBdr>
        <w:top w:val="none" w:sz="0" w:space="0" w:color="auto"/>
        <w:left w:val="none" w:sz="0" w:space="0" w:color="auto"/>
        <w:bottom w:val="none" w:sz="0" w:space="0" w:color="auto"/>
        <w:right w:val="none" w:sz="0" w:space="0" w:color="auto"/>
      </w:divBdr>
    </w:div>
    <w:div w:id="1286304829">
      <w:bodyDiv w:val="1"/>
      <w:marLeft w:val="0"/>
      <w:marRight w:val="0"/>
      <w:marTop w:val="0"/>
      <w:marBottom w:val="0"/>
      <w:divBdr>
        <w:top w:val="none" w:sz="0" w:space="0" w:color="auto"/>
        <w:left w:val="none" w:sz="0" w:space="0" w:color="auto"/>
        <w:bottom w:val="none" w:sz="0" w:space="0" w:color="auto"/>
        <w:right w:val="none" w:sz="0" w:space="0" w:color="auto"/>
      </w:divBdr>
    </w:div>
    <w:div w:id="1286501340">
      <w:bodyDiv w:val="1"/>
      <w:marLeft w:val="0"/>
      <w:marRight w:val="0"/>
      <w:marTop w:val="0"/>
      <w:marBottom w:val="0"/>
      <w:divBdr>
        <w:top w:val="none" w:sz="0" w:space="0" w:color="auto"/>
        <w:left w:val="none" w:sz="0" w:space="0" w:color="auto"/>
        <w:bottom w:val="none" w:sz="0" w:space="0" w:color="auto"/>
        <w:right w:val="none" w:sz="0" w:space="0" w:color="auto"/>
      </w:divBdr>
    </w:div>
    <w:div w:id="1295793216">
      <w:bodyDiv w:val="1"/>
      <w:marLeft w:val="0"/>
      <w:marRight w:val="0"/>
      <w:marTop w:val="0"/>
      <w:marBottom w:val="0"/>
      <w:divBdr>
        <w:top w:val="none" w:sz="0" w:space="0" w:color="auto"/>
        <w:left w:val="none" w:sz="0" w:space="0" w:color="auto"/>
        <w:bottom w:val="none" w:sz="0" w:space="0" w:color="auto"/>
        <w:right w:val="none" w:sz="0" w:space="0" w:color="auto"/>
      </w:divBdr>
    </w:div>
    <w:div w:id="1300107146">
      <w:bodyDiv w:val="1"/>
      <w:marLeft w:val="0"/>
      <w:marRight w:val="0"/>
      <w:marTop w:val="0"/>
      <w:marBottom w:val="0"/>
      <w:divBdr>
        <w:top w:val="none" w:sz="0" w:space="0" w:color="auto"/>
        <w:left w:val="none" w:sz="0" w:space="0" w:color="auto"/>
        <w:bottom w:val="none" w:sz="0" w:space="0" w:color="auto"/>
        <w:right w:val="none" w:sz="0" w:space="0" w:color="auto"/>
      </w:divBdr>
    </w:div>
    <w:div w:id="1311595281">
      <w:bodyDiv w:val="1"/>
      <w:marLeft w:val="0"/>
      <w:marRight w:val="0"/>
      <w:marTop w:val="0"/>
      <w:marBottom w:val="0"/>
      <w:divBdr>
        <w:top w:val="none" w:sz="0" w:space="0" w:color="auto"/>
        <w:left w:val="none" w:sz="0" w:space="0" w:color="auto"/>
        <w:bottom w:val="none" w:sz="0" w:space="0" w:color="auto"/>
        <w:right w:val="none" w:sz="0" w:space="0" w:color="auto"/>
      </w:divBdr>
    </w:div>
    <w:div w:id="1312061527">
      <w:bodyDiv w:val="1"/>
      <w:marLeft w:val="0"/>
      <w:marRight w:val="0"/>
      <w:marTop w:val="0"/>
      <w:marBottom w:val="0"/>
      <w:divBdr>
        <w:top w:val="none" w:sz="0" w:space="0" w:color="auto"/>
        <w:left w:val="none" w:sz="0" w:space="0" w:color="auto"/>
        <w:bottom w:val="none" w:sz="0" w:space="0" w:color="auto"/>
        <w:right w:val="none" w:sz="0" w:space="0" w:color="auto"/>
      </w:divBdr>
    </w:div>
    <w:div w:id="1313676834">
      <w:bodyDiv w:val="1"/>
      <w:marLeft w:val="0"/>
      <w:marRight w:val="0"/>
      <w:marTop w:val="0"/>
      <w:marBottom w:val="0"/>
      <w:divBdr>
        <w:top w:val="none" w:sz="0" w:space="0" w:color="auto"/>
        <w:left w:val="none" w:sz="0" w:space="0" w:color="auto"/>
        <w:bottom w:val="none" w:sz="0" w:space="0" w:color="auto"/>
        <w:right w:val="none" w:sz="0" w:space="0" w:color="auto"/>
      </w:divBdr>
    </w:div>
    <w:div w:id="1315716100">
      <w:bodyDiv w:val="1"/>
      <w:marLeft w:val="0"/>
      <w:marRight w:val="0"/>
      <w:marTop w:val="0"/>
      <w:marBottom w:val="0"/>
      <w:divBdr>
        <w:top w:val="none" w:sz="0" w:space="0" w:color="auto"/>
        <w:left w:val="none" w:sz="0" w:space="0" w:color="auto"/>
        <w:bottom w:val="none" w:sz="0" w:space="0" w:color="auto"/>
        <w:right w:val="none" w:sz="0" w:space="0" w:color="auto"/>
      </w:divBdr>
    </w:div>
    <w:div w:id="1317950255">
      <w:bodyDiv w:val="1"/>
      <w:marLeft w:val="0"/>
      <w:marRight w:val="0"/>
      <w:marTop w:val="0"/>
      <w:marBottom w:val="0"/>
      <w:divBdr>
        <w:top w:val="none" w:sz="0" w:space="0" w:color="auto"/>
        <w:left w:val="none" w:sz="0" w:space="0" w:color="auto"/>
        <w:bottom w:val="none" w:sz="0" w:space="0" w:color="auto"/>
        <w:right w:val="none" w:sz="0" w:space="0" w:color="auto"/>
      </w:divBdr>
    </w:div>
    <w:div w:id="1323971996">
      <w:bodyDiv w:val="1"/>
      <w:marLeft w:val="0"/>
      <w:marRight w:val="0"/>
      <w:marTop w:val="0"/>
      <w:marBottom w:val="0"/>
      <w:divBdr>
        <w:top w:val="none" w:sz="0" w:space="0" w:color="auto"/>
        <w:left w:val="none" w:sz="0" w:space="0" w:color="auto"/>
        <w:bottom w:val="none" w:sz="0" w:space="0" w:color="auto"/>
        <w:right w:val="none" w:sz="0" w:space="0" w:color="auto"/>
      </w:divBdr>
    </w:div>
    <w:div w:id="1325935109">
      <w:bodyDiv w:val="1"/>
      <w:marLeft w:val="0"/>
      <w:marRight w:val="0"/>
      <w:marTop w:val="0"/>
      <w:marBottom w:val="0"/>
      <w:divBdr>
        <w:top w:val="none" w:sz="0" w:space="0" w:color="auto"/>
        <w:left w:val="none" w:sz="0" w:space="0" w:color="auto"/>
        <w:bottom w:val="none" w:sz="0" w:space="0" w:color="auto"/>
        <w:right w:val="none" w:sz="0" w:space="0" w:color="auto"/>
      </w:divBdr>
    </w:div>
    <w:div w:id="1332368482">
      <w:bodyDiv w:val="1"/>
      <w:marLeft w:val="0"/>
      <w:marRight w:val="0"/>
      <w:marTop w:val="0"/>
      <w:marBottom w:val="0"/>
      <w:divBdr>
        <w:top w:val="none" w:sz="0" w:space="0" w:color="auto"/>
        <w:left w:val="none" w:sz="0" w:space="0" w:color="auto"/>
        <w:bottom w:val="none" w:sz="0" w:space="0" w:color="auto"/>
        <w:right w:val="none" w:sz="0" w:space="0" w:color="auto"/>
      </w:divBdr>
    </w:div>
    <w:div w:id="1333264509">
      <w:bodyDiv w:val="1"/>
      <w:marLeft w:val="0"/>
      <w:marRight w:val="0"/>
      <w:marTop w:val="0"/>
      <w:marBottom w:val="0"/>
      <w:divBdr>
        <w:top w:val="none" w:sz="0" w:space="0" w:color="auto"/>
        <w:left w:val="none" w:sz="0" w:space="0" w:color="auto"/>
        <w:bottom w:val="none" w:sz="0" w:space="0" w:color="auto"/>
        <w:right w:val="none" w:sz="0" w:space="0" w:color="auto"/>
      </w:divBdr>
    </w:div>
    <w:div w:id="1333679839">
      <w:bodyDiv w:val="1"/>
      <w:marLeft w:val="0"/>
      <w:marRight w:val="0"/>
      <w:marTop w:val="0"/>
      <w:marBottom w:val="0"/>
      <w:divBdr>
        <w:top w:val="none" w:sz="0" w:space="0" w:color="auto"/>
        <w:left w:val="none" w:sz="0" w:space="0" w:color="auto"/>
        <w:bottom w:val="none" w:sz="0" w:space="0" w:color="auto"/>
        <w:right w:val="none" w:sz="0" w:space="0" w:color="auto"/>
      </w:divBdr>
    </w:div>
    <w:div w:id="1354772056">
      <w:bodyDiv w:val="1"/>
      <w:marLeft w:val="0"/>
      <w:marRight w:val="0"/>
      <w:marTop w:val="0"/>
      <w:marBottom w:val="0"/>
      <w:divBdr>
        <w:top w:val="none" w:sz="0" w:space="0" w:color="auto"/>
        <w:left w:val="none" w:sz="0" w:space="0" w:color="auto"/>
        <w:bottom w:val="none" w:sz="0" w:space="0" w:color="auto"/>
        <w:right w:val="none" w:sz="0" w:space="0" w:color="auto"/>
      </w:divBdr>
    </w:div>
    <w:div w:id="1364667458">
      <w:bodyDiv w:val="1"/>
      <w:marLeft w:val="0"/>
      <w:marRight w:val="0"/>
      <w:marTop w:val="0"/>
      <w:marBottom w:val="0"/>
      <w:divBdr>
        <w:top w:val="none" w:sz="0" w:space="0" w:color="auto"/>
        <w:left w:val="none" w:sz="0" w:space="0" w:color="auto"/>
        <w:bottom w:val="none" w:sz="0" w:space="0" w:color="auto"/>
        <w:right w:val="none" w:sz="0" w:space="0" w:color="auto"/>
      </w:divBdr>
    </w:div>
    <w:div w:id="1390573884">
      <w:bodyDiv w:val="1"/>
      <w:marLeft w:val="0"/>
      <w:marRight w:val="0"/>
      <w:marTop w:val="0"/>
      <w:marBottom w:val="0"/>
      <w:divBdr>
        <w:top w:val="none" w:sz="0" w:space="0" w:color="auto"/>
        <w:left w:val="none" w:sz="0" w:space="0" w:color="auto"/>
        <w:bottom w:val="none" w:sz="0" w:space="0" w:color="auto"/>
        <w:right w:val="none" w:sz="0" w:space="0" w:color="auto"/>
      </w:divBdr>
    </w:div>
    <w:div w:id="1393582623">
      <w:bodyDiv w:val="1"/>
      <w:marLeft w:val="0"/>
      <w:marRight w:val="0"/>
      <w:marTop w:val="0"/>
      <w:marBottom w:val="0"/>
      <w:divBdr>
        <w:top w:val="none" w:sz="0" w:space="0" w:color="auto"/>
        <w:left w:val="none" w:sz="0" w:space="0" w:color="auto"/>
        <w:bottom w:val="none" w:sz="0" w:space="0" w:color="auto"/>
        <w:right w:val="none" w:sz="0" w:space="0" w:color="auto"/>
      </w:divBdr>
    </w:div>
    <w:div w:id="1402872222">
      <w:bodyDiv w:val="1"/>
      <w:marLeft w:val="0"/>
      <w:marRight w:val="0"/>
      <w:marTop w:val="0"/>
      <w:marBottom w:val="0"/>
      <w:divBdr>
        <w:top w:val="none" w:sz="0" w:space="0" w:color="auto"/>
        <w:left w:val="none" w:sz="0" w:space="0" w:color="auto"/>
        <w:bottom w:val="none" w:sz="0" w:space="0" w:color="auto"/>
        <w:right w:val="none" w:sz="0" w:space="0" w:color="auto"/>
      </w:divBdr>
    </w:div>
    <w:div w:id="1408383402">
      <w:bodyDiv w:val="1"/>
      <w:marLeft w:val="0"/>
      <w:marRight w:val="0"/>
      <w:marTop w:val="0"/>
      <w:marBottom w:val="0"/>
      <w:divBdr>
        <w:top w:val="none" w:sz="0" w:space="0" w:color="auto"/>
        <w:left w:val="none" w:sz="0" w:space="0" w:color="auto"/>
        <w:bottom w:val="none" w:sz="0" w:space="0" w:color="auto"/>
        <w:right w:val="none" w:sz="0" w:space="0" w:color="auto"/>
      </w:divBdr>
    </w:div>
    <w:div w:id="1409882224">
      <w:bodyDiv w:val="1"/>
      <w:marLeft w:val="0"/>
      <w:marRight w:val="0"/>
      <w:marTop w:val="0"/>
      <w:marBottom w:val="0"/>
      <w:divBdr>
        <w:top w:val="none" w:sz="0" w:space="0" w:color="auto"/>
        <w:left w:val="none" w:sz="0" w:space="0" w:color="auto"/>
        <w:bottom w:val="none" w:sz="0" w:space="0" w:color="auto"/>
        <w:right w:val="none" w:sz="0" w:space="0" w:color="auto"/>
      </w:divBdr>
    </w:div>
    <w:div w:id="1421022479">
      <w:bodyDiv w:val="1"/>
      <w:marLeft w:val="0"/>
      <w:marRight w:val="0"/>
      <w:marTop w:val="0"/>
      <w:marBottom w:val="0"/>
      <w:divBdr>
        <w:top w:val="none" w:sz="0" w:space="0" w:color="auto"/>
        <w:left w:val="none" w:sz="0" w:space="0" w:color="auto"/>
        <w:bottom w:val="none" w:sz="0" w:space="0" w:color="auto"/>
        <w:right w:val="none" w:sz="0" w:space="0" w:color="auto"/>
      </w:divBdr>
    </w:div>
    <w:div w:id="1434982369">
      <w:bodyDiv w:val="1"/>
      <w:marLeft w:val="0"/>
      <w:marRight w:val="0"/>
      <w:marTop w:val="0"/>
      <w:marBottom w:val="0"/>
      <w:divBdr>
        <w:top w:val="none" w:sz="0" w:space="0" w:color="auto"/>
        <w:left w:val="none" w:sz="0" w:space="0" w:color="auto"/>
        <w:bottom w:val="none" w:sz="0" w:space="0" w:color="auto"/>
        <w:right w:val="none" w:sz="0" w:space="0" w:color="auto"/>
      </w:divBdr>
    </w:div>
    <w:div w:id="1435830896">
      <w:bodyDiv w:val="1"/>
      <w:marLeft w:val="0"/>
      <w:marRight w:val="0"/>
      <w:marTop w:val="0"/>
      <w:marBottom w:val="0"/>
      <w:divBdr>
        <w:top w:val="none" w:sz="0" w:space="0" w:color="auto"/>
        <w:left w:val="none" w:sz="0" w:space="0" w:color="auto"/>
        <w:bottom w:val="none" w:sz="0" w:space="0" w:color="auto"/>
        <w:right w:val="none" w:sz="0" w:space="0" w:color="auto"/>
      </w:divBdr>
    </w:div>
    <w:div w:id="1440176956">
      <w:bodyDiv w:val="1"/>
      <w:marLeft w:val="0"/>
      <w:marRight w:val="0"/>
      <w:marTop w:val="0"/>
      <w:marBottom w:val="0"/>
      <w:divBdr>
        <w:top w:val="none" w:sz="0" w:space="0" w:color="auto"/>
        <w:left w:val="none" w:sz="0" w:space="0" w:color="auto"/>
        <w:bottom w:val="none" w:sz="0" w:space="0" w:color="auto"/>
        <w:right w:val="none" w:sz="0" w:space="0" w:color="auto"/>
      </w:divBdr>
    </w:div>
    <w:div w:id="1449546859">
      <w:bodyDiv w:val="1"/>
      <w:marLeft w:val="0"/>
      <w:marRight w:val="0"/>
      <w:marTop w:val="0"/>
      <w:marBottom w:val="0"/>
      <w:divBdr>
        <w:top w:val="none" w:sz="0" w:space="0" w:color="auto"/>
        <w:left w:val="none" w:sz="0" w:space="0" w:color="auto"/>
        <w:bottom w:val="none" w:sz="0" w:space="0" w:color="auto"/>
        <w:right w:val="none" w:sz="0" w:space="0" w:color="auto"/>
      </w:divBdr>
    </w:div>
    <w:div w:id="1457215426">
      <w:bodyDiv w:val="1"/>
      <w:marLeft w:val="0"/>
      <w:marRight w:val="0"/>
      <w:marTop w:val="0"/>
      <w:marBottom w:val="0"/>
      <w:divBdr>
        <w:top w:val="none" w:sz="0" w:space="0" w:color="auto"/>
        <w:left w:val="none" w:sz="0" w:space="0" w:color="auto"/>
        <w:bottom w:val="none" w:sz="0" w:space="0" w:color="auto"/>
        <w:right w:val="none" w:sz="0" w:space="0" w:color="auto"/>
      </w:divBdr>
    </w:div>
    <w:div w:id="1463301470">
      <w:bodyDiv w:val="1"/>
      <w:marLeft w:val="0"/>
      <w:marRight w:val="0"/>
      <w:marTop w:val="0"/>
      <w:marBottom w:val="0"/>
      <w:divBdr>
        <w:top w:val="none" w:sz="0" w:space="0" w:color="auto"/>
        <w:left w:val="none" w:sz="0" w:space="0" w:color="auto"/>
        <w:bottom w:val="none" w:sz="0" w:space="0" w:color="auto"/>
        <w:right w:val="none" w:sz="0" w:space="0" w:color="auto"/>
      </w:divBdr>
    </w:div>
    <w:div w:id="1490634174">
      <w:bodyDiv w:val="1"/>
      <w:marLeft w:val="0"/>
      <w:marRight w:val="0"/>
      <w:marTop w:val="0"/>
      <w:marBottom w:val="0"/>
      <w:divBdr>
        <w:top w:val="none" w:sz="0" w:space="0" w:color="auto"/>
        <w:left w:val="none" w:sz="0" w:space="0" w:color="auto"/>
        <w:bottom w:val="none" w:sz="0" w:space="0" w:color="auto"/>
        <w:right w:val="none" w:sz="0" w:space="0" w:color="auto"/>
      </w:divBdr>
    </w:div>
    <w:div w:id="1500122437">
      <w:bodyDiv w:val="1"/>
      <w:marLeft w:val="0"/>
      <w:marRight w:val="0"/>
      <w:marTop w:val="0"/>
      <w:marBottom w:val="0"/>
      <w:divBdr>
        <w:top w:val="none" w:sz="0" w:space="0" w:color="auto"/>
        <w:left w:val="none" w:sz="0" w:space="0" w:color="auto"/>
        <w:bottom w:val="none" w:sz="0" w:space="0" w:color="auto"/>
        <w:right w:val="none" w:sz="0" w:space="0" w:color="auto"/>
      </w:divBdr>
    </w:div>
    <w:div w:id="1507210744">
      <w:bodyDiv w:val="1"/>
      <w:marLeft w:val="0"/>
      <w:marRight w:val="0"/>
      <w:marTop w:val="0"/>
      <w:marBottom w:val="0"/>
      <w:divBdr>
        <w:top w:val="none" w:sz="0" w:space="0" w:color="auto"/>
        <w:left w:val="none" w:sz="0" w:space="0" w:color="auto"/>
        <w:bottom w:val="none" w:sz="0" w:space="0" w:color="auto"/>
        <w:right w:val="none" w:sz="0" w:space="0" w:color="auto"/>
      </w:divBdr>
    </w:div>
    <w:div w:id="1529027753">
      <w:bodyDiv w:val="1"/>
      <w:marLeft w:val="0"/>
      <w:marRight w:val="0"/>
      <w:marTop w:val="0"/>
      <w:marBottom w:val="0"/>
      <w:divBdr>
        <w:top w:val="none" w:sz="0" w:space="0" w:color="auto"/>
        <w:left w:val="none" w:sz="0" w:space="0" w:color="auto"/>
        <w:bottom w:val="none" w:sz="0" w:space="0" w:color="auto"/>
        <w:right w:val="none" w:sz="0" w:space="0" w:color="auto"/>
      </w:divBdr>
    </w:div>
    <w:div w:id="1535925458">
      <w:bodyDiv w:val="1"/>
      <w:marLeft w:val="0"/>
      <w:marRight w:val="0"/>
      <w:marTop w:val="0"/>
      <w:marBottom w:val="0"/>
      <w:divBdr>
        <w:top w:val="none" w:sz="0" w:space="0" w:color="auto"/>
        <w:left w:val="none" w:sz="0" w:space="0" w:color="auto"/>
        <w:bottom w:val="none" w:sz="0" w:space="0" w:color="auto"/>
        <w:right w:val="none" w:sz="0" w:space="0" w:color="auto"/>
      </w:divBdr>
    </w:div>
    <w:div w:id="1543977103">
      <w:bodyDiv w:val="1"/>
      <w:marLeft w:val="0"/>
      <w:marRight w:val="0"/>
      <w:marTop w:val="0"/>
      <w:marBottom w:val="0"/>
      <w:divBdr>
        <w:top w:val="none" w:sz="0" w:space="0" w:color="auto"/>
        <w:left w:val="none" w:sz="0" w:space="0" w:color="auto"/>
        <w:bottom w:val="none" w:sz="0" w:space="0" w:color="auto"/>
        <w:right w:val="none" w:sz="0" w:space="0" w:color="auto"/>
      </w:divBdr>
    </w:div>
    <w:div w:id="1544899513">
      <w:bodyDiv w:val="1"/>
      <w:marLeft w:val="0"/>
      <w:marRight w:val="0"/>
      <w:marTop w:val="0"/>
      <w:marBottom w:val="0"/>
      <w:divBdr>
        <w:top w:val="none" w:sz="0" w:space="0" w:color="auto"/>
        <w:left w:val="none" w:sz="0" w:space="0" w:color="auto"/>
        <w:bottom w:val="none" w:sz="0" w:space="0" w:color="auto"/>
        <w:right w:val="none" w:sz="0" w:space="0" w:color="auto"/>
      </w:divBdr>
    </w:div>
    <w:div w:id="1547374074">
      <w:bodyDiv w:val="1"/>
      <w:marLeft w:val="0"/>
      <w:marRight w:val="0"/>
      <w:marTop w:val="0"/>
      <w:marBottom w:val="0"/>
      <w:divBdr>
        <w:top w:val="none" w:sz="0" w:space="0" w:color="auto"/>
        <w:left w:val="none" w:sz="0" w:space="0" w:color="auto"/>
        <w:bottom w:val="none" w:sz="0" w:space="0" w:color="auto"/>
        <w:right w:val="none" w:sz="0" w:space="0" w:color="auto"/>
      </w:divBdr>
    </w:div>
    <w:div w:id="1552958276">
      <w:bodyDiv w:val="1"/>
      <w:marLeft w:val="0"/>
      <w:marRight w:val="0"/>
      <w:marTop w:val="0"/>
      <w:marBottom w:val="0"/>
      <w:divBdr>
        <w:top w:val="none" w:sz="0" w:space="0" w:color="auto"/>
        <w:left w:val="none" w:sz="0" w:space="0" w:color="auto"/>
        <w:bottom w:val="none" w:sz="0" w:space="0" w:color="auto"/>
        <w:right w:val="none" w:sz="0" w:space="0" w:color="auto"/>
      </w:divBdr>
    </w:div>
    <w:div w:id="1560241885">
      <w:bodyDiv w:val="1"/>
      <w:marLeft w:val="0"/>
      <w:marRight w:val="0"/>
      <w:marTop w:val="0"/>
      <w:marBottom w:val="0"/>
      <w:divBdr>
        <w:top w:val="none" w:sz="0" w:space="0" w:color="auto"/>
        <w:left w:val="none" w:sz="0" w:space="0" w:color="auto"/>
        <w:bottom w:val="none" w:sz="0" w:space="0" w:color="auto"/>
        <w:right w:val="none" w:sz="0" w:space="0" w:color="auto"/>
      </w:divBdr>
    </w:div>
    <w:div w:id="1569152361">
      <w:bodyDiv w:val="1"/>
      <w:marLeft w:val="0"/>
      <w:marRight w:val="0"/>
      <w:marTop w:val="0"/>
      <w:marBottom w:val="0"/>
      <w:divBdr>
        <w:top w:val="none" w:sz="0" w:space="0" w:color="auto"/>
        <w:left w:val="none" w:sz="0" w:space="0" w:color="auto"/>
        <w:bottom w:val="none" w:sz="0" w:space="0" w:color="auto"/>
        <w:right w:val="none" w:sz="0" w:space="0" w:color="auto"/>
      </w:divBdr>
    </w:div>
    <w:div w:id="1574851760">
      <w:bodyDiv w:val="1"/>
      <w:marLeft w:val="0"/>
      <w:marRight w:val="0"/>
      <w:marTop w:val="0"/>
      <w:marBottom w:val="0"/>
      <w:divBdr>
        <w:top w:val="none" w:sz="0" w:space="0" w:color="auto"/>
        <w:left w:val="none" w:sz="0" w:space="0" w:color="auto"/>
        <w:bottom w:val="none" w:sz="0" w:space="0" w:color="auto"/>
        <w:right w:val="none" w:sz="0" w:space="0" w:color="auto"/>
      </w:divBdr>
    </w:div>
    <w:div w:id="1579826810">
      <w:bodyDiv w:val="1"/>
      <w:marLeft w:val="0"/>
      <w:marRight w:val="0"/>
      <w:marTop w:val="0"/>
      <w:marBottom w:val="0"/>
      <w:divBdr>
        <w:top w:val="none" w:sz="0" w:space="0" w:color="auto"/>
        <w:left w:val="none" w:sz="0" w:space="0" w:color="auto"/>
        <w:bottom w:val="none" w:sz="0" w:space="0" w:color="auto"/>
        <w:right w:val="none" w:sz="0" w:space="0" w:color="auto"/>
      </w:divBdr>
    </w:div>
    <w:div w:id="1589928601">
      <w:bodyDiv w:val="1"/>
      <w:marLeft w:val="0"/>
      <w:marRight w:val="0"/>
      <w:marTop w:val="0"/>
      <w:marBottom w:val="0"/>
      <w:divBdr>
        <w:top w:val="none" w:sz="0" w:space="0" w:color="auto"/>
        <w:left w:val="none" w:sz="0" w:space="0" w:color="auto"/>
        <w:bottom w:val="none" w:sz="0" w:space="0" w:color="auto"/>
        <w:right w:val="none" w:sz="0" w:space="0" w:color="auto"/>
      </w:divBdr>
    </w:div>
    <w:div w:id="1596480721">
      <w:bodyDiv w:val="1"/>
      <w:marLeft w:val="0"/>
      <w:marRight w:val="0"/>
      <w:marTop w:val="0"/>
      <w:marBottom w:val="0"/>
      <w:divBdr>
        <w:top w:val="none" w:sz="0" w:space="0" w:color="auto"/>
        <w:left w:val="none" w:sz="0" w:space="0" w:color="auto"/>
        <w:bottom w:val="none" w:sz="0" w:space="0" w:color="auto"/>
        <w:right w:val="none" w:sz="0" w:space="0" w:color="auto"/>
      </w:divBdr>
    </w:div>
    <w:div w:id="1597127857">
      <w:bodyDiv w:val="1"/>
      <w:marLeft w:val="0"/>
      <w:marRight w:val="0"/>
      <w:marTop w:val="0"/>
      <w:marBottom w:val="0"/>
      <w:divBdr>
        <w:top w:val="none" w:sz="0" w:space="0" w:color="auto"/>
        <w:left w:val="none" w:sz="0" w:space="0" w:color="auto"/>
        <w:bottom w:val="none" w:sz="0" w:space="0" w:color="auto"/>
        <w:right w:val="none" w:sz="0" w:space="0" w:color="auto"/>
      </w:divBdr>
    </w:div>
    <w:div w:id="1598324449">
      <w:bodyDiv w:val="1"/>
      <w:marLeft w:val="0"/>
      <w:marRight w:val="0"/>
      <w:marTop w:val="0"/>
      <w:marBottom w:val="0"/>
      <w:divBdr>
        <w:top w:val="none" w:sz="0" w:space="0" w:color="auto"/>
        <w:left w:val="none" w:sz="0" w:space="0" w:color="auto"/>
        <w:bottom w:val="none" w:sz="0" w:space="0" w:color="auto"/>
        <w:right w:val="none" w:sz="0" w:space="0" w:color="auto"/>
      </w:divBdr>
    </w:div>
    <w:div w:id="1598445554">
      <w:bodyDiv w:val="1"/>
      <w:marLeft w:val="0"/>
      <w:marRight w:val="0"/>
      <w:marTop w:val="0"/>
      <w:marBottom w:val="0"/>
      <w:divBdr>
        <w:top w:val="none" w:sz="0" w:space="0" w:color="auto"/>
        <w:left w:val="none" w:sz="0" w:space="0" w:color="auto"/>
        <w:bottom w:val="none" w:sz="0" w:space="0" w:color="auto"/>
        <w:right w:val="none" w:sz="0" w:space="0" w:color="auto"/>
      </w:divBdr>
    </w:div>
    <w:div w:id="1606385300">
      <w:bodyDiv w:val="1"/>
      <w:marLeft w:val="0"/>
      <w:marRight w:val="0"/>
      <w:marTop w:val="0"/>
      <w:marBottom w:val="0"/>
      <w:divBdr>
        <w:top w:val="none" w:sz="0" w:space="0" w:color="auto"/>
        <w:left w:val="none" w:sz="0" w:space="0" w:color="auto"/>
        <w:bottom w:val="none" w:sz="0" w:space="0" w:color="auto"/>
        <w:right w:val="none" w:sz="0" w:space="0" w:color="auto"/>
      </w:divBdr>
    </w:div>
    <w:div w:id="1607156731">
      <w:bodyDiv w:val="1"/>
      <w:marLeft w:val="0"/>
      <w:marRight w:val="0"/>
      <w:marTop w:val="0"/>
      <w:marBottom w:val="0"/>
      <w:divBdr>
        <w:top w:val="none" w:sz="0" w:space="0" w:color="auto"/>
        <w:left w:val="none" w:sz="0" w:space="0" w:color="auto"/>
        <w:bottom w:val="none" w:sz="0" w:space="0" w:color="auto"/>
        <w:right w:val="none" w:sz="0" w:space="0" w:color="auto"/>
      </w:divBdr>
    </w:div>
    <w:div w:id="1619020286">
      <w:bodyDiv w:val="1"/>
      <w:marLeft w:val="0"/>
      <w:marRight w:val="0"/>
      <w:marTop w:val="0"/>
      <w:marBottom w:val="0"/>
      <w:divBdr>
        <w:top w:val="none" w:sz="0" w:space="0" w:color="auto"/>
        <w:left w:val="none" w:sz="0" w:space="0" w:color="auto"/>
        <w:bottom w:val="none" w:sz="0" w:space="0" w:color="auto"/>
        <w:right w:val="none" w:sz="0" w:space="0" w:color="auto"/>
      </w:divBdr>
    </w:div>
    <w:div w:id="1620139344">
      <w:bodyDiv w:val="1"/>
      <w:marLeft w:val="0"/>
      <w:marRight w:val="0"/>
      <w:marTop w:val="0"/>
      <w:marBottom w:val="0"/>
      <w:divBdr>
        <w:top w:val="none" w:sz="0" w:space="0" w:color="auto"/>
        <w:left w:val="none" w:sz="0" w:space="0" w:color="auto"/>
        <w:bottom w:val="none" w:sz="0" w:space="0" w:color="auto"/>
        <w:right w:val="none" w:sz="0" w:space="0" w:color="auto"/>
      </w:divBdr>
    </w:div>
    <w:div w:id="1623222035">
      <w:bodyDiv w:val="1"/>
      <w:marLeft w:val="0"/>
      <w:marRight w:val="0"/>
      <w:marTop w:val="0"/>
      <w:marBottom w:val="0"/>
      <w:divBdr>
        <w:top w:val="none" w:sz="0" w:space="0" w:color="auto"/>
        <w:left w:val="none" w:sz="0" w:space="0" w:color="auto"/>
        <w:bottom w:val="none" w:sz="0" w:space="0" w:color="auto"/>
        <w:right w:val="none" w:sz="0" w:space="0" w:color="auto"/>
      </w:divBdr>
    </w:div>
    <w:div w:id="1639804237">
      <w:bodyDiv w:val="1"/>
      <w:marLeft w:val="0"/>
      <w:marRight w:val="0"/>
      <w:marTop w:val="0"/>
      <w:marBottom w:val="0"/>
      <w:divBdr>
        <w:top w:val="none" w:sz="0" w:space="0" w:color="auto"/>
        <w:left w:val="none" w:sz="0" w:space="0" w:color="auto"/>
        <w:bottom w:val="none" w:sz="0" w:space="0" w:color="auto"/>
        <w:right w:val="none" w:sz="0" w:space="0" w:color="auto"/>
      </w:divBdr>
    </w:div>
    <w:div w:id="1643928603">
      <w:bodyDiv w:val="1"/>
      <w:marLeft w:val="0"/>
      <w:marRight w:val="0"/>
      <w:marTop w:val="0"/>
      <w:marBottom w:val="0"/>
      <w:divBdr>
        <w:top w:val="none" w:sz="0" w:space="0" w:color="auto"/>
        <w:left w:val="none" w:sz="0" w:space="0" w:color="auto"/>
        <w:bottom w:val="none" w:sz="0" w:space="0" w:color="auto"/>
        <w:right w:val="none" w:sz="0" w:space="0" w:color="auto"/>
      </w:divBdr>
    </w:div>
    <w:div w:id="1654487400">
      <w:bodyDiv w:val="1"/>
      <w:marLeft w:val="0"/>
      <w:marRight w:val="0"/>
      <w:marTop w:val="0"/>
      <w:marBottom w:val="0"/>
      <w:divBdr>
        <w:top w:val="none" w:sz="0" w:space="0" w:color="auto"/>
        <w:left w:val="none" w:sz="0" w:space="0" w:color="auto"/>
        <w:bottom w:val="none" w:sz="0" w:space="0" w:color="auto"/>
        <w:right w:val="none" w:sz="0" w:space="0" w:color="auto"/>
      </w:divBdr>
    </w:div>
    <w:div w:id="1659531768">
      <w:bodyDiv w:val="1"/>
      <w:marLeft w:val="0"/>
      <w:marRight w:val="0"/>
      <w:marTop w:val="0"/>
      <w:marBottom w:val="0"/>
      <w:divBdr>
        <w:top w:val="none" w:sz="0" w:space="0" w:color="auto"/>
        <w:left w:val="none" w:sz="0" w:space="0" w:color="auto"/>
        <w:bottom w:val="none" w:sz="0" w:space="0" w:color="auto"/>
        <w:right w:val="none" w:sz="0" w:space="0" w:color="auto"/>
      </w:divBdr>
    </w:div>
    <w:div w:id="1662194445">
      <w:bodyDiv w:val="1"/>
      <w:marLeft w:val="0"/>
      <w:marRight w:val="0"/>
      <w:marTop w:val="0"/>
      <w:marBottom w:val="0"/>
      <w:divBdr>
        <w:top w:val="none" w:sz="0" w:space="0" w:color="auto"/>
        <w:left w:val="none" w:sz="0" w:space="0" w:color="auto"/>
        <w:bottom w:val="none" w:sz="0" w:space="0" w:color="auto"/>
        <w:right w:val="none" w:sz="0" w:space="0" w:color="auto"/>
      </w:divBdr>
    </w:div>
    <w:div w:id="1667978486">
      <w:bodyDiv w:val="1"/>
      <w:marLeft w:val="0"/>
      <w:marRight w:val="0"/>
      <w:marTop w:val="0"/>
      <w:marBottom w:val="0"/>
      <w:divBdr>
        <w:top w:val="none" w:sz="0" w:space="0" w:color="auto"/>
        <w:left w:val="none" w:sz="0" w:space="0" w:color="auto"/>
        <w:bottom w:val="none" w:sz="0" w:space="0" w:color="auto"/>
        <w:right w:val="none" w:sz="0" w:space="0" w:color="auto"/>
      </w:divBdr>
    </w:div>
    <w:div w:id="1670282757">
      <w:bodyDiv w:val="1"/>
      <w:marLeft w:val="0"/>
      <w:marRight w:val="0"/>
      <w:marTop w:val="0"/>
      <w:marBottom w:val="0"/>
      <w:divBdr>
        <w:top w:val="none" w:sz="0" w:space="0" w:color="auto"/>
        <w:left w:val="none" w:sz="0" w:space="0" w:color="auto"/>
        <w:bottom w:val="none" w:sz="0" w:space="0" w:color="auto"/>
        <w:right w:val="none" w:sz="0" w:space="0" w:color="auto"/>
      </w:divBdr>
    </w:div>
    <w:div w:id="1678924093">
      <w:bodyDiv w:val="1"/>
      <w:marLeft w:val="0"/>
      <w:marRight w:val="0"/>
      <w:marTop w:val="0"/>
      <w:marBottom w:val="0"/>
      <w:divBdr>
        <w:top w:val="none" w:sz="0" w:space="0" w:color="auto"/>
        <w:left w:val="none" w:sz="0" w:space="0" w:color="auto"/>
        <w:bottom w:val="none" w:sz="0" w:space="0" w:color="auto"/>
        <w:right w:val="none" w:sz="0" w:space="0" w:color="auto"/>
      </w:divBdr>
    </w:div>
    <w:div w:id="1693409739">
      <w:bodyDiv w:val="1"/>
      <w:marLeft w:val="0"/>
      <w:marRight w:val="0"/>
      <w:marTop w:val="0"/>
      <w:marBottom w:val="0"/>
      <w:divBdr>
        <w:top w:val="none" w:sz="0" w:space="0" w:color="auto"/>
        <w:left w:val="none" w:sz="0" w:space="0" w:color="auto"/>
        <w:bottom w:val="none" w:sz="0" w:space="0" w:color="auto"/>
        <w:right w:val="none" w:sz="0" w:space="0" w:color="auto"/>
      </w:divBdr>
    </w:div>
    <w:div w:id="1713074982">
      <w:bodyDiv w:val="1"/>
      <w:marLeft w:val="0"/>
      <w:marRight w:val="0"/>
      <w:marTop w:val="0"/>
      <w:marBottom w:val="0"/>
      <w:divBdr>
        <w:top w:val="none" w:sz="0" w:space="0" w:color="auto"/>
        <w:left w:val="none" w:sz="0" w:space="0" w:color="auto"/>
        <w:bottom w:val="none" w:sz="0" w:space="0" w:color="auto"/>
        <w:right w:val="none" w:sz="0" w:space="0" w:color="auto"/>
      </w:divBdr>
    </w:div>
    <w:div w:id="1715277303">
      <w:bodyDiv w:val="1"/>
      <w:marLeft w:val="0"/>
      <w:marRight w:val="0"/>
      <w:marTop w:val="0"/>
      <w:marBottom w:val="0"/>
      <w:divBdr>
        <w:top w:val="none" w:sz="0" w:space="0" w:color="auto"/>
        <w:left w:val="none" w:sz="0" w:space="0" w:color="auto"/>
        <w:bottom w:val="none" w:sz="0" w:space="0" w:color="auto"/>
        <w:right w:val="none" w:sz="0" w:space="0" w:color="auto"/>
      </w:divBdr>
    </w:div>
    <w:div w:id="1716084201">
      <w:bodyDiv w:val="1"/>
      <w:marLeft w:val="0"/>
      <w:marRight w:val="0"/>
      <w:marTop w:val="0"/>
      <w:marBottom w:val="0"/>
      <w:divBdr>
        <w:top w:val="none" w:sz="0" w:space="0" w:color="auto"/>
        <w:left w:val="none" w:sz="0" w:space="0" w:color="auto"/>
        <w:bottom w:val="none" w:sz="0" w:space="0" w:color="auto"/>
        <w:right w:val="none" w:sz="0" w:space="0" w:color="auto"/>
      </w:divBdr>
    </w:div>
    <w:div w:id="1725448550">
      <w:bodyDiv w:val="1"/>
      <w:marLeft w:val="0"/>
      <w:marRight w:val="0"/>
      <w:marTop w:val="0"/>
      <w:marBottom w:val="0"/>
      <w:divBdr>
        <w:top w:val="none" w:sz="0" w:space="0" w:color="auto"/>
        <w:left w:val="none" w:sz="0" w:space="0" w:color="auto"/>
        <w:bottom w:val="none" w:sz="0" w:space="0" w:color="auto"/>
        <w:right w:val="none" w:sz="0" w:space="0" w:color="auto"/>
      </w:divBdr>
    </w:div>
    <w:div w:id="1730229531">
      <w:bodyDiv w:val="1"/>
      <w:marLeft w:val="0"/>
      <w:marRight w:val="0"/>
      <w:marTop w:val="0"/>
      <w:marBottom w:val="0"/>
      <w:divBdr>
        <w:top w:val="none" w:sz="0" w:space="0" w:color="auto"/>
        <w:left w:val="none" w:sz="0" w:space="0" w:color="auto"/>
        <w:bottom w:val="none" w:sz="0" w:space="0" w:color="auto"/>
        <w:right w:val="none" w:sz="0" w:space="0" w:color="auto"/>
      </w:divBdr>
    </w:div>
    <w:div w:id="1743481618">
      <w:bodyDiv w:val="1"/>
      <w:marLeft w:val="0"/>
      <w:marRight w:val="0"/>
      <w:marTop w:val="0"/>
      <w:marBottom w:val="0"/>
      <w:divBdr>
        <w:top w:val="none" w:sz="0" w:space="0" w:color="auto"/>
        <w:left w:val="none" w:sz="0" w:space="0" w:color="auto"/>
        <w:bottom w:val="none" w:sz="0" w:space="0" w:color="auto"/>
        <w:right w:val="none" w:sz="0" w:space="0" w:color="auto"/>
      </w:divBdr>
    </w:div>
    <w:div w:id="1746293857">
      <w:bodyDiv w:val="1"/>
      <w:marLeft w:val="0"/>
      <w:marRight w:val="0"/>
      <w:marTop w:val="0"/>
      <w:marBottom w:val="0"/>
      <w:divBdr>
        <w:top w:val="none" w:sz="0" w:space="0" w:color="auto"/>
        <w:left w:val="none" w:sz="0" w:space="0" w:color="auto"/>
        <w:bottom w:val="none" w:sz="0" w:space="0" w:color="auto"/>
        <w:right w:val="none" w:sz="0" w:space="0" w:color="auto"/>
      </w:divBdr>
    </w:div>
    <w:div w:id="1762219886">
      <w:bodyDiv w:val="1"/>
      <w:marLeft w:val="0"/>
      <w:marRight w:val="0"/>
      <w:marTop w:val="0"/>
      <w:marBottom w:val="0"/>
      <w:divBdr>
        <w:top w:val="none" w:sz="0" w:space="0" w:color="auto"/>
        <w:left w:val="none" w:sz="0" w:space="0" w:color="auto"/>
        <w:bottom w:val="none" w:sz="0" w:space="0" w:color="auto"/>
        <w:right w:val="none" w:sz="0" w:space="0" w:color="auto"/>
      </w:divBdr>
    </w:div>
    <w:div w:id="1765104419">
      <w:bodyDiv w:val="1"/>
      <w:marLeft w:val="0"/>
      <w:marRight w:val="0"/>
      <w:marTop w:val="0"/>
      <w:marBottom w:val="0"/>
      <w:divBdr>
        <w:top w:val="none" w:sz="0" w:space="0" w:color="auto"/>
        <w:left w:val="none" w:sz="0" w:space="0" w:color="auto"/>
        <w:bottom w:val="none" w:sz="0" w:space="0" w:color="auto"/>
        <w:right w:val="none" w:sz="0" w:space="0" w:color="auto"/>
      </w:divBdr>
    </w:div>
    <w:div w:id="1765416840">
      <w:bodyDiv w:val="1"/>
      <w:marLeft w:val="0"/>
      <w:marRight w:val="0"/>
      <w:marTop w:val="0"/>
      <w:marBottom w:val="0"/>
      <w:divBdr>
        <w:top w:val="none" w:sz="0" w:space="0" w:color="auto"/>
        <w:left w:val="none" w:sz="0" w:space="0" w:color="auto"/>
        <w:bottom w:val="none" w:sz="0" w:space="0" w:color="auto"/>
        <w:right w:val="none" w:sz="0" w:space="0" w:color="auto"/>
      </w:divBdr>
    </w:div>
    <w:div w:id="1766881977">
      <w:bodyDiv w:val="1"/>
      <w:marLeft w:val="0"/>
      <w:marRight w:val="0"/>
      <w:marTop w:val="0"/>
      <w:marBottom w:val="0"/>
      <w:divBdr>
        <w:top w:val="none" w:sz="0" w:space="0" w:color="auto"/>
        <w:left w:val="none" w:sz="0" w:space="0" w:color="auto"/>
        <w:bottom w:val="none" w:sz="0" w:space="0" w:color="auto"/>
        <w:right w:val="none" w:sz="0" w:space="0" w:color="auto"/>
      </w:divBdr>
    </w:div>
    <w:div w:id="1772966283">
      <w:bodyDiv w:val="1"/>
      <w:marLeft w:val="0"/>
      <w:marRight w:val="0"/>
      <w:marTop w:val="0"/>
      <w:marBottom w:val="0"/>
      <w:divBdr>
        <w:top w:val="none" w:sz="0" w:space="0" w:color="auto"/>
        <w:left w:val="none" w:sz="0" w:space="0" w:color="auto"/>
        <w:bottom w:val="none" w:sz="0" w:space="0" w:color="auto"/>
        <w:right w:val="none" w:sz="0" w:space="0" w:color="auto"/>
      </w:divBdr>
    </w:div>
    <w:div w:id="1778599290">
      <w:bodyDiv w:val="1"/>
      <w:marLeft w:val="0"/>
      <w:marRight w:val="0"/>
      <w:marTop w:val="0"/>
      <w:marBottom w:val="0"/>
      <w:divBdr>
        <w:top w:val="none" w:sz="0" w:space="0" w:color="auto"/>
        <w:left w:val="none" w:sz="0" w:space="0" w:color="auto"/>
        <w:bottom w:val="none" w:sz="0" w:space="0" w:color="auto"/>
        <w:right w:val="none" w:sz="0" w:space="0" w:color="auto"/>
      </w:divBdr>
    </w:div>
    <w:div w:id="1782187344">
      <w:bodyDiv w:val="1"/>
      <w:marLeft w:val="0"/>
      <w:marRight w:val="0"/>
      <w:marTop w:val="0"/>
      <w:marBottom w:val="0"/>
      <w:divBdr>
        <w:top w:val="none" w:sz="0" w:space="0" w:color="auto"/>
        <w:left w:val="none" w:sz="0" w:space="0" w:color="auto"/>
        <w:bottom w:val="none" w:sz="0" w:space="0" w:color="auto"/>
        <w:right w:val="none" w:sz="0" w:space="0" w:color="auto"/>
      </w:divBdr>
    </w:div>
    <w:div w:id="1786267939">
      <w:bodyDiv w:val="1"/>
      <w:marLeft w:val="0"/>
      <w:marRight w:val="0"/>
      <w:marTop w:val="0"/>
      <w:marBottom w:val="0"/>
      <w:divBdr>
        <w:top w:val="none" w:sz="0" w:space="0" w:color="auto"/>
        <w:left w:val="none" w:sz="0" w:space="0" w:color="auto"/>
        <w:bottom w:val="none" w:sz="0" w:space="0" w:color="auto"/>
        <w:right w:val="none" w:sz="0" w:space="0" w:color="auto"/>
      </w:divBdr>
    </w:div>
    <w:div w:id="1791513764">
      <w:bodyDiv w:val="1"/>
      <w:marLeft w:val="0"/>
      <w:marRight w:val="0"/>
      <w:marTop w:val="0"/>
      <w:marBottom w:val="0"/>
      <w:divBdr>
        <w:top w:val="none" w:sz="0" w:space="0" w:color="auto"/>
        <w:left w:val="none" w:sz="0" w:space="0" w:color="auto"/>
        <w:bottom w:val="none" w:sz="0" w:space="0" w:color="auto"/>
        <w:right w:val="none" w:sz="0" w:space="0" w:color="auto"/>
      </w:divBdr>
    </w:div>
    <w:div w:id="1792741976">
      <w:bodyDiv w:val="1"/>
      <w:marLeft w:val="0"/>
      <w:marRight w:val="0"/>
      <w:marTop w:val="0"/>
      <w:marBottom w:val="0"/>
      <w:divBdr>
        <w:top w:val="none" w:sz="0" w:space="0" w:color="auto"/>
        <w:left w:val="none" w:sz="0" w:space="0" w:color="auto"/>
        <w:bottom w:val="none" w:sz="0" w:space="0" w:color="auto"/>
        <w:right w:val="none" w:sz="0" w:space="0" w:color="auto"/>
      </w:divBdr>
    </w:div>
    <w:div w:id="1795244354">
      <w:bodyDiv w:val="1"/>
      <w:marLeft w:val="0"/>
      <w:marRight w:val="0"/>
      <w:marTop w:val="0"/>
      <w:marBottom w:val="0"/>
      <w:divBdr>
        <w:top w:val="none" w:sz="0" w:space="0" w:color="auto"/>
        <w:left w:val="none" w:sz="0" w:space="0" w:color="auto"/>
        <w:bottom w:val="none" w:sz="0" w:space="0" w:color="auto"/>
        <w:right w:val="none" w:sz="0" w:space="0" w:color="auto"/>
      </w:divBdr>
    </w:div>
    <w:div w:id="1798524409">
      <w:bodyDiv w:val="1"/>
      <w:marLeft w:val="0"/>
      <w:marRight w:val="0"/>
      <w:marTop w:val="0"/>
      <w:marBottom w:val="0"/>
      <w:divBdr>
        <w:top w:val="none" w:sz="0" w:space="0" w:color="auto"/>
        <w:left w:val="none" w:sz="0" w:space="0" w:color="auto"/>
        <w:bottom w:val="none" w:sz="0" w:space="0" w:color="auto"/>
        <w:right w:val="none" w:sz="0" w:space="0" w:color="auto"/>
      </w:divBdr>
    </w:div>
    <w:div w:id="1830443000">
      <w:bodyDiv w:val="1"/>
      <w:marLeft w:val="0"/>
      <w:marRight w:val="0"/>
      <w:marTop w:val="0"/>
      <w:marBottom w:val="0"/>
      <w:divBdr>
        <w:top w:val="none" w:sz="0" w:space="0" w:color="auto"/>
        <w:left w:val="none" w:sz="0" w:space="0" w:color="auto"/>
        <w:bottom w:val="none" w:sz="0" w:space="0" w:color="auto"/>
        <w:right w:val="none" w:sz="0" w:space="0" w:color="auto"/>
      </w:divBdr>
    </w:div>
    <w:div w:id="1846826586">
      <w:bodyDiv w:val="1"/>
      <w:marLeft w:val="0"/>
      <w:marRight w:val="0"/>
      <w:marTop w:val="0"/>
      <w:marBottom w:val="0"/>
      <w:divBdr>
        <w:top w:val="none" w:sz="0" w:space="0" w:color="auto"/>
        <w:left w:val="none" w:sz="0" w:space="0" w:color="auto"/>
        <w:bottom w:val="none" w:sz="0" w:space="0" w:color="auto"/>
        <w:right w:val="none" w:sz="0" w:space="0" w:color="auto"/>
      </w:divBdr>
    </w:div>
    <w:div w:id="1847937465">
      <w:bodyDiv w:val="1"/>
      <w:marLeft w:val="0"/>
      <w:marRight w:val="0"/>
      <w:marTop w:val="0"/>
      <w:marBottom w:val="0"/>
      <w:divBdr>
        <w:top w:val="none" w:sz="0" w:space="0" w:color="auto"/>
        <w:left w:val="none" w:sz="0" w:space="0" w:color="auto"/>
        <w:bottom w:val="none" w:sz="0" w:space="0" w:color="auto"/>
        <w:right w:val="none" w:sz="0" w:space="0" w:color="auto"/>
      </w:divBdr>
    </w:div>
    <w:div w:id="1862012889">
      <w:bodyDiv w:val="1"/>
      <w:marLeft w:val="0"/>
      <w:marRight w:val="0"/>
      <w:marTop w:val="0"/>
      <w:marBottom w:val="0"/>
      <w:divBdr>
        <w:top w:val="none" w:sz="0" w:space="0" w:color="auto"/>
        <w:left w:val="none" w:sz="0" w:space="0" w:color="auto"/>
        <w:bottom w:val="none" w:sz="0" w:space="0" w:color="auto"/>
        <w:right w:val="none" w:sz="0" w:space="0" w:color="auto"/>
      </w:divBdr>
    </w:div>
    <w:div w:id="1883129140">
      <w:bodyDiv w:val="1"/>
      <w:marLeft w:val="0"/>
      <w:marRight w:val="0"/>
      <w:marTop w:val="0"/>
      <w:marBottom w:val="0"/>
      <w:divBdr>
        <w:top w:val="none" w:sz="0" w:space="0" w:color="auto"/>
        <w:left w:val="none" w:sz="0" w:space="0" w:color="auto"/>
        <w:bottom w:val="none" w:sz="0" w:space="0" w:color="auto"/>
        <w:right w:val="none" w:sz="0" w:space="0" w:color="auto"/>
      </w:divBdr>
    </w:div>
    <w:div w:id="1894387224">
      <w:bodyDiv w:val="1"/>
      <w:marLeft w:val="0"/>
      <w:marRight w:val="0"/>
      <w:marTop w:val="0"/>
      <w:marBottom w:val="0"/>
      <w:divBdr>
        <w:top w:val="none" w:sz="0" w:space="0" w:color="auto"/>
        <w:left w:val="none" w:sz="0" w:space="0" w:color="auto"/>
        <w:bottom w:val="none" w:sz="0" w:space="0" w:color="auto"/>
        <w:right w:val="none" w:sz="0" w:space="0" w:color="auto"/>
      </w:divBdr>
    </w:div>
    <w:div w:id="1903707889">
      <w:bodyDiv w:val="1"/>
      <w:marLeft w:val="0"/>
      <w:marRight w:val="0"/>
      <w:marTop w:val="0"/>
      <w:marBottom w:val="0"/>
      <w:divBdr>
        <w:top w:val="none" w:sz="0" w:space="0" w:color="auto"/>
        <w:left w:val="none" w:sz="0" w:space="0" w:color="auto"/>
        <w:bottom w:val="none" w:sz="0" w:space="0" w:color="auto"/>
        <w:right w:val="none" w:sz="0" w:space="0" w:color="auto"/>
      </w:divBdr>
    </w:div>
    <w:div w:id="1904826123">
      <w:bodyDiv w:val="1"/>
      <w:marLeft w:val="0"/>
      <w:marRight w:val="0"/>
      <w:marTop w:val="0"/>
      <w:marBottom w:val="0"/>
      <w:divBdr>
        <w:top w:val="none" w:sz="0" w:space="0" w:color="auto"/>
        <w:left w:val="none" w:sz="0" w:space="0" w:color="auto"/>
        <w:bottom w:val="none" w:sz="0" w:space="0" w:color="auto"/>
        <w:right w:val="none" w:sz="0" w:space="0" w:color="auto"/>
      </w:divBdr>
    </w:div>
    <w:div w:id="1907183672">
      <w:bodyDiv w:val="1"/>
      <w:marLeft w:val="0"/>
      <w:marRight w:val="0"/>
      <w:marTop w:val="0"/>
      <w:marBottom w:val="0"/>
      <w:divBdr>
        <w:top w:val="none" w:sz="0" w:space="0" w:color="auto"/>
        <w:left w:val="none" w:sz="0" w:space="0" w:color="auto"/>
        <w:bottom w:val="none" w:sz="0" w:space="0" w:color="auto"/>
        <w:right w:val="none" w:sz="0" w:space="0" w:color="auto"/>
      </w:divBdr>
    </w:div>
    <w:div w:id="1929850767">
      <w:bodyDiv w:val="1"/>
      <w:marLeft w:val="0"/>
      <w:marRight w:val="0"/>
      <w:marTop w:val="0"/>
      <w:marBottom w:val="0"/>
      <w:divBdr>
        <w:top w:val="none" w:sz="0" w:space="0" w:color="auto"/>
        <w:left w:val="none" w:sz="0" w:space="0" w:color="auto"/>
        <w:bottom w:val="none" w:sz="0" w:space="0" w:color="auto"/>
        <w:right w:val="none" w:sz="0" w:space="0" w:color="auto"/>
      </w:divBdr>
    </w:div>
    <w:div w:id="1956129659">
      <w:bodyDiv w:val="1"/>
      <w:marLeft w:val="0"/>
      <w:marRight w:val="0"/>
      <w:marTop w:val="0"/>
      <w:marBottom w:val="0"/>
      <w:divBdr>
        <w:top w:val="none" w:sz="0" w:space="0" w:color="auto"/>
        <w:left w:val="none" w:sz="0" w:space="0" w:color="auto"/>
        <w:bottom w:val="none" w:sz="0" w:space="0" w:color="auto"/>
        <w:right w:val="none" w:sz="0" w:space="0" w:color="auto"/>
      </w:divBdr>
    </w:div>
    <w:div w:id="1958366163">
      <w:bodyDiv w:val="1"/>
      <w:marLeft w:val="0"/>
      <w:marRight w:val="0"/>
      <w:marTop w:val="0"/>
      <w:marBottom w:val="0"/>
      <w:divBdr>
        <w:top w:val="none" w:sz="0" w:space="0" w:color="auto"/>
        <w:left w:val="none" w:sz="0" w:space="0" w:color="auto"/>
        <w:bottom w:val="none" w:sz="0" w:space="0" w:color="auto"/>
        <w:right w:val="none" w:sz="0" w:space="0" w:color="auto"/>
      </w:divBdr>
    </w:div>
    <w:div w:id="1966740187">
      <w:bodyDiv w:val="1"/>
      <w:marLeft w:val="0"/>
      <w:marRight w:val="0"/>
      <w:marTop w:val="0"/>
      <w:marBottom w:val="0"/>
      <w:divBdr>
        <w:top w:val="none" w:sz="0" w:space="0" w:color="auto"/>
        <w:left w:val="none" w:sz="0" w:space="0" w:color="auto"/>
        <w:bottom w:val="none" w:sz="0" w:space="0" w:color="auto"/>
        <w:right w:val="none" w:sz="0" w:space="0" w:color="auto"/>
      </w:divBdr>
    </w:div>
    <w:div w:id="1966891448">
      <w:bodyDiv w:val="1"/>
      <w:marLeft w:val="0"/>
      <w:marRight w:val="0"/>
      <w:marTop w:val="0"/>
      <w:marBottom w:val="0"/>
      <w:divBdr>
        <w:top w:val="none" w:sz="0" w:space="0" w:color="auto"/>
        <w:left w:val="none" w:sz="0" w:space="0" w:color="auto"/>
        <w:bottom w:val="none" w:sz="0" w:space="0" w:color="auto"/>
        <w:right w:val="none" w:sz="0" w:space="0" w:color="auto"/>
      </w:divBdr>
    </w:div>
    <w:div w:id="1977753783">
      <w:bodyDiv w:val="1"/>
      <w:marLeft w:val="0"/>
      <w:marRight w:val="0"/>
      <w:marTop w:val="0"/>
      <w:marBottom w:val="0"/>
      <w:divBdr>
        <w:top w:val="none" w:sz="0" w:space="0" w:color="auto"/>
        <w:left w:val="none" w:sz="0" w:space="0" w:color="auto"/>
        <w:bottom w:val="none" w:sz="0" w:space="0" w:color="auto"/>
        <w:right w:val="none" w:sz="0" w:space="0" w:color="auto"/>
      </w:divBdr>
    </w:div>
    <w:div w:id="1984117179">
      <w:bodyDiv w:val="1"/>
      <w:marLeft w:val="0"/>
      <w:marRight w:val="0"/>
      <w:marTop w:val="0"/>
      <w:marBottom w:val="0"/>
      <w:divBdr>
        <w:top w:val="none" w:sz="0" w:space="0" w:color="auto"/>
        <w:left w:val="none" w:sz="0" w:space="0" w:color="auto"/>
        <w:bottom w:val="none" w:sz="0" w:space="0" w:color="auto"/>
        <w:right w:val="none" w:sz="0" w:space="0" w:color="auto"/>
      </w:divBdr>
    </w:div>
    <w:div w:id="1985113561">
      <w:bodyDiv w:val="1"/>
      <w:marLeft w:val="0"/>
      <w:marRight w:val="0"/>
      <w:marTop w:val="0"/>
      <w:marBottom w:val="0"/>
      <w:divBdr>
        <w:top w:val="none" w:sz="0" w:space="0" w:color="auto"/>
        <w:left w:val="none" w:sz="0" w:space="0" w:color="auto"/>
        <w:bottom w:val="none" w:sz="0" w:space="0" w:color="auto"/>
        <w:right w:val="none" w:sz="0" w:space="0" w:color="auto"/>
      </w:divBdr>
    </w:div>
    <w:div w:id="1991709351">
      <w:bodyDiv w:val="1"/>
      <w:marLeft w:val="0"/>
      <w:marRight w:val="0"/>
      <w:marTop w:val="0"/>
      <w:marBottom w:val="0"/>
      <w:divBdr>
        <w:top w:val="none" w:sz="0" w:space="0" w:color="auto"/>
        <w:left w:val="none" w:sz="0" w:space="0" w:color="auto"/>
        <w:bottom w:val="none" w:sz="0" w:space="0" w:color="auto"/>
        <w:right w:val="none" w:sz="0" w:space="0" w:color="auto"/>
      </w:divBdr>
    </w:div>
    <w:div w:id="1992320411">
      <w:bodyDiv w:val="1"/>
      <w:marLeft w:val="0"/>
      <w:marRight w:val="0"/>
      <w:marTop w:val="0"/>
      <w:marBottom w:val="0"/>
      <w:divBdr>
        <w:top w:val="none" w:sz="0" w:space="0" w:color="auto"/>
        <w:left w:val="none" w:sz="0" w:space="0" w:color="auto"/>
        <w:bottom w:val="none" w:sz="0" w:space="0" w:color="auto"/>
        <w:right w:val="none" w:sz="0" w:space="0" w:color="auto"/>
      </w:divBdr>
    </w:div>
    <w:div w:id="2003921705">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53382378">
      <w:bodyDiv w:val="1"/>
      <w:marLeft w:val="0"/>
      <w:marRight w:val="0"/>
      <w:marTop w:val="0"/>
      <w:marBottom w:val="0"/>
      <w:divBdr>
        <w:top w:val="none" w:sz="0" w:space="0" w:color="auto"/>
        <w:left w:val="none" w:sz="0" w:space="0" w:color="auto"/>
        <w:bottom w:val="none" w:sz="0" w:space="0" w:color="auto"/>
        <w:right w:val="none" w:sz="0" w:space="0" w:color="auto"/>
      </w:divBdr>
    </w:div>
    <w:div w:id="2057463228">
      <w:bodyDiv w:val="1"/>
      <w:marLeft w:val="0"/>
      <w:marRight w:val="0"/>
      <w:marTop w:val="0"/>
      <w:marBottom w:val="0"/>
      <w:divBdr>
        <w:top w:val="none" w:sz="0" w:space="0" w:color="auto"/>
        <w:left w:val="none" w:sz="0" w:space="0" w:color="auto"/>
        <w:bottom w:val="none" w:sz="0" w:space="0" w:color="auto"/>
        <w:right w:val="none" w:sz="0" w:space="0" w:color="auto"/>
      </w:divBdr>
    </w:div>
    <w:div w:id="2060200667">
      <w:bodyDiv w:val="1"/>
      <w:marLeft w:val="0"/>
      <w:marRight w:val="0"/>
      <w:marTop w:val="0"/>
      <w:marBottom w:val="0"/>
      <w:divBdr>
        <w:top w:val="none" w:sz="0" w:space="0" w:color="auto"/>
        <w:left w:val="none" w:sz="0" w:space="0" w:color="auto"/>
        <w:bottom w:val="none" w:sz="0" w:space="0" w:color="auto"/>
        <w:right w:val="none" w:sz="0" w:space="0" w:color="auto"/>
      </w:divBdr>
    </w:div>
    <w:div w:id="2062437721">
      <w:bodyDiv w:val="1"/>
      <w:marLeft w:val="0"/>
      <w:marRight w:val="0"/>
      <w:marTop w:val="0"/>
      <w:marBottom w:val="0"/>
      <w:divBdr>
        <w:top w:val="none" w:sz="0" w:space="0" w:color="auto"/>
        <w:left w:val="none" w:sz="0" w:space="0" w:color="auto"/>
        <w:bottom w:val="none" w:sz="0" w:space="0" w:color="auto"/>
        <w:right w:val="none" w:sz="0" w:space="0" w:color="auto"/>
      </w:divBdr>
    </w:div>
    <w:div w:id="2065178662">
      <w:bodyDiv w:val="1"/>
      <w:marLeft w:val="0"/>
      <w:marRight w:val="0"/>
      <w:marTop w:val="0"/>
      <w:marBottom w:val="0"/>
      <w:divBdr>
        <w:top w:val="none" w:sz="0" w:space="0" w:color="auto"/>
        <w:left w:val="none" w:sz="0" w:space="0" w:color="auto"/>
        <w:bottom w:val="none" w:sz="0" w:space="0" w:color="auto"/>
        <w:right w:val="none" w:sz="0" w:space="0" w:color="auto"/>
      </w:divBdr>
    </w:div>
    <w:div w:id="2074695627">
      <w:bodyDiv w:val="1"/>
      <w:marLeft w:val="0"/>
      <w:marRight w:val="0"/>
      <w:marTop w:val="0"/>
      <w:marBottom w:val="0"/>
      <w:divBdr>
        <w:top w:val="none" w:sz="0" w:space="0" w:color="auto"/>
        <w:left w:val="none" w:sz="0" w:space="0" w:color="auto"/>
        <w:bottom w:val="none" w:sz="0" w:space="0" w:color="auto"/>
        <w:right w:val="none" w:sz="0" w:space="0" w:color="auto"/>
      </w:divBdr>
    </w:div>
    <w:div w:id="2094692760">
      <w:bodyDiv w:val="1"/>
      <w:marLeft w:val="0"/>
      <w:marRight w:val="0"/>
      <w:marTop w:val="0"/>
      <w:marBottom w:val="0"/>
      <w:divBdr>
        <w:top w:val="none" w:sz="0" w:space="0" w:color="auto"/>
        <w:left w:val="none" w:sz="0" w:space="0" w:color="auto"/>
        <w:bottom w:val="none" w:sz="0" w:space="0" w:color="auto"/>
        <w:right w:val="none" w:sz="0" w:space="0" w:color="auto"/>
      </w:divBdr>
    </w:div>
    <w:div w:id="2104035056">
      <w:bodyDiv w:val="1"/>
      <w:marLeft w:val="0"/>
      <w:marRight w:val="0"/>
      <w:marTop w:val="0"/>
      <w:marBottom w:val="0"/>
      <w:divBdr>
        <w:top w:val="none" w:sz="0" w:space="0" w:color="auto"/>
        <w:left w:val="none" w:sz="0" w:space="0" w:color="auto"/>
        <w:bottom w:val="none" w:sz="0" w:space="0" w:color="auto"/>
        <w:right w:val="none" w:sz="0" w:space="0" w:color="auto"/>
      </w:divBdr>
    </w:div>
    <w:div w:id="2130471186">
      <w:bodyDiv w:val="1"/>
      <w:marLeft w:val="0"/>
      <w:marRight w:val="0"/>
      <w:marTop w:val="0"/>
      <w:marBottom w:val="0"/>
      <w:divBdr>
        <w:top w:val="none" w:sz="0" w:space="0" w:color="auto"/>
        <w:left w:val="none" w:sz="0" w:space="0" w:color="auto"/>
        <w:bottom w:val="none" w:sz="0" w:space="0" w:color="auto"/>
        <w:right w:val="none" w:sz="0" w:space="0" w:color="auto"/>
      </w:divBdr>
    </w:div>
    <w:div w:id="21454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D6ED3B5B59327498C911C0EB5C7B788" ma:contentTypeVersion="10" ma:contentTypeDescription="Crear nuevo documento." ma:contentTypeScope="" ma:versionID="7dfe08efc8e723dd26103b0280c42b68">
  <xsd:schema xmlns:xsd="http://www.w3.org/2001/XMLSchema" xmlns:xs="http://www.w3.org/2001/XMLSchema" xmlns:p="http://schemas.microsoft.com/office/2006/metadata/properties" xmlns:ns3="b2637790-06b9-4cad-a6ff-93c1be9be875" xmlns:ns4="0c915914-bd86-4926-ae53-2f3034ff24d1" targetNamespace="http://schemas.microsoft.com/office/2006/metadata/properties" ma:root="true" ma:fieldsID="811a060abbaa9ca08bcebaf180e52749" ns3:_="" ns4:_="">
    <xsd:import namespace="b2637790-06b9-4cad-a6ff-93c1be9be875"/>
    <xsd:import namespace="0c915914-bd86-4926-ae53-2f3034ff24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37790-06b9-4cad-a6ff-93c1be9be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15914-bd86-4926-ae53-2f3034ff24d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5DA7-DB7B-4228-85A5-318386D95CCF}">
  <ds:schemaRefs>
    <ds:schemaRef ds:uri="http://schemas.microsoft.com/sharepoint/v3/contenttype/forms"/>
  </ds:schemaRefs>
</ds:datastoreItem>
</file>

<file path=customXml/itemProps2.xml><?xml version="1.0" encoding="utf-8"?>
<ds:datastoreItem xmlns:ds="http://schemas.openxmlformats.org/officeDocument/2006/customXml" ds:itemID="{75E5CA6A-C0B8-4036-8F0D-EC491988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37790-06b9-4cad-a6ff-93c1be9be875"/>
    <ds:schemaRef ds:uri="0c915914-bd86-4926-ae53-2f3034ff2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BA513-58D3-457F-8E93-C73EC6E473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6C7B38-C0D4-47E8-B225-1B3845B5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6611</Words>
  <Characters>36363</Characters>
  <Application>Microsoft Office Word</Application>
  <DocSecurity>0</DocSecurity>
  <Lines>303</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Masis</dc:creator>
  <cp:lastModifiedBy>Zoila Rodríguez Tencio</cp:lastModifiedBy>
  <cp:revision>2</cp:revision>
  <cp:lastPrinted>2022-07-29T19:49:00Z</cp:lastPrinted>
  <dcterms:created xsi:type="dcterms:W3CDTF">2022-11-06T21:58:00Z</dcterms:created>
  <dcterms:modified xsi:type="dcterms:W3CDTF">2022-11-06T21:58:00Z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0x0101001D6ED3B5B59327498C911C0EB5C7B788</vt:lpwstr>
  </property>
</Properties>
</file>