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89541" w14:textId="77777777" w:rsidR="0064010E" w:rsidRDefault="00B04828">
      <w:bookmarkStart w:id="0" w:name="_GoBack"/>
      <w:bookmarkEnd w:id="0"/>
      <w:r>
        <w:rPr>
          <w:rFonts w:cstheme="minorHAnsi"/>
          <w:b/>
          <w:noProof/>
          <w:lang w:val="es-MX" w:eastAsia="es-MX"/>
        </w:rPr>
        <w:drawing>
          <wp:anchor distT="0" distB="0" distL="114300" distR="114300" simplePos="0" relativeHeight="251659264" behindDoc="1" locked="0" layoutInCell="1" allowOverlap="1" wp14:anchorId="552B321C" wp14:editId="752E2E24">
            <wp:simplePos x="0" y="0"/>
            <wp:positionH relativeFrom="page">
              <wp:align>left</wp:align>
            </wp:positionH>
            <wp:positionV relativeFrom="paragraph">
              <wp:posOffset>-1096645</wp:posOffset>
            </wp:positionV>
            <wp:extent cx="8037830" cy="10273085"/>
            <wp:effectExtent l="0" t="0" r="127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7830" cy="10273085"/>
                    </a:xfrm>
                    <a:prstGeom prst="rect">
                      <a:avLst/>
                    </a:prstGeom>
                    <a:noFill/>
                  </pic:spPr>
                </pic:pic>
              </a:graphicData>
            </a:graphic>
          </wp:anchor>
        </w:drawing>
      </w:r>
    </w:p>
    <w:p w14:paraId="4B72B8FA" w14:textId="77777777" w:rsidR="00B04828" w:rsidRDefault="00B04828" w:rsidP="00B04828">
      <w:pPr>
        <w:tabs>
          <w:tab w:val="left" w:pos="1845"/>
          <w:tab w:val="left" w:pos="2550"/>
          <w:tab w:val="left" w:pos="3225"/>
        </w:tabs>
      </w:pPr>
      <w:r>
        <w:tab/>
      </w:r>
      <w:r>
        <w:tab/>
      </w:r>
      <w:r>
        <w:tab/>
      </w:r>
    </w:p>
    <w:p w14:paraId="0B2F2AE9" w14:textId="77777777" w:rsidR="00B04828" w:rsidRPr="00B04828" w:rsidRDefault="00B04828" w:rsidP="00B04828">
      <w:pPr>
        <w:tabs>
          <w:tab w:val="left" w:pos="2910"/>
        </w:tabs>
        <w:jc w:val="center"/>
        <w:rPr>
          <w:rFonts w:ascii="Arial" w:hAnsi="Arial" w:cs="Arial"/>
          <w:b/>
          <w:sz w:val="28"/>
          <w:szCs w:val="28"/>
        </w:rPr>
      </w:pPr>
      <w:r w:rsidRPr="00B04828">
        <w:rPr>
          <w:rFonts w:ascii="Arial" w:hAnsi="Arial" w:cs="Arial"/>
          <w:b/>
          <w:sz w:val="28"/>
          <w:szCs w:val="28"/>
        </w:rPr>
        <w:t>FIDEICOMISO 544 FONAFIFO/ BANCO NACIONAL</w:t>
      </w:r>
    </w:p>
    <w:p w14:paraId="2B8DE930" w14:textId="77777777" w:rsidR="00B04828" w:rsidRDefault="00B04828" w:rsidP="00B04828">
      <w:pPr>
        <w:ind w:firstLine="708"/>
      </w:pPr>
    </w:p>
    <w:p w14:paraId="7E37A748" w14:textId="77777777" w:rsidR="00B04828" w:rsidRDefault="00B04828"/>
    <w:p w14:paraId="381974FC" w14:textId="77777777" w:rsidR="00B04828" w:rsidRDefault="00B04828">
      <w:r>
        <w:rPr>
          <w:rFonts w:ascii="Arial" w:hAnsi="Arial" w:cs="Arial"/>
          <w:b/>
          <w:noProof/>
          <w:lang w:val="es-MX" w:eastAsia="es-MX"/>
        </w:rPr>
        <w:drawing>
          <wp:anchor distT="0" distB="0" distL="114300" distR="114300" simplePos="0" relativeHeight="251660288" behindDoc="0" locked="0" layoutInCell="1" allowOverlap="1" wp14:anchorId="07AD1058" wp14:editId="1558BDCA">
            <wp:simplePos x="0" y="0"/>
            <wp:positionH relativeFrom="page">
              <wp:posOffset>2752725</wp:posOffset>
            </wp:positionH>
            <wp:positionV relativeFrom="paragraph">
              <wp:posOffset>271145</wp:posOffset>
            </wp:positionV>
            <wp:extent cx="2145665" cy="1158240"/>
            <wp:effectExtent l="0" t="0" r="6985"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665" cy="1158240"/>
                    </a:xfrm>
                    <a:prstGeom prst="rect">
                      <a:avLst/>
                    </a:prstGeom>
                    <a:noFill/>
                  </pic:spPr>
                </pic:pic>
              </a:graphicData>
            </a:graphic>
          </wp:anchor>
        </w:drawing>
      </w:r>
    </w:p>
    <w:p w14:paraId="43A9BCE4" w14:textId="77777777" w:rsidR="00B04828" w:rsidRDefault="00B04828"/>
    <w:p w14:paraId="61C04C65" w14:textId="77777777" w:rsidR="00B04828" w:rsidRDefault="00B04828" w:rsidP="00B04828">
      <w:pPr>
        <w:tabs>
          <w:tab w:val="left" w:pos="6555"/>
        </w:tabs>
      </w:pPr>
      <w:r>
        <w:tab/>
      </w:r>
    </w:p>
    <w:p w14:paraId="293FA92B" w14:textId="77777777" w:rsidR="00B04828" w:rsidRDefault="00B04828"/>
    <w:p w14:paraId="0A498E5F" w14:textId="77777777" w:rsidR="00B04828" w:rsidRDefault="00B04828"/>
    <w:p w14:paraId="42E78B62" w14:textId="77777777" w:rsidR="00B04828" w:rsidRDefault="00B04828" w:rsidP="00B04828">
      <w:pPr>
        <w:tabs>
          <w:tab w:val="left" w:pos="1878"/>
          <w:tab w:val="left" w:pos="2855"/>
        </w:tabs>
        <w:spacing w:after="160" w:line="259" w:lineRule="auto"/>
        <w:jc w:val="center"/>
        <w:rPr>
          <w:rFonts w:ascii="Arial" w:hAnsi="Arial" w:cs="Arial"/>
          <w:b/>
          <w:sz w:val="28"/>
          <w:szCs w:val="28"/>
        </w:rPr>
      </w:pPr>
    </w:p>
    <w:p w14:paraId="47DB0345" w14:textId="77777777" w:rsidR="00B04828" w:rsidRDefault="00B04828" w:rsidP="00B04828">
      <w:pPr>
        <w:tabs>
          <w:tab w:val="left" w:pos="1878"/>
          <w:tab w:val="left" w:pos="2855"/>
        </w:tabs>
        <w:spacing w:after="160" w:line="259" w:lineRule="auto"/>
        <w:jc w:val="center"/>
        <w:rPr>
          <w:rFonts w:ascii="Arial" w:hAnsi="Arial" w:cs="Arial"/>
          <w:b/>
          <w:sz w:val="28"/>
          <w:szCs w:val="28"/>
        </w:rPr>
      </w:pPr>
    </w:p>
    <w:p w14:paraId="381951A6" w14:textId="77777777" w:rsidR="00B04828" w:rsidRDefault="00B04828" w:rsidP="00B04828">
      <w:pPr>
        <w:tabs>
          <w:tab w:val="left" w:pos="1878"/>
          <w:tab w:val="left" w:pos="2855"/>
        </w:tabs>
        <w:spacing w:after="160" w:line="259" w:lineRule="auto"/>
        <w:jc w:val="center"/>
        <w:rPr>
          <w:rFonts w:ascii="Arial" w:hAnsi="Arial" w:cs="Arial"/>
          <w:b/>
          <w:sz w:val="28"/>
          <w:szCs w:val="28"/>
        </w:rPr>
      </w:pPr>
    </w:p>
    <w:p w14:paraId="3E5E1024" w14:textId="77777777" w:rsidR="00B04828" w:rsidRDefault="00B04828" w:rsidP="00B04828">
      <w:pPr>
        <w:tabs>
          <w:tab w:val="left" w:pos="1878"/>
          <w:tab w:val="left" w:pos="2855"/>
        </w:tabs>
        <w:spacing w:after="160" w:line="259" w:lineRule="auto"/>
        <w:jc w:val="center"/>
        <w:rPr>
          <w:rFonts w:ascii="Arial" w:hAnsi="Arial" w:cs="Arial"/>
          <w:b/>
          <w:sz w:val="28"/>
          <w:szCs w:val="28"/>
        </w:rPr>
      </w:pPr>
    </w:p>
    <w:p w14:paraId="399E0FD1" w14:textId="77777777" w:rsidR="00B04828" w:rsidRPr="0072046E" w:rsidRDefault="00FB41F7" w:rsidP="00B04828">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EVALUACIÓN ANUAL Y EJECUCIÓN SEMESTRAL</w:t>
      </w:r>
    </w:p>
    <w:p w14:paraId="7FD19D7D" w14:textId="77777777" w:rsidR="00B04828" w:rsidRPr="0072046E" w:rsidRDefault="00B04828" w:rsidP="00B04828">
      <w:pPr>
        <w:tabs>
          <w:tab w:val="left" w:pos="1878"/>
          <w:tab w:val="left" w:pos="2855"/>
        </w:tabs>
        <w:spacing w:after="160" w:line="259" w:lineRule="auto"/>
        <w:jc w:val="center"/>
        <w:rPr>
          <w:rFonts w:ascii="Arial" w:hAnsi="Arial" w:cs="Arial"/>
          <w:b/>
          <w:sz w:val="28"/>
          <w:szCs w:val="28"/>
        </w:rPr>
      </w:pPr>
    </w:p>
    <w:p w14:paraId="2793B913" w14:textId="77777777" w:rsidR="00B04828" w:rsidRPr="0072046E" w:rsidRDefault="00B04828" w:rsidP="00B04828">
      <w:pPr>
        <w:tabs>
          <w:tab w:val="left" w:pos="1878"/>
          <w:tab w:val="left" w:pos="2855"/>
        </w:tabs>
        <w:spacing w:after="160" w:line="259" w:lineRule="auto"/>
        <w:jc w:val="center"/>
        <w:rPr>
          <w:rFonts w:ascii="Arial" w:hAnsi="Arial" w:cs="Arial"/>
          <w:b/>
          <w:sz w:val="28"/>
          <w:szCs w:val="28"/>
        </w:rPr>
      </w:pPr>
    </w:p>
    <w:p w14:paraId="692FE0B2" w14:textId="77777777" w:rsidR="00B04828" w:rsidRDefault="00B04828" w:rsidP="00B04828">
      <w:pPr>
        <w:tabs>
          <w:tab w:val="left" w:pos="1878"/>
          <w:tab w:val="left" w:pos="2855"/>
        </w:tabs>
        <w:spacing w:after="160" w:line="259" w:lineRule="auto"/>
        <w:jc w:val="center"/>
        <w:rPr>
          <w:rFonts w:ascii="Arial" w:hAnsi="Arial" w:cs="Arial"/>
          <w:b/>
          <w:sz w:val="28"/>
          <w:szCs w:val="28"/>
        </w:rPr>
      </w:pPr>
    </w:p>
    <w:p w14:paraId="6CCC01D9" w14:textId="77777777" w:rsidR="00B04828" w:rsidRPr="0072046E" w:rsidRDefault="00B04828" w:rsidP="00B04828">
      <w:pPr>
        <w:tabs>
          <w:tab w:val="left" w:pos="1878"/>
          <w:tab w:val="left" w:pos="2855"/>
        </w:tabs>
        <w:spacing w:after="160" w:line="259" w:lineRule="auto"/>
        <w:jc w:val="center"/>
        <w:rPr>
          <w:rFonts w:ascii="Arial" w:hAnsi="Arial" w:cs="Arial"/>
          <w:b/>
          <w:sz w:val="28"/>
          <w:szCs w:val="28"/>
        </w:rPr>
      </w:pPr>
    </w:p>
    <w:p w14:paraId="696FE554" w14:textId="5D6091E9" w:rsidR="00B04828" w:rsidRPr="0072046E" w:rsidRDefault="00FB41F7" w:rsidP="00B04828">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Enero</w:t>
      </w:r>
      <w:r w:rsidR="00B04828" w:rsidRPr="0072046E">
        <w:rPr>
          <w:rFonts w:ascii="Arial" w:hAnsi="Arial" w:cs="Arial"/>
          <w:b/>
          <w:sz w:val="28"/>
          <w:szCs w:val="28"/>
        </w:rPr>
        <w:t>, 20</w:t>
      </w:r>
      <w:r w:rsidR="00097BCC">
        <w:rPr>
          <w:rFonts w:ascii="Arial" w:hAnsi="Arial" w:cs="Arial"/>
          <w:b/>
          <w:sz w:val="28"/>
          <w:szCs w:val="28"/>
        </w:rPr>
        <w:t>2</w:t>
      </w:r>
      <w:r w:rsidR="004C0F2B">
        <w:rPr>
          <w:rFonts w:ascii="Arial" w:hAnsi="Arial" w:cs="Arial"/>
          <w:b/>
          <w:sz w:val="28"/>
          <w:szCs w:val="28"/>
        </w:rPr>
        <w:t>2</w:t>
      </w:r>
    </w:p>
    <w:p w14:paraId="04BDBF54" w14:textId="77777777" w:rsidR="00B04828" w:rsidRDefault="00B04828" w:rsidP="00B04828">
      <w:pPr>
        <w:jc w:val="center"/>
      </w:pPr>
    </w:p>
    <w:p w14:paraId="7E61BDFF" w14:textId="77777777" w:rsidR="00B04828" w:rsidRDefault="00B04828"/>
    <w:p w14:paraId="06C2E098" w14:textId="77777777" w:rsidR="00B04828" w:rsidRDefault="00B04828" w:rsidP="00B04828">
      <w:pPr>
        <w:tabs>
          <w:tab w:val="left" w:pos="3150"/>
          <w:tab w:val="left" w:pos="3720"/>
        </w:tabs>
      </w:pPr>
      <w:r>
        <w:tab/>
      </w:r>
      <w:r>
        <w:tab/>
      </w:r>
    </w:p>
    <w:p w14:paraId="7D2ECB8E" w14:textId="77777777" w:rsidR="00B04828" w:rsidRDefault="00B04828"/>
    <w:sdt>
      <w:sdtPr>
        <w:rPr>
          <w:rFonts w:ascii="Calibri" w:eastAsia="Calibri" w:hAnsi="Calibri" w:cs="Times New Roman"/>
          <w:b w:val="0"/>
          <w:bCs w:val="0"/>
          <w:i w:val="0"/>
          <w:iCs w:val="0"/>
          <w:sz w:val="22"/>
          <w:szCs w:val="22"/>
          <w:lang w:val="es-ES" w:bidi="ar-SA"/>
        </w:rPr>
        <w:id w:val="636839162"/>
        <w:docPartObj>
          <w:docPartGallery w:val="Table of Contents"/>
          <w:docPartUnique/>
        </w:docPartObj>
      </w:sdtPr>
      <w:sdtEndPr/>
      <w:sdtContent>
        <w:p w14:paraId="07440A77" w14:textId="5CCA77A0" w:rsidR="00B77BF4" w:rsidRPr="0089413E" w:rsidRDefault="00B77BF4" w:rsidP="004C0F2B">
          <w:pPr>
            <w:pStyle w:val="TtuloTDC"/>
            <w:tabs>
              <w:tab w:val="center" w:pos="4465"/>
            </w:tabs>
            <w:rPr>
              <w:lang w:val="es-CR"/>
            </w:rPr>
          </w:pPr>
          <w:r>
            <w:rPr>
              <w:lang w:val="es-ES"/>
            </w:rPr>
            <w:t>Tabla de contenido</w:t>
          </w:r>
          <w:r w:rsidR="004C0F2B">
            <w:rPr>
              <w:lang w:val="es-ES"/>
            </w:rPr>
            <w:tab/>
          </w:r>
        </w:p>
        <w:p w14:paraId="3CC39FAC" w14:textId="082E7C38" w:rsidR="00F33EF8" w:rsidRDefault="0020039E">
          <w:pPr>
            <w:pStyle w:val="TDC2"/>
            <w:tabs>
              <w:tab w:val="left" w:pos="660"/>
              <w:tab w:val="right" w:leader="dot" w:pos="8921"/>
            </w:tabs>
            <w:rPr>
              <w:rFonts w:eastAsiaTheme="minorEastAsia" w:cstheme="minorBidi"/>
              <w:b w:val="0"/>
              <w:bCs w:val="0"/>
              <w:noProof/>
              <w:lang w:val="es-US" w:eastAsia="es-US"/>
            </w:rPr>
          </w:pPr>
          <w:r>
            <w:rPr>
              <w:i/>
              <w:iCs/>
              <w:sz w:val="24"/>
              <w:szCs w:val="24"/>
            </w:rPr>
            <w:fldChar w:fldCharType="begin"/>
          </w:r>
          <w:r w:rsidR="00B77BF4">
            <w:instrText xml:space="preserve"> TOC \o "1-3" \h \z \u </w:instrText>
          </w:r>
          <w:r>
            <w:rPr>
              <w:i/>
              <w:iCs/>
              <w:sz w:val="24"/>
              <w:szCs w:val="24"/>
            </w:rPr>
            <w:fldChar w:fldCharType="separate"/>
          </w:r>
          <w:hyperlink w:anchor="_Toc94522206" w:history="1">
            <w:r w:rsidR="00F33EF8" w:rsidRPr="008575DA">
              <w:rPr>
                <w:rStyle w:val="Hipervnculo"/>
                <w:rFonts w:ascii="Arial" w:hAnsi="Arial" w:cs="Arial"/>
                <w:noProof/>
              </w:rPr>
              <w:t>1.</w:t>
            </w:r>
            <w:r w:rsidR="00F33EF8">
              <w:rPr>
                <w:rFonts w:eastAsiaTheme="minorEastAsia" w:cstheme="minorBidi"/>
                <w:b w:val="0"/>
                <w:bCs w:val="0"/>
                <w:noProof/>
                <w:lang w:val="es-US" w:eastAsia="es-US"/>
              </w:rPr>
              <w:tab/>
            </w:r>
            <w:r w:rsidR="00F33EF8" w:rsidRPr="008575DA">
              <w:rPr>
                <w:rStyle w:val="Hipervnculo"/>
                <w:rFonts w:ascii="Arial" w:hAnsi="Arial" w:cs="Arial"/>
                <w:noProof/>
              </w:rPr>
              <w:t>MARCO GENERAL</w:t>
            </w:r>
            <w:r w:rsidR="00F33EF8">
              <w:rPr>
                <w:noProof/>
                <w:webHidden/>
              </w:rPr>
              <w:tab/>
            </w:r>
            <w:r w:rsidR="00F33EF8">
              <w:rPr>
                <w:noProof/>
                <w:webHidden/>
              </w:rPr>
              <w:fldChar w:fldCharType="begin"/>
            </w:r>
            <w:r w:rsidR="00F33EF8">
              <w:rPr>
                <w:noProof/>
                <w:webHidden/>
              </w:rPr>
              <w:instrText xml:space="preserve"> PAGEREF _Toc94522206 \h </w:instrText>
            </w:r>
            <w:r w:rsidR="00F33EF8">
              <w:rPr>
                <w:noProof/>
                <w:webHidden/>
              </w:rPr>
            </w:r>
            <w:r w:rsidR="00F33EF8">
              <w:rPr>
                <w:noProof/>
                <w:webHidden/>
              </w:rPr>
              <w:fldChar w:fldCharType="separate"/>
            </w:r>
            <w:r w:rsidR="00F33EF8">
              <w:rPr>
                <w:noProof/>
                <w:webHidden/>
              </w:rPr>
              <w:t>4</w:t>
            </w:r>
            <w:r w:rsidR="00F33EF8">
              <w:rPr>
                <w:noProof/>
                <w:webHidden/>
              </w:rPr>
              <w:fldChar w:fldCharType="end"/>
            </w:r>
          </w:hyperlink>
        </w:p>
        <w:p w14:paraId="37D16B1E" w14:textId="26653B82" w:rsidR="00F33EF8" w:rsidRDefault="00C20351">
          <w:pPr>
            <w:pStyle w:val="TDC2"/>
            <w:tabs>
              <w:tab w:val="right" w:leader="dot" w:pos="8921"/>
            </w:tabs>
            <w:rPr>
              <w:rFonts w:eastAsiaTheme="minorEastAsia" w:cstheme="minorBidi"/>
              <w:b w:val="0"/>
              <w:bCs w:val="0"/>
              <w:noProof/>
              <w:lang w:val="es-US" w:eastAsia="es-US"/>
            </w:rPr>
          </w:pPr>
          <w:hyperlink w:anchor="_Toc94522207" w:history="1">
            <w:r w:rsidR="00F33EF8" w:rsidRPr="008575DA">
              <w:rPr>
                <w:rStyle w:val="Hipervnculo"/>
                <w:rFonts w:ascii="Arial" w:hAnsi="Arial" w:cs="Arial"/>
                <w:noProof/>
              </w:rPr>
              <w:t>1.1. Marco Jurídico del Fideicomiso 544 FONAFIFO / BNCR</w:t>
            </w:r>
            <w:r w:rsidR="00F33EF8">
              <w:rPr>
                <w:noProof/>
                <w:webHidden/>
              </w:rPr>
              <w:tab/>
            </w:r>
            <w:r w:rsidR="00F33EF8">
              <w:rPr>
                <w:noProof/>
                <w:webHidden/>
              </w:rPr>
              <w:fldChar w:fldCharType="begin"/>
            </w:r>
            <w:r w:rsidR="00F33EF8">
              <w:rPr>
                <w:noProof/>
                <w:webHidden/>
              </w:rPr>
              <w:instrText xml:space="preserve"> PAGEREF _Toc94522207 \h </w:instrText>
            </w:r>
            <w:r w:rsidR="00F33EF8">
              <w:rPr>
                <w:noProof/>
                <w:webHidden/>
              </w:rPr>
            </w:r>
            <w:r w:rsidR="00F33EF8">
              <w:rPr>
                <w:noProof/>
                <w:webHidden/>
              </w:rPr>
              <w:fldChar w:fldCharType="separate"/>
            </w:r>
            <w:r w:rsidR="00F33EF8">
              <w:rPr>
                <w:noProof/>
                <w:webHidden/>
              </w:rPr>
              <w:t>4</w:t>
            </w:r>
            <w:r w:rsidR="00F33EF8">
              <w:rPr>
                <w:noProof/>
                <w:webHidden/>
              </w:rPr>
              <w:fldChar w:fldCharType="end"/>
            </w:r>
          </w:hyperlink>
        </w:p>
        <w:p w14:paraId="78072B5F" w14:textId="644709B9" w:rsidR="00F33EF8" w:rsidRDefault="00C20351">
          <w:pPr>
            <w:pStyle w:val="TDC2"/>
            <w:tabs>
              <w:tab w:val="right" w:leader="dot" w:pos="8921"/>
            </w:tabs>
            <w:rPr>
              <w:rFonts w:eastAsiaTheme="minorEastAsia" w:cstheme="minorBidi"/>
              <w:b w:val="0"/>
              <w:bCs w:val="0"/>
              <w:noProof/>
              <w:lang w:val="es-US" w:eastAsia="es-US"/>
            </w:rPr>
          </w:pPr>
          <w:hyperlink w:anchor="_Toc94522208" w:history="1">
            <w:r w:rsidR="00F33EF8" w:rsidRPr="008575DA">
              <w:rPr>
                <w:rStyle w:val="Hipervnculo"/>
                <w:rFonts w:ascii="Arial" w:hAnsi="Arial" w:cs="Arial"/>
                <w:noProof/>
              </w:rPr>
              <w:t>1.2 Finalidades del fideicomiso 544 Fonafifo / BNCR</w:t>
            </w:r>
            <w:r w:rsidR="00F33EF8">
              <w:rPr>
                <w:noProof/>
                <w:webHidden/>
              </w:rPr>
              <w:tab/>
            </w:r>
            <w:r w:rsidR="00F33EF8">
              <w:rPr>
                <w:noProof/>
                <w:webHidden/>
              </w:rPr>
              <w:fldChar w:fldCharType="begin"/>
            </w:r>
            <w:r w:rsidR="00F33EF8">
              <w:rPr>
                <w:noProof/>
                <w:webHidden/>
              </w:rPr>
              <w:instrText xml:space="preserve"> PAGEREF _Toc94522208 \h </w:instrText>
            </w:r>
            <w:r w:rsidR="00F33EF8">
              <w:rPr>
                <w:noProof/>
                <w:webHidden/>
              </w:rPr>
            </w:r>
            <w:r w:rsidR="00F33EF8">
              <w:rPr>
                <w:noProof/>
                <w:webHidden/>
              </w:rPr>
              <w:fldChar w:fldCharType="separate"/>
            </w:r>
            <w:r w:rsidR="00F33EF8">
              <w:rPr>
                <w:noProof/>
                <w:webHidden/>
              </w:rPr>
              <w:t>4</w:t>
            </w:r>
            <w:r w:rsidR="00F33EF8">
              <w:rPr>
                <w:noProof/>
                <w:webHidden/>
              </w:rPr>
              <w:fldChar w:fldCharType="end"/>
            </w:r>
          </w:hyperlink>
        </w:p>
        <w:p w14:paraId="4617D4AC" w14:textId="692288BA" w:rsidR="00F33EF8" w:rsidRDefault="00C20351">
          <w:pPr>
            <w:pStyle w:val="TDC2"/>
            <w:tabs>
              <w:tab w:val="left" w:pos="880"/>
              <w:tab w:val="right" w:leader="dot" w:pos="8921"/>
            </w:tabs>
            <w:rPr>
              <w:rFonts w:eastAsiaTheme="minorEastAsia" w:cstheme="minorBidi"/>
              <w:b w:val="0"/>
              <w:bCs w:val="0"/>
              <w:noProof/>
              <w:lang w:val="es-US" w:eastAsia="es-US"/>
            </w:rPr>
          </w:pPr>
          <w:hyperlink w:anchor="_Toc94522209" w:history="1">
            <w:r w:rsidR="00F33EF8" w:rsidRPr="008575DA">
              <w:rPr>
                <w:rStyle w:val="Hipervnculo"/>
                <w:rFonts w:ascii="Arial" w:hAnsi="Arial" w:cs="Arial"/>
                <w:noProof/>
              </w:rPr>
              <w:t>1.3</w:t>
            </w:r>
            <w:r w:rsidR="00F33EF8">
              <w:rPr>
                <w:rFonts w:eastAsiaTheme="minorEastAsia" w:cstheme="minorBidi"/>
                <w:b w:val="0"/>
                <w:bCs w:val="0"/>
                <w:noProof/>
                <w:lang w:val="es-US" w:eastAsia="es-US"/>
              </w:rPr>
              <w:tab/>
            </w:r>
            <w:r w:rsidR="00F33EF8" w:rsidRPr="008575DA">
              <w:rPr>
                <w:rStyle w:val="Hipervnculo"/>
                <w:rFonts w:ascii="Arial" w:hAnsi="Arial" w:cs="Arial"/>
                <w:noProof/>
              </w:rPr>
              <w:t>Misión del fideicomiso 544 Fonafifo / BNCR</w:t>
            </w:r>
            <w:r w:rsidR="00F33EF8">
              <w:rPr>
                <w:noProof/>
                <w:webHidden/>
              </w:rPr>
              <w:tab/>
            </w:r>
            <w:r w:rsidR="00F33EF8">
              <w:rPr>
                <w:noProof/>
                <w:webHidden/>
              </w:rPr>
              <w:fldChar w:fldCharType="begin"/>
            </w:r>
            <w:r w:rsidR="00F33EF8">
              <w:rPr>
                <w:noProof/>
                <w:webHidden/>
              </w:rPr>
              <w:instrText xml:space="preserve"> PAGEREF _Toc94522209 \h </w:instrText>
            </w:r>
            <w:r w:rsidR="00F33EF8">
              <w:rPr>
                <w:noProof/>
                <w:webHidden/>
              </w:rPr>
            </w:r>
            <w:r w:rsidR="00F33EF8">
              <w:rPr>
                <w:noProof/>
                <w:webHidden/>
              </w:rPr>
              <w:fldChar w:fldCharType="separate"/>
            </w:r>
            <w:r w:rsidR="00F33EF8">
              <w:rPr>
                <w:noProof/>
                <w:webHidden/>
              </w:rPr>
              <w:t>4</w:t>
            </w:r>
            <w:r w:rsidR="00F33EF8">
              <w:rPr>
                <w:noProof/>
                <w:webHidden/>
              </w:rPr>
              <w:fldChar w:fldCharType="end"/>
            </w:r>
          </w:hyperlink>
        </w:p>
        <w:p w14:paraId="1B469963" w14:textId="4263C29B" w:rsidR="00F33EF8" w:rsidRDefault="00C20351">
          <w:pPr>
            <w:pStyle w:val="TDC2"/>
            <w:tabs>
              <w:tab w:val="right" w:leader="dot" w:pos="8921"/>
            </w:tabs>
            <w:rPr>
              <w:rFonts w:eastAsiaTheme="minorEastAsia" w:cstheme="minorBidi"/>
              <w:b w:val="0"/>
              <w:bCs w:val="0"/>
              <w:noProof/>
              <w:lang w:val="es-US" w:eastAsia="es-US"/>
            </w:rPr>
          </w:pPr>
          <w:hyperlink w:anchor="_Toc94522210" w:history="1">
            <w:r w:rsidR="00F33EF8" w:rsidRPr="008575DA">
              <w:rPr>
                <w:rStyle w:val="Hipervnculo"/>
                <w:rFonts w:ascii="Arial" w:hAnsi="Arial" w:cs="Arial"/>
                <w:noProof/>
              </w:rPr>
              <w:t>1.4 Visión del Fideicomiso 544 Fonafifo/BNCR</w:t>
            </w:r>
            <w:r w:rsidR="00F33EF8">
              <w:rPr>
                <w:noProof/>
                <w:webHidden/>
              </w:rPr>
              <w:tab/>
            </w:r>
            <w:r w:rsidR="00F33EF8">
              <w:rPr>
                <w:noProof/>
                <w:webHidden/>
              </w:rPr>
              <w:fldChar w:fldCharType="begin"/>
            </w:r>
            <w:r w:rsidR="00F33EF8">
              <w:rPr>
                <w:noProof/>
                <w:webHidden/>
              </w:rPr>
              <w:instrText xml:space="preserve"> PAGEREF _Toc94522210 \h </w:instrText>
            </w:r>
            <w:r w:rsidR="00F33EF8">
              <w:rPr>
                <w:noProof/>
                <w:webHidden/>
              </w:rPr>
            </w:r>
            <w:r w:rsidR="00F33EF8">
              <w:rPr>
                <w:noProof/>
                <w:webHidden/>
              </w:rPr>
              <w:fldChar w:fldCharType="separate"/>
            </w:r>
            <w:r w:rsidR="00F33EF8">
              <w:rPr>
                <w:noProof/>
                <w:webHidden/>
              </w:rPr>
              <w:t>5</w:t>
            </w:r>
            <w:r w:rsidR="00F33EF8">
              <w:rPr>
                <w:noProof/>
                <w:webHidden/>
              </w:rPr>
              <w:fldChar w:fldCharType="end"/>
            </w:r>
          </w:hyperlink>
        </w:p>
        <w:p w14:paraId="7E7728B4" w14:textId="7CA5C262" w:rsidR="00F33EF8" w:rsidRDefault="00C20351">
          <w:pPr>
            <w:pStyle w:val="TDC2"/>
            <w:tabs>
              <w:tab w:val="left" w:pos="880"/>
              <w:tab w:val="right" w:leader="dot" w:pos="8921"/>
            </w:tabs>
            <w:rPr>
              <w:rFonts w:eastAsiaTheme="minorEastAsia" w:cstheme="minorBidi"/>
              <w:b w:val="0"/>
              <w:bCs w:val="0"/>
              <w:noProof/>
              <w:lang w:val="es-US" w:eastAsia="es-US"/>
            </w:rPr>
          </w:pPr>
          <w:hyperlink w:anchor="_Toc94522211" w:history="1">
            <w:r w:rsidR="00F33EF8" w:rsidRPr="008575DA">
              <w:rPr>
                <w:rStyle w:val="Hipervnculo"/>
                <w:rFonts w:ascii="Arial" w:hAnsi="Arial" w:cs="Arial"/>
                <w:noProof/>
              </w:rPr>
              <w:t>1.5</w:t>
            </w:r>
            <w:r w:rsidR="00F33EF8">
              <w:rPr>
                <w:rFonts w:eastAsiaTheme="minorEastAsia" w:cstheme="minorBidi"/>
                <w:b w:val="0"/>
                <w:bCs w:val="0"/>
                <w:noProof/>
                <w:lang w:val="es-US" w:eastAsia="es-US"/>
              </w:rPr>
              <w:tab/>
            </w:r>
            <w:r w:rsidR="00F33EF8" w:rsidRPr="008575DA">
              <w:rPr>
                <w:rStyle w:val="Hipervnculo"/>
                <w:rFonts w:ascii="Arial" w:hAnsi="Arial" w:cs="Arial"/>
                <w:noProof/>
              </w:rPr>
              <w:t>Objetivo General del Fideicomiso 544</w:t>
            </w:r>
            <w:r w:rsidR="00F33EF8">
              <w:rPr>
                <w:noProof/>
                <w:webHidden/>
              </w:rPr>
              <w:tab/>
            </w:r>
            <w:r w:rsidR="00F33EF8">
              <w:rPr>
                <w:noProof/>
                <w:webHidden/>
              </w:rPr>
              <w:fldChar w:fldCharType="begin"/>
            </w:r>
            <w:r w:rsidR="00F33EF8">
              <w:rPr>
                <w:noProof/>
                <w:webHidden/>
              </w:rPr>
              <w:instrText xml:space="preserve"> PAGEREF _Toc94522211 \h </w:instrText>
            </w:r>
            <w:r w:rsidR="00F33EF8">
              <w:rPr>
                <w:noProof/>
                <w:webHidden/>
              </w:rPr>
            </w:r>
            <w:r w:rsidR="00F33EF8">
              <w:rPr>
                <w:noProof/>
                <w:webHidden/>
              </w:rPr>
              <w:fldChar w:fldCharType="separate"/>
            </w:r>
            <w:r w:rsidR="00F33EF8">
              <w:rPr>
                <w:noProof/>
                <w:webHidden/>
              </w:rPr>
              <w:t>5</w:t>
            </w:r>
            <w:r w:rsidR="00F33EF8">
              <w:rPr>
                <w:noProof/>
                <w:webHidden/>
              </w:rPr>
              <w:fldChar w:fldCharType="end"/>
            </w:r>
          </w:hyperlink>
        </w:p>
        <w:p w14:paraId="3C617501" w14:textId="33D91227" w:rsidR="00F33EF8" w:rsidRDefault="00C20351">
          <w:pPr>
            <w:pStyle w:val="TDC2"/>
            <w:tabs>
              <w:tab w:val="right" w:leader="dot" w:pos="8921"/>
            </w:tabs>
            <w:rPr>
              <w:rFonts w:eastAsiaTheme="minorEastAsia" w:cstheme="minorBidi"/>
              <w:b w:val="0"/>
              <w:bCs w:val="0"/>
              <w:noProof/>
              <w:lang w:val="es-US" w:eastAsia="es-US"/>
            </w:rPr>
          </w:pPr>
          <w:hyperlink w:anchor="_Toc94522212" w:history="1">
            <w:r w:rsidR="00F33EF8" w:rsidRPr="008575DA">
              <w:rPr>
                <w:rStyle w:val="Hipervnculo"/>
                <w:rFonts w:ascii="Arial" w:hAnsi="Arial" w:cs="Arial"/>
                <w:noProof/>
              </w:rPr>
              <w:t>1.6 Objetivos Específicos:</w:t>
            </w:r>
            <w:r w:rsidR="00F33EF8">
              <w:rPr>
                <w:noProof/>
                <w:webHidden/>
              </w:rPr>
              <w:tab/>
            </w:r>
            <w:r w:rsidR="00F33EF8">
              <w:rPr>
                <w:noProof/>
                <w:webHidden/>
              </w:rPr>
              <w:fldChar w:fldCharType="begin"/>
            </w:r>
            <w:r w:rsidR="00F33EF8">
              <w:rPr>
                <w:noProof/>
                <w:webHidden/>
              </w:rPr>
              <w:instrText xml:space="preserve"> PAGEREF _Toc94522212 \h </w:instrText>
            </w:r>
            <w:r w:rsidR="00F33EF8">
              <w:rPr>
                <w:noProof/>
                <w:webHidden/>
              </w:rPr>
            </w:r>
            <w:r w:rsidR="00F33EF8">
              <w:rPr>
                <w:noProof/>
                <w:webHidden/>
              </w:rPr>
              <w:fldChar w:fldCharType="separate"/>
            </w:r>
            <w:r w:rsidR="00F33EF8">
              <w:rPr>
                <w:noProof/>
                <w:webHidden/>
              </w:rPr>
              <w:t>5</w:t>
            </w:r>
            <w:r w:rsidR="00F33EF8">
              <w:rPr>
                <w:noProof/>
                <w:webHidden/>
              </w:rPr>
              <w:fldChar w:fldCharType="end"/>
            </w:r>
          </w:hyperlink>
        </w:p>
        <w:p w14:paraId="01D28BB2" w14:textId="401CCFE3" w:rsidR="00F33EF8" w:rsidRDefault="00C20351">
          <w:pPr>
            <w:pStyle w:val="TDC1"/>
            <w:tabs>
              <w:tab w:val="left" w:pos="440"/>
              <w:tab w:val="right" w:leader="dot" w:pos="8921"/>
            </w:tabs>
            <w:rPr>
              <w:rFonts w:eastAsiaTheme="minorEastAsia" w:cstheme="minorBidi"/>
              <w:b w:val="0"/>
              <w:bCs w:val="0"/>
              <w:i w:val="0"/>
              <w:iCs w:val="0"/>
              <w:noProof/>
              <w:sz w:val="22"/>
              <w:szCs w:val="22"/>
              <w:lang w:val="es-US" w:eastAsia="es-US"/>
            </w:rPr>
          </w:pPr>
          <w:hyperlink w:anchor="_Toc94522213" w:history="1">
            <w:r w:rsidR="00F33EF8" w:rsidRPr="008575DA">
              <w:rPr>
                <w:rStyle w:val="Hipervnculo"/>
                <w:rFonts w:ascii="Arial" w:hAnsi="Arial" w:cs="Arial"/>
                <w:noProof/>
                <w:lang w:bidi="en-US"/>
              </w:rPr>
              <w:t>2</w:t>
            </w:r>
            <w:r w:rsidR="00F33EF8">
              <w:rPr>
                <w:rFonts w:eastAsiaTheme="minorEastAsia" w:cstheme="minorBidi"/>
                <w:b w:val="0"/>
                <w:bCs w:val="0"/>
                <w:i w:val="0"/>
                <w:iCs w:val="0"/>
                <w:noProof/>
                <w:sz w:val="22"/>
                <w:szCs w:val="22"/>
                <w:lang w:val="es-US" w:eastAsia="es-US"/>
              </w:rPr>
              <w:tab/>
            </w:r>
            <w:r w:rsidR="00F33EF8" w:rsidRPr="008575DA">
              <w:rPr>
                <w:rStyle w:val="Hipervnculo"/>
                <w:rFonts w:ascii="Arial" w:hAnsi="Arial" w:cs="Arial"/>
                <w:noProof/>
                <w:lang w:bidi="en-US"/>
              </w:rPr>
              <w:t>EJECUCION FISICA</w:t>
            </w:r>
            <w:r w:rsidR="00F33EF8">
              <w:rPr>
                <w:noProof/>
                <w:webHidden/>
              </w:rPr>
              <w:tab/>
            </w:r>
            <w:r w:rsidR="00F33EF8">
              <w:rPr>
                <w:noProof/>
                <w:webHidden/>
              </w:rPr>
              <w:fldChar w:fldCharType="begin"/>
            </w:r>
            <w:r w:rsidR="00F33EF8">
              <w:rPr>
                <w:noProof/>
                <w:webHidden/>
              </w:rPr>
              <w:instrText xml:space="preserve"> PAGEREF _Toc94522213 \h </w:instrText>
            </w:r>
            <w:r w:rsidR="00F33EF8">
              <w:rPr>
                <w:noProof/>
                <w:webHidden/>
              </w:rPr>
            </w:r>
            <w:r w:rsidR="00F33EF8">
              <w:rPr>
                <w:noProof/>
                <w:webHidden/>
              </w:rPr>
              <w:fldChar w:fldCharType="separate"/>
            </w:r>
            <w:r w:rsidR="00F33EF8">
              <w:rPr>
                <w:noProof/>
                <w:webHidden/>
              </w:rPr>
              <w:t>6</w:t>
            </w:r>
            <w:r w:rsidR="00F33EF8">
              <w:rPr>
                <w:noProof/>
                <w:webHidden/>
              </w:rPr>
              <w:fldChar w:fldCharType="end"/>
            </w:r>
          </w:hyperlink>
        </w:p>
        <w:p w14:paraId="0545E776" w14:textId="37B3796F" w:rsidR="00F33EF8" w:rsidRDefault="00C20351">
          <w:pPr>
            <w:pStyle w:val="TDC1"/>
            <w:tabs>
              <w:tab w:val="left" w:pos="440"/>
              <w:tab w:val="right" w:leader="dot" w:pos="8921"/>
            </w:tabs>
            <w:rPr>
              <w:rFonts w:eastAsiaTheme="minorEastAsia" w:cstheme="minorBidi"/>
              <w:b w:val="0"/>
              <w:bCs w:val="0"/>
              <w:i w:val="0"/>
              <w:iCs w:val="0"/>
              <w:noProof/>
              <w:sz w:val="22"/>
              <w:szCs w:val="22"/>
              <w:lang w:val="es-US" w:eastAsia="es-US"/>
            </w:rPr>
          </w:pPr>
          <w:hyperlink w:anchor="_Toc94522214" w:history="1">
            <w:r w:rsidR="00F33EF8" w:rsidRPr="008575DA">
              <w:rPr>
                <w:rStyle w:val="Hipervnculo"/>
                <w:rFonts w:ascii="Arial" w:hAnsi="Arial" w:cs="Arial"/>
                <w:noProof/>
              </w:rPr>
              <w:t>a)</w:t>
            </w:r>
            <w:r w:rsidR="00F33EF8">
              <w:rPr>
                <w:rFonts w:eastAsiaTheme="minorEastAsia" w:cstheme="minorBidi"/>
                <w:b w:val="0"/>
                <w:bCs w:val="0"/>
                <w:i w:val="0"/>
                <w:iCs w:val="0"/>
                <w:noProof/>
                <w:sz w:val="22"/>
                <w:szCs w:val="22"/>
                <w:lang w:val="es-US" w:eastAsia="es-US"/>
              </w:rPr>
              <w:tab/>
            </w:r>
            <w:r w:rsidR="00F33EF8" w:rsidRPr="008575DA">
              <w:rPr>
                <w:rStyle w:val="Hipervnculo"/>
                <w:rFonts w:ascii="Arial" w:hAnsi="Arial" w:cs="Arial"/>
                <w:noProof/>
              </w:rPr>
              <w:t>Resultados de la Ejecución Presupuestaria</w:t>
            </w:r>
            <w:r w:rsidR="00F33EF8">
              <w:rPr>
                <w:noProof/>
                <w:webHidden/>
              </w:rPr>
              <w:tab/>
            </w:r>
            <w:r w:rsidR="00F33EF8">
              <w:rPr>
                <w:noProof/>
                <w:webHidden/>
              </w:rPr>
              <w:fldChar w:fldCharType="begin"/>
            </w:r>
            <w:r w:rsidR="00F33EF8">
              <w:rPr>
                <w:noProof/>
                <w:webHidden/>
              </w:rPr>
              <w:instrText xml:space="preserve"> PAGEREF _Toc94522214 \h </w:instrText>
            </w:r>
            <w:r w:rsidR="00F33EF8">
              <w:rPr>
                <w:noProof/>
                <w:webHidden/>
              </w:rPr>
            </w:r>
            <w:r w:rsidR="00F33EF8">
              <w:rPr>
                <w:noProof/>
                <w:webHidden/>
              </w:rPr>
              <w:fldChar w:fldCharType="separate"/>
            </w:r>
            <w:r w:rsidR="00F33EF8">
              <w:rPr>
                <w:noProof/>
                <w:webHidden/>
              </w:rPr>
              <w:t>7</w:t>
            </w:r>
            <w:r w:rsidR="00F33EF8">
              <w:rPr>
                <w:noProof/>
                <w:webHidden/>
              </w:rPr>
              <w:fldChar w:fldCharType="end"/>
            </w:r>
          </w:hyperlink>
        </w:p>
        <w:p w14:paraId="65CD4B65" w14:textId="25177ABD" w:rsidR="00F33EF8" w:rsidRDefault="00C20351">
          <w:pPr>
            <w:pStyle w:val="TDC3"/>
            <w:tabs>
              <w:tab w:val="right" w:leader="dot" w:pos="8921"/>
            </w:tabs>
            <w:rPr>
              <w:rFonts w:eastAsiaTheme="minorEastAsia" w:cstheme="minorBidi"/>
              <w:noProof/>
              <w:sz w:val="22"/>
              <w:szCs w:val="22"/>
              <w:lang w:val="es-US" w:eastAsia="es-US"/>
            </w:rPr>
          </w:pPr>
          <w:hyperlink w:anchor="_Toc94522215" w:history="1">
            <w:r w:rsidR="00F33EF8" w:rsidRPr="008575DA">
              <w:rPr>
                <w:rStyle w:val="Hipervnculo"/>
                <w:rFonts w:ascii="Arial" w:hAnsi="Arial" w:cs="Arial"/>
                <w:noProof/>
              </w:rPr>
              <w:t>3.  Ejecución Financiera</w:t>
            </w:r>
            <w:r w:rsidR="00F33EF8">
              <w:rPr>
                <w:noProof/>
                <w:webHidden/>
              </w:rPr>
              <w:tab/>
            </w:r>
            <w:r w:rsidR="00F33EF8">
              <w:rPr>
                <w:noProof/>
                <w:webHidden/>
              </w:rPr>
              <w:fldChar w:fldCharType="begin"/>
            </w:r>
            <w:r w:rsidR="00F33EF8">
              <w:rPr>
                <w:noProof/>
                <w:webHidden/>
              </w:rPr>
              <w:instrText xml:space="preserve"> PAGEREF _Toc94522215 \h </w:instrText>
            </w:r>
            <w:r w:rsidR="00F33EF8">
              <w:rPr>
                <w:noProof/>
                <w:webHidden/>
              </w:rPr>
            </w:r>
            <w:r w:rsidR="00F33EF8">
              <w:rPr>
                <w:noProof/>
                <w:webHidden/>
              </w:rPr>
              <w:fldChar w:fldCharType="separate"/>
            </w:r>
            <w:r w:rsidR="00F33EF8">
              <w:rPr>
                <w:noProof/>
                <w:webHidden/>
              </w:rPr>
              <w:t>7</w:t>
            </w:r>
            <w:r w:rsidR="00F33EF8">
              <w:rPr>
                <w:noProof/>
                <w:webHidden/>
              </w:rPr>
              <w:fldChar w:fldCharType="end"/>
            </w:r>
          </w:hyperlink>
        </w:p>
        <w:p w14:paraId="0FD25500" w14:textId="6D83E418" w:rsidR="00F33EF8" w:rsidRDefault="00C20351">
          <w:pPr>
            <w:pStyle w:val="TDC3"/>
            <w:tabs>
              <w:tab w:val="right" w:leader="dot" w:pos="8921"/>
            </w:tabs>
            <w:rPr>
              <w:rFonts w:eastAsiaTheme="minorEastAsia" w:cstheme="minorBidi"/>
              <w:noProof/>
              <w:sz w:val="22"/>
              <w:szCs w:val="22"/>
              <w:lang w:val="es-US" w:eastAsia="es-US"/>
            </w:rPr>
          </w:pPr>
          <w:hyperlink w:anchor="_Toc94522216" w:history="1">
            <w:r w:rsidR="00F33EF8" w:rsidRPr="008575DA">
              <w:rPr>
                <w:rStyle w:val="Hipervnculo"/>
                <w:rFonts w:ascii="Arial" w:hAnsi="Arial" w:cs="Arial"/>
                <w:noProof/>
              </w:rPr>
              <w:t>3.1 Ejecución del Presupuesto de Ingresos</w:t>
            </w:r>
            <w:r w:rsidR="00F33EF8">
              <w:rPr>
                <w:noProof/>
                <w:webHidden/>
              </w:rPr>
              <w:tab/>
            </w:r>
            <w:r w:rsidR="00F33EF8">
              <w:rPr>
                <w:noProof/>
                <w:webHidden/>
              </w:rPr>
              <w:fldChar w:fldCharType="begin"/>
            </w:r>
            <w:r w:rsidR="00F33EF8">
              <w:rPr>
                <w:noProof/>
                <w:webHidden/>
              </w:rPr>
              <w:instrText xml:space="preserve"> PAGEREF _Toc94522216 \h </w:instrText>
            </w:r>
            <w:r w:rsidR="00F33EF8">
              <w:rPr>
                <w:noProof/>
                <w:webHidden/>
              </w:rPr>
            </w:r>
            <w:r w:rsidR="00F33EF8">
              <w:rPr>
                <w:noProof/>
                <w:webHidden/>
              </w:rPr>
              <w:fldChar w:fldCharType="separate"/>
            </w:r>
            <w:r w:rsidR="00F33EF8">
              <w:rPr>
                <w:noProof/>
                <w:webHidden/>
              </w:rPr>
              <w:t>7</w:t>
            </w:r>
            <w:r w:rsidR="00F33EF8">
              <w:rPr>
                <w:noProof/>
                <w:webHidden/>
              </w:rPr>
              <w:fldChar w:fldCharType="end"/>
            </w:r>
          </w:hyperlink>
        </w:p>
        <w:p w14:paraId="13139A19" w14:textId="5E7455E8" w:rsidR="00F33EF8" w:rsidRDefault="00C20351">
          <w:pPr>
            <w:pStyle w:val="TDC3"/>
            <w:tabs>
              <w:tab w:val="right" w:leader="dot" w:pos="8921"/>
            </w:tabs>
            <w:rPr>
              <w:rFonts w:eastAsiaTheme="minorEastAsia" w:cstheme="minorBidi"/>
              <w:noProof/>
              <w:sz w:val="22"/>
              <w:szCs w:val="22"/>
              <w:lang w:val="es-US" w:eastAsia="es-US"/>
            </w:rPr>
          </w:pPr>
          <w:hyperlink w:anchor="_Toc94522217" w:history="1">
            <w:r w:rsidR="00F33EF8" w:rsidRPr="008575DA">
              <w:rPr>
                <w:rStyle w:val="Hipervnculo"/>
                <w:rFonts w:ascii="Arial" w:hAnsi="Arial" w:cs="Arial"/>
                <w:noProof/>
              </w:rPr>
              <w:t>3.2 Ejecución del Presupuesto de Egresos</w:t>
            </w:r>
            <w:r w:rsidR="00F33EF8">
              <w:rPr>
                <w:noProof/>
                <w:webHidden/>
              </w:rPr>
              <w:tab/>
            </w:r>
            <w:r w:rsidR="00F33EF8">
              <w:rPr>
                <w:noProof/>
                <w:webHidden/>
              </w:rPr>
              <w:fldChar w:fldCharType="begin"/>
            </w:r>
            <w:r w:rsidR="00F33EF8">
              <w:rPr>
                <w:noProof/>
                <w:webHidden/>
              </w:rPr>
              <w:instrText xml:space="preserve"> PAGEREF _Toc94522217 \h </w:instrText>
            </w:r>
            <w:r w:rsidR="00F33EF8">
              <w:rPr>
                <w:noProof/>
                <w:webHidden/>
              </w:rPr>
            </w:r>
            <w:r w:rsidR="00F33EF8">
              <w:rPr>
                <w:noProof/>
                <w:webHidden/>
              </w:rPr>
              <w:fldChar w:fldCharType="separate"/>
            </w:r>
            <w:r w:rsidR="00F33EF8">
              <w:rPr>
                <w:noProof/>
                <w:webHidden/>
              </w:rPr>
              <w:t>8</w:t>
            </w:r>
            <w:r w:rsidR="00F33EF8">
              <w:rPr>
                <w:noProof/>
                <w:webHidden/>
              </w:rPr>
              <w:fldChar w:fldCharType="end"/>
            </w:r>
          </w:hyperlink>
        </w:p>
        <w:p w14:paraId="720B744A" w14:textId="0CEB6C9A" w:rsidR="00F33EF8" w:rsidRDefault="00C20351">
          <w:pPr>
            <w:pStyle w:val="TDC1"/>
            <w:tabs>
              <w:tab w:val="right" w:leader="dot" w:pos="8921"/>
            </w:tabs>
            <w:rPr>
              <w:rFonts w:eastAsiaTheme="minorEastAsia" w:cstheme="minorBidi"/>
              <w:b w:val="0"/>
              <w:bCs w:val="0"/>
              <w:i w:val="0"/>
              <w:iCs w:val="0"/>
              <w:noProof/>
              <w:sz w:val="22"/>
              <w:szCs w:val="22"/>
              <w:lang w:val="es-US" w:eastAsia="es-US"/>
            </w:rPr>
          </w:pPr>
          <w:hyperlink w:anchor="_Toc94522218" w:history="1">
            <w:r w:rsidR="00F33EF8" w:rsidRPr="008575DA">
              <w:rPr>
                <w:rStyle w:val="Hipervnculo"/>
                <w:rFonts w:ascii="Arial" w:hAnsi="Arial" w:cs="Arial"/>
                <w:noProof/>
                <w:lang w:bidi="en-US"/>
              </w:rPr>
              <w:t>b) Información Complementaria</w:t>
            </w:r>
            <w:r w:rsidR="00F33EF8">
              <w:rPr>
                <w:noProof/>
                <w:webHidden/>
              </w:rPr>
              <w:tab/>
            </w:r>
            <w:r w:rsidR="00F33EF8">
              <w:rPr>
                <w:noProof/>
                <w:webHidden/>
              </w:rPr>
              <w:fldChar w:fldCharType="begin"/>
            </w:r>
            <w:r w:rsidR="00F33EF8">
              <w:rPr>
                <w:noProof/>
                <w:webHidden/>
              </w:rPr>
              <w:instrText xml:space="preserve"> PAGEREF _Toc94522218 \h </w:instrText>
            </w:r>
            <w:r w:rsidR="00F33EF8">
              <w:rPr>
                <w:noProof/>
                <w:webHidden/>
              </w:rPr>
            </w:r>
            <w:r w:rsidR="00F33EF8">
              <w:rPr>
                <w:noProof/>
                <w:webHidden/>
              </w:rPr>
              <w:fldChar w:fldCharType="separate"/>
            </w:r>
            <w:r w:rsidR="00F33EF8">
              <w:rPr>
                <w:noProof/>
                <w:webHidden/>
              </w:rPr>
              <w:t>9</w:t>
            </w:r>
            <w:r w:rsidR="00F33EF8">
              <w:rPr>
                <w:noProof/>
                <w:webHidden/>
              </w:rPr>
              <w:fldChar w:fldCharType="end"/>
            </w:r>
          </w:hyperlink>
        </w:p>
        <w:p w14:paraId="3C793877" w14:textId="403C0802" w:rsidR="00F33EF8" w:rsidRDefault="00C20351">
          <w:pPr>
            <w:pStyle w:val="TDC2"/>
            <w:tabs>
              <w:tab w:val="right" w:leader="dot" w:pos="8921"/>
            </w:tabs>
            <w:rPr>
              <w:rFonts w:eastAsiaTheme="minorEastAsia" w:cstheme="minorBidi"/>
              <w:b w:val="0"/>
              <w:bCs w:val="0"/>
              <w:noProof/>
              <w:lang w:val="es-US" w:eastAsia="es-US"/>
            </w:rPr>
          </w:pPr>
          <w:hyperlink w:anchor="_Toc94522219" w:history="1">
            <w:r w:rsidR="00F33EF8" w:rsidRPr="008575DA">
              <w:rPr>
                <w:rStyle w:val="Hipervnculo"/>
                <w:rFonts w:ascii="Arial" w:hAnsi="Arial" w:cs="Arial"/>
                <w:noProof/>
              </w:rPr>
              <w:t>4. COMENTARIOS DE INGRESOS</w:t>
            </w:r>
            <w:r w:rsidR="00F33EF8">
              <w:rPr>
                <w:noProof/>
                <w:webHidden/>
              </w:rPr>
              <w:tab/>
            </w:r>
            <w:r w:rsidR="00F33EF8">
              <w:rPr>
                <w:noProof/>
                <w:webHidden/>
              </w:rPr>
              <w:fldChar w:fldCharType="begin"/>
            </w:r>
            <w:r w:rsidR="00F33EF8">
              <w:rPr>
                <w:noProof/>
                <w:webHidden/>
              </w:rPr>
              <w:instrText xml:space="preserve"> PAGEREF _Toc94522219 \h </w:instrText>
            </w:r>
            <w:r w:rsidR="00F33EF8">
              <w:rPr>
                <w:noProof/>
                <w:webHidden/>
              </w:rPr>
            </w:r>
            <w:r w:rsidR="00F33EF8">
              <w:rPr>
                <w:noProof/>
                <w:webHidden/>
              </w:rPr>
              <w:fldChar w:fldCharType="separate"/>
            </w:r>
            <w:r w:rsidR="00F33EF8">
              <w:rPr>
                <w:noProof/>
                <w:webHidden/>
              </w:rPr>
              <w:t>9</w:t>
            </w:r>
            <w:r w:rsidR="00F33EF8">
              <w:rPr>
                <w:noProof/>
                <w:webHidden/>
              </w:rPr>
              <w:fldChar w:fldCharType="end"/>
            </w:r>
          </w:hyperlink>
        </w:p>
        <w:p w14:paraId="1177F132" w14:textId="273A0CF0" w:rsidR="00F33EF8" w:rsidRDefault="00C20351">
          <w:pPr>
            <w:pStyle w:val="TDC2"/>
            <w:tabs>
              <w:tab w:val="right" w:leader="dot" w:pos="8921"/>
            </w:tabs>
            <w:rPr>
              <w:rFonts w:eastAsiaTheme="minorEastAsia" w:cstheme="minorBidi"/>
              <w:b w:val="0"/>
              <w:bCs w:val="0"/>
              <w:noProof/>
              <w:lang w:val="es-US" w:eastAsia="es-US"/>
            </w:rPr>
          </w:pPr>
          <w:hyperlink w:anchor="_Toc94522220" w:history="1">
            <w:r w:rsidR="00F33EF8" w:rsidRPr="008575DA">
              <w:rPr>
                <w:rStyle w:val="Hipervnculo"/>
                <w:rFonts w:ascii="Arial" w:hAnsi="Arial" w:cs="Arial"/>
                <w:noProof/>
              </w:rPr>
              <w:t>5. COMENTARIOS DE EGRESOS</w:t>
            </w:r>
            <w:r w:rsidR="00F33EF8">
              <w:rPr>
                <w:noProof/>
                <w:webHidden/>
              </w:rPr>
              <w:tab/>
            </w:r>
            <w:r w:rsidR="00F33EF8">
              <w:rPr>
                <w:noProof/>
                <w:webHidden/>
              </w:rPr>
              <w:fldChar w:fldCharType="begin"/>
            </w:r>
            <w:r w:rsidR="00F33EF8">
              <w:rPr>
                <w:noProof/>
                <w:webHidden/>
              </w:rPr>
              <w:instrText xml:space="preserve"> PAGEREF _Toc94522220 \h </w:instrText>
            </w:r>
            <w:r w:rsidR="00F33EF8">
              <w:rPr>
                <w:noProof/>
                <w:webHidden/>
              </w:rPr>
            </w:r>
            <w:r w:rsidR="00F33EF8">
              <w:rPr>
                <w:noProof/>
                <w:webHidden/>
              </w:rPr>
              <w:fldChar w:fldCharType="separate"/>
            </w:r>
            <w:r w:rsidR="00F33EF8">
              <w:rPr>
                <w:noProof/>
                <w:webHidden/>
              </w:rPr>
              <w:t>11</w:t>
            </w:r>
            <w:r w:rsidR="00F33EF8">
              <w:rPr>
                <w:noProof/>
                <w:webHidden/>
              </w:rPr>
              <w:fldChar w:fldCharType="end"/>
            </w:r>
          </w:hyperlink>
        </w:p>
        <w:p w14:paraId="416CB4F9" w14:textId="32CC11CA" w:rsidR="00F33EF8" w:rsidRDefault="00C20351">
          <w:pPr>
            <w:pStyle w:val="TDC2"/>
            <w:tabs>
              <w:tab w:val="right" w:leader="dot" w:pos="8921"/>
            </w:tabs>
            <w:rPr>
              <w:rFonts w:eastAsiaTheme="minorEastAsia" w:cstheme="minorBidi"/>
              <w:b w:val="0"/>
              <w:bCs w:val="0"/>
              <w:noProof/>
              <w:lang w:val="es-US" w:eastAsia="es-US"/>
            </w:rPr>
          </w:pPr>
          <w:hyperlink w:anchor="_Toc94522221" w:history="1">
            <w:r w:rsidR="00F33EF8" w:rsidRPr="008575DA">
              <w:rPr>
                <w:rStyle w:val="Hipervnculo"/>
                <w:rFonts w:ascii="Arial" w:hAnsi="Arial" w:cs="Arial"/>
                <w:noProof/>
              </w:rPr>
              <w:t>7. EJECUCION DEL PRESUPUESTO DE EGRESOS POR PROGRAMA</w:t>
            </w:r>
            <w:r w:rsidR="00F33EF8">
              <w:rPr>
                <w:noProof/>
                <w:webHidden/>
              </w:rPr>
              <w:tab/>
            </w:r>
            <w:r w:rsidR="00F33EF8">
              <w:rPr>
                <w:noProof/>
                <w:webHidden/>
              </w:rPr>
              <w:fldChar w:fldCharType="begin"/>
            </w:r>
            <w:r w:rsidR="00F33EF8">
              <w:rPr>
                <w:noProof/>
                <w:webHidden/>
              </w:rPr>
              <w:instrText xml:space="preserve"> PAGEREF _Toc94522221 \h </w:instrText>
            </w:r>
            <w:r w:rsidR="00F33EF8">
              <w:rPr>
                <w:noProof/>
                <w:webHidden/>
              </w:rPr>
            </w:r>
            <w:r w:rsidR="00F33EF8">
              <w:rPr>
                <w:noProof/>
                <w:webHidden/>
              </w:rPr>
              <w:fldChar w:fldCharType="separate"/>
            </w:r>
            <w:r w:rsidR="00F33EF8">
              <w:rPr>
                <w:noProof/>
                <w:webHidden/>
              </w:rPr>
              <w:t>16</w:t>
            </w:r>
            <w:r w:rsidR="00F33EF8">
              <w:rPr>
                <w:noProof/>
                <w:webHidden/>
              </w:rPr>
              <w:fldChar w:fldCharType="end"/>
            </w:r>
          </w:hyperlink>
        </w:p>
        <w:p w14:paraId="02679BF0" w14:textId="0180902C" w:rsidR="00F33EF8" w:rsidRDefault="00C20351">
          <w:pPr>
            <w:pStyle w:val="TDC2"/>
            <w:tabs>
              <w:tab w:val="left" w:pos="660"/>
              <w:tab w:val="right" w:leader="dot" w:pos="8921"/>
            </w:tabs>
            <w:rPr>
              <w:rFonts w:eastAsiaTheme="minorEastAsia" w:cstheme="minorBidi"/>
              <w:b w:val="0"/>
              <w:bCs w:val="0"/>
              <w:noProof/>
              <w:lang w:val="es-US" w:eastAsia="es-US"/>
            </w:rPr>
          </w:pPr>
          <w:hyperlink w:anchor="_Toc94522222" w:history="1">
            <w:r w:rsidR="00F33EF8" w:rsidRPr="008575DA">
              <w:rPr>
                <w:rStyle w:val="Hipervnculo"/>
                <w:rFonts w:ascii="Arial" w:hAnsi="Arial" w:cs="Arial"/>
                <w:noProof/>
              </w:rPr>
              <w:t>8.</w:t>
            </w:r>
            <w:r w:rsidR="00F33EF8">
              <w:rPr>
                <w:rFonts w:eastAsiaTheme="minorEastAsia" w:cstheme="minorBidi"/>
                <w:b w:val="0"/>
                <w:bCs w:val="0"/>
                <w:noProof/>
                <w:lang w:val="es-US" w:eastAsia="es-US"/>
              </w:rPr>
              <w:tab/>
            </w:r>
            <w:r w:rsidR="00F33EF8" w:rsidRPr="008575DA">
              <w:rPr>
                <w:rStyle w:val="Hipervnculo"/>
                <w:rFonts w:ascii="Arial" w:hAnsi="Arial" w:cs="Arial"/>
                <w:noProof/>
              </w:rPr>
              <w:t>LIQUIDACION PRESUPUESTARIA</w:t>
            </w:r>
            <w:r w:rsidR="00F33EF8">
              <w:rPr>
                <w:noProof/>
                <w:webHidden/>
              </w:rPr>
              <w:tab/>
            </w:r>
            <w:r w:rsidR="00F33EF8">
              <w:rPr>
                <w:noProof/>
                <w:webHidden/>
              </w:rPr>
              <w:fldChar w:fldCharType="begin"/>
            </w:r>
            <w:r w:rsidR="00F33EF8">
              <w:rPr>
                <w:noProof/>
                <w:webHidden/>
              </w:rPr>
              <w:instrText xml:space="preserve"> PAGEREF _Toc94522222 \h </w:instrText>
            </w:r>
            <w:r w:rsidR="00F33EF8">
              <w:rPr>
                <w:noProof/>
                <w:webHidden/>
              </w:rPr>
            </w:r>
            <w:r w:rsidR="00F33EF8">
              <w:rPr>
                <w:noProof/>
                <w:webHidden/>
              </w:rPr>
              <w:fldChar w:fldCharType="separate"/>
            </w:r>
            <w:r w:rsidR="00F33EF8">
              <w:rPr>
                <w:noProof/>
                <w:webHidden/>
              </w:rPr>
              <w:t>17</w:t>
            </w:r>
            <w:r w:rsidR="00F33EF8">
              <w:rPr>
                <w:noProof/>
                <w:webHidden/>
              </w:rPr>
              <w:fldChar w:fldCharType="end"/>
            </w:r>
          </w:hyperlink>
        </w:p>
        <w:p w14:paraId="5BD5F3BE" w14:textId="11F39F96" w:rsidR="00F33EF8" w:rsidRDefault="00C20351">
          <w:pPr>
            <w:pStyle w:val="TDC2"/>
            <w:tabs>
              <w:tab w:val="right" w:leader="dot" w:pos="8921"/>
            </w:tabs>
            <w:rPr>
              <w:rFonts w:eastAsiaTheme="minorEastAsia" w:cstheme="minorBidi"/>
              <w:b w:val="0"/>
              <w:bCs w:val="0"/>
              <w:noProof/>
              <w:lang w:val="es-US" w:eastAsia="es-US"/>
            </w:rPr>
          </w:pPr>
          <w:hyperlink w:anchor="_Toc94522223" w:history="1">
            <w:r w:rsidR="00F33EF8" w:rsidRPr="008575DA">
              <w:rPr>
                <w:rStyle w:val="Hipervnculo"/>
                <w:rFonts w:ascii="Arial" w:hAnsi="Arial" w:cs="Arial"/>
                <w:noProof/>
              </w:rPr>
              <w:t>9.Evaluación</w:t>
            </w:r>
            <w:r w:rsidR="00F33EF8" w:rsidRPr="008575DA">
              <w:rPr>
                <w:rStyle w:val="Hipervnculo"/>
                <w:rFonts w:ascii="Arial" w:eastAsia="Times New Roman" w:hAnsi="Arial" w:cs="Arial"/>
                <w:noProof/>
                <w:lang w:eastAsia="es-CR"/>
              </w:rPr>
              <w:t xml:space="preserve"> de los resultados</w:t>
            </w:r>
            <w:r w:rsidR="00F33EF8">
              <w:rPr>
                <w:noProof/>
                <w:webHidden/>
              </w:rPr>
              <w:tab/>
            </w:r>
            <w:r w:rsidR="00F33EF8">
              <w:rPr>
                <w:noProof/>
                <w:webHidden/>
              </w:rPr>
              <w:fldChar w:fldCharType="begin"/>
            </w:r>
            <w:r w:rsidR="00F33EF8">
              <w:rPr>
                <w:noProof/>
                <w:webHidden/>
              </w:rPr>
              <w:instrText xml:space="preserve"> PAGEREF _Toc94522223 \h </w:instrText>
            </w:r>
            <w:r w:rsidR="00F33EF8">
              <w:rPr>
                <w:noProof/>
                <w:webHidden/>
              </w:rPr>
            </w:r>
            <w:r w:rsidR="00F33EF8">
              <w:rPr>
                <w:noProof/>
                <w:webHidden/>
              </w:rPr>
              <w:fldChar w:fldCharType="separate"/>
            </w:r>
            <w:r w:rsidR="00F33EF8">
              <w:rPr>
                <w:noProof/>
                <w:webHidden/>
              </w:rPr>
              <w:t>17</w:t>
            </w:r>
            <w:r w:rsidR="00F33EF8">
              <w:rPr>
                <w:noProof/>
                <w:webHidden/>
              </w:rPr>
              <w:fldChar w:fldCharType="end"/>
            </w:r>
          </w:hyperlink>
        </w:p>
        <w:p w14:paraId="39F4AAA6" w14:textId="182D22AE" w:rsidR="00F33EF8" w:rsidRDefault="00C20351">
          <w:pPr>
            <w:pStyle w:val="TDC2"/>
            <w:tabs>
              <w:tab w:val="right" w:leader="dot" w:pos="8921"/>
            </w:tabs>
            <w:rPr>
              <w:rFonts w:eastAsiaTheme="minorEastAsia" w:cstheme="minorBidi"/>
              <w:b w:val="0"/>
              <w:bCs w:val="0"/>
              <w:noProof/>
              <w:lang w:val="es-US" w:eastAsia="es-US"/>
            </w:rPr>
          </w:pPr>
          <w:hyperlink w:anchor="_Toc94522224" w:history="1">
            <w:r w:rsidR="00F33EF8" w:rsidRPr="008575DA">
              <w:rPr>
                <w:rStyle w:val="Hipervnculo"/>
                <w:rFonts w:ascii="Arial" w:hAnsi="Arial" w:cs="Arial"/>
                <w:noProof/>
              </w:rPr>
              <w:t>9.1 Avance en el cumplimiento de objetivos y metas</w:t>
            </w:r>
            <w:r w:rsidR="00F33EF8">
              <w:rPr>
                <w:noProof/>
                <w:webHidden/>
              </w:rPr>
              <w:tab/>
            </w:r>
            <w:r w:rsidR="00F33EF8">
              <w:rPr>
                <w:noProof/>
                <w:webHidden/>
              </w:rPr>
              <w:fldChar w:fldCharType="begin"/>
            </w:r>
            <w:r w:rsidR="00F33EF8">
              <w:rPr>
                <w:noProof/>
                <w:webHidden/>
              </w:rPr>
              <w:instrText xml:space="preserve"> PAGEREF _Toc94522224 \h </w:instrText>
            </w:r>
            <w:r w:rsidR="00F33EF8">
              <w:rPr>
                <w:noProof/>
                <w:webHidden/>
              </w:rPr>
            </w:r>
            <w:r w:rsidR="00F33EF8">
              <w:rPr>
                <w:noProof/>
                <w:webHidden/>
              </w:rPr>
              <w:fldChar w:fldCharType="separate"/>
            </w:r>
            <w:r w:rsidR="00F33EF8">
              <w:rPr>
                <w:noProof/>
                <w:webHidden/>
              </w:rPr>
              <w:t>17</w:t>
            </w:r>
            <w:r w:rsidR="00F33EF8">
              <w:rPr>
                <w:noProof/>
                <w:webHidden/>
              </w:rPr>
              <w:fldChar w:fldCharType="end"/>
            </w:r>
          </w:hyperlink>
        </w:p>
        <w:p w14:paraId="7A437EFD" w14:textId="0D77F6C6" w:rsidR="00F33EF8" w:rsidRDefault="00C20351">
          <w:pPr>
            <w:pStyle w:val="TDC2"/>
            <w:tabs>
              <w:tab w:val="right" w:leader="dot" w:pos="8921"/>
            </w:tabs>
            <w:rPr>
              <w:rFonts w:eastAsiaTheme="minorEastAsia" w:cstheme="minorBidi"/>
              <w:b w:val="0"/>
              <w:bCs w:val="0"/>
              <w:noProof/>
              <w:lang w:val="es-US" w:eastAsia="es-US"/>
            </w:rPr>
          </w:pPr>
          <w:hyperlink w:anchor="_Toc94522225" w:history="1">
            <w:r w:rsidR="00F33EF8" w:rsidRPr="008575DA">
              <w:rPr>
                <w:rStyle w:val="Hipervnculo"/>
                <w:rFonts w:ascii="Arial" w:hAnsi="Arial" w:cs="Arial"/>
                <w:noProof/>
              </w:rPr>
              <w:t>9.2 Desviaciones de mayor relevancia</w:t>
            </w:r>
            <w:r w:rsidR="00F33EF8">
              <w:rPr>
                <w:noProof/>
                <w:webHidden/>
              </w:rPr>
              <w:tab/>
            </w:r>
            <w:r w:rsidR="00F33EF8">
              <w:rPr>
                <w:noProof/>
                <w:webHidden/>
              </w:rPr>
              <w:fldChar w:fldCharType="begin"/>
            </w:r>
            <w:r w:rsidR="00F33EF8">
              <w:rPr>
                <w:noProof/>
                <w:webHidden/>
              </w:rPr>
              <w:instrText xml:space="preserve"> PAGEREF _Toc94522225 \h </w:instrText>
            </w:r>
            <w:r w:rsidR="00F33EF8">
              <w:rPr>
                <w:noProof/>
                <w:webHidden/>
              </w:rPr>
            </w:r>
            <w:r w:rsidR="00F33EF8">
              <w:rPr>
                <w:noProof/>
                <w:webHidden/>
              </w:rPr>
              <w:fldChar w:fldCharType="separate"/>
            </w:r>
            <w:r w:rsidR="00F33EF8">
              <w:rPr>
                <w:noProof/>
                <w:webHidden/>
              </w:rPr>
              <w:t>18</w:t>
            </w:r>
            <w:r w:rsidR="00F33EF8">
              <w:rPr>
                <w:noProof/>
                <w:webHidden/>
              </w:rPr>
              <w:fldChar w:fldCharType="end"/>
            </w:r>
          </w:hyperlink>
        </w:p>
        <w:p w14:paraId="0A6BA434" w14:textId="350F636D" w:rsidR="00F33EF8" w:rsidRDefault="00C20351">
          <w:pPr>
            <w:pStyle w:val="TDC2"/>
            <w:tabs>
              <w:tab w:val="right" w:leader="dot" w:pos="8921"/>
            </w:tabs>
            <w:rPr>
              <w:rFonts w:eastAsiaTheme="minorEastAsia" w:cstheme="minorBidi"/>
              <w:b w:val="0"/>
              <w:bCs w:val="0"/>
              <w:noProof/>
              <w:lang w:val="es-US" w:eastAsia="es-US"/>
            </w:rPr>
          </w:pPr>
          <w:hyperlink w:anchor="_Toc94522226" w:history="1">
            <w:r w:rsidR="00F33EF8" w:rsidRPr="008575DA">
              <w:rPr>
                <w:rStyle w:val="Hipervnculo"/>
                <w:rFonts w:ascii="Arial" w:hAnsi="Arial" w:cs="Arial"/>
                <w:noProof/>
              </w:rPr>
              <w:t>9.3 Análisis del desempeño institucional</w:t>
            </w:r>
            <w:r w:rsidR="00F33EF8">
              <w:rPr>
                <w:noProof/>
                <w:webHidden/>
              </w:rPr>
              <w:tab/>
            </w:r>
            <w:r w:rsidR="00F33EF8">
              <w:rPr>
                <w:noProof/>
                <w:webHidden/>
              </w:rPr>
              <w:fldChar w:fldCharType="begin"/>
            </w:r>
            <w:r w:rsidR="00F33EF8">
              <w:rPr>
                <w:noProof/>
                <w:webHidden/>
              </w:rPr>
              <w:instrText xml:space="preserve"> PAGEREF _Toc94522226 \h </w:instrText>
            </w:r>
            <w:r w:rsidR="00F33EF8">
              <w:rPr>
                <w:noProof/>
                <w:webHidden/>
              </w:rPr>
            </w:r>
            <w:r w:rsidR="00F33EF8">
              <w:rPr>
                <w:noProof/>
                <w:webHidden/>
              </w:rPr>
              <w:fldChar w:fldCharType="separate"/>
            </w:r>
            <w:r w:rsidR="00F33EF8">
              <w:rPr>
                <w:noProof/>
                <w:webHidden/>
              </w:rPr>
              <w:t>18</w:t>
            </w:r>
            <w:r w:rsidR="00F33EF8">
              <w:rPr>
                <w:noProof/>
                <w:webHidden/>
              </w:rPr>
              <w:fldChar w:fldCharType="end"/>
            </w:r>
          </w:hyperlink>
        </w:p>
        <w:p w14:paraId="5E870EC5" w14:textId="7895B469" w:rsidR="00F33EF8" w:rsidRDefault="00C20351">
          <w:pPr>
            <w:pStyle w:val="TDC2"/>
            <w:tabs>
              <w:tab w:val="right" w:leader="dot" w:pos="8921"/>
            </w:tabs>
            <w:rPr>
              <w:rFonts w:eastAsiaTheme="minorEastAsia" w:cstheme="minorBidi"/>
              <w:b w:val="0"/>
              <w:bCs w:val="0"/>
              <w:noProof/>
              <w:lang w:val="es-US" w:eastAsia="es-US"/>
            </w:rPr>
          </w:pPr>
          <w:hyperlink w:anchor="_Toc94522227" w:history="1">
            <w:r w:rsidR="00F33EF8" w:rsidRPr="008575DA">
              <w:rPr>
                <w:rStyle w:val="Hipervnculo"/>
                <w:rFonts w:ascii="Arial" w:hAnsi="Arial" w:cs="Arial"/>
                <w:noProof/>
              </w:rPr>
              <w:t>9.4 Medidas correctivas</w:t>
            </w:r>
            <w:r w:rsidR="00F33EF8">
              <w:rPr>
                <w:noProof/>
                <w:webHidden/>
              </w:rPr>
              <w:tab/>
            </w:r>
            <w:r w:rsidR="00F33EF8">
              <w:rPr>
                <w:noProof/>
                <w:webHidden/>
              </w:rPr>
              <w:fldChar w:fldCharType="begin"/>
            </w:r>
            <w:r w:rsidR="00F33EF8">
              <w:rPr>
                <w:noProof/>
                <w:webHidden/>
              </w:rPr>
              <w:instrText xml:space="preserve"> PAGEREF _Toc94522227 \h </w:instrText>
            </w:r>
            <w:r w:rsidR="00F33EF8">
              <w:rPr>
                <w:noProof/>
                <w:webHidden/>
              </w:rPr>
            </w:r>
            <w:r w:rsidR="00F33EF8">
              <w:rPr>
                <w:noProof/>
                <w:webHidden/>
              </w:rPr>
              <w:fldChar w:fldCharType="separate"/>
            </w:r>
            <w:r w:rsidR="00F33EF8">
              <w:rPr>
                <w:noProof/>
                <w:webHidden/>
              </w:rPr>
              <w:t>21</w:t>
            </w:r>
            <w:r w:rsidR="00F33EF8">
              <w:rPr>
                <w:noProof/>
                <w:webHidden/>
              </w:rPr>
              <w:fldChar w:fldCharType="end"/>
            </w:r>
          </w:hyperlink>
        </w:p>
        <w:p w14:paraId="1D59D66B" w14:textId="7E4E7806" w:rsidR="00B77BF4" w:rsidRDefault="0020039E">
          <w:r>
            <w:rPr>
              <w:b/>
              <w:bCs/>
              <w:lang w:val="es-ES"/>
            </w:rPr>
            <w:fldChar w:fldCharType="end"/>
          </w:r>
        </w:p>
      </w:sdtContent>
    </w:sdt>
    <w:p w14:paraId="1A838BA8" w14:textId="77777777" w:rsidR="0064010E" w:rsidRDefault="0064010E" w:rsidP="0064010E">
      <w:pPr>
        <w:spacing w:line="240" w:lineRule="auto"/>
        <w:jc w:val="both"/>
        <w:rPr>
          <w:rFonts w:ascii="Arial" w:hAnsi="Arial" w:cs="Arial"/>
          <w:b/>
          <w:noProof/>
          <w:lang w:eastAsia="es-CR"/>
        </w:rPr>
      </w:pPr>
    </w:p>
    <w:p w14:paraId="43917C21" w14:textId="77777777" w:rsidR="001B61A5" w:rsidRDefault="001B61A5" w:rsidP="0064010E">
      <w:pPr>
        <w:spacing w:line="240" w:lineRule="auto"/>
        <w:jc w:val="both"/>
        <w:rPr>
          <w:rFonts w:ascii="Arial" w:hAnsi="Arial" w:cs="Arial"/>
          <w:b/>
          <w:noProof/>
          <w:lang w:eastAsia="es-CR"/>
        </w:rPr>
      </w:pPr>
    </w:p>
    <w:p w14:paraId="3F53DE7F" w14:textId="77777777" w:rsidR="001B61A5" w:rsidRDefault="001B61A5" w:rsidP="0064010E">
      <w:pPr>
        <w:spacing w:line="240" w:lineRule="auto"/>
        <w:jc w:val="both"/>
        <w:rPr>
          <w:rFonts w:ascii="Arial" w:hAnsi="Arial" w:cs="Arial"/>
          <w:b/>
          <w:noProof/>
          <w:lang w:eastAsia="es-CR"/>
        </w:rPr>
      </w:pPr>
    </w:p>
    <w:p w14:paraId="0F8B862E" w14:textId="77777777" w:rsidR="004D6CB4" w:rsidRDefault="004D6CB4" w:rsidP="00CA7ADD">
      <w:pPr>
        <w:spacing w:line="240" w:lineRule="auto"/>
        <w:rPr>
          <w:rFonts w:ascii="Arial" w:hAnsi="Arial" w:cs="Arial"/>
          <w:b/>
          <w:noProof/>
          <w:highlight w:val="yellow"/>
          <w:lang w:eastAsia="es-CR"/>
        </w:rPr>
      </w:pPr>
    </w:p>
    <w:p w14:paraId="76A75698" w14:textId="77777777" w:rsidR="004D6CB4" w:rsidRDefault="004D6CB4">
      <w:pPr>
        <w:rPr>
          <w:rFonts w:ascii="Arial" w:hAnsi="Arial" w:cs="Arial"/>
          <w:b/>
          <w:noProof/>
          <w:highlight w:val="yellow"/>
          <w:lang w:eastAsia="es-CR"/>
        </w:rPr>
      </w:pPr>
      <w:r>
        <w:rPr>
          <w:rFonts w:ascii="Arial" w:hAnsi="Arial" w:cs="Arial"/>
          <w:b/>
          <w:noProof/>
          <w:highlight w:val="yellow"/>
          <w:lang w:eastAsia="es-CR"/>
        </w:rPr>
        <w:br w:type="page"/>
      </w:r>
    </w:p>
    <w:p w14:paraId="0485D9A5" w14:textId="75653A0D" w:rsidR="004C0F2B" w:rsidRDefault="004C0F2B" w:rsidP="00846C93">
      <w:pPr>
        <w:spacing w:line="240" w:lineRule="auto"/>
        <w:jc w:val="center"/>
        <w:rPr>
          <w:noProof/>
          <w:lang w:val="es-MX" w:eastAsia="es-MX"/>
        </w:rPr>
      </w:pPr>
    </w:p>
    <w:p w14:paraId="4770FCD5" w14:textId="59BBBAFA" w:rsidR="004C0F2B" w:rsidRDefault="00C958BC" w:rsidP="00846C93">
      <w:pPr>
        <w:spacing w:line="240" w:lineRule="auto"/>
        <w:jc w:val="center"/>
        <w:rPr>
          <w:noProof/>
          <w:lang w:val="es-MX" w:eastAsia="es-MX"/>
        </w:rPr>
      </w:pPr>
      <w:r w:rsidRPr="00C958BC">
        <w:rPr>
          <w:noProof/>
          <w:lang w:val="es-MX" w:eastAsia="es-MX"/>
        </w:rPr>
        <w:drawing>
          <wp:inline distT="0" distB="0" distL="0" distR="0" wp14:anchorId="1200FE29" wp14:editId="4B232F9A">
            <wp:extent cx="4740051" cy="6134632"/>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0051" cy="6134632"/>
                    </a:xfrm>
                    <a:prstGeom prst="rect">
                      <a:avLst/>
                    </a:prstGeom>
                  </pic:spPr>
                </pic:pic>
              </a:graphicData>
            </a:graphic>
          </wp:inline>
        </w:drawing>
      </w:r>
    </w:p>
    <w:p w14:paraId="265597A3" w14:textId="3CA71039" w:rsidR="004C0F2B" w:rsidRDefault="004C0F2B" w:rsidP="00846C93">
      <w:pPr>
        <w:spacing w:line="240" w:lineRule="auto"/>
        <w:jc w:val="center"/>
        <w:rPr>
          <w:noProof/>
          <w:lang w:val="es-MX" w:eastAsia="es-MX"/>
        </w:rPr>
      </w:pPr>
    </w:p>
    <w:p w14:paraId="70262389" w14:textId="022E2DE4" w:rsidR="004C0F2B" w:rsidRDefault="004C0F2B" w:rsidP="00846C93">
      <w:pPr>
        <w:spacing w:line="240" w:lineRule="auto"/>
        <w:jc w:val="center"/>
        <w:rPr>
          <w:noProof/>
          <w:lang w:val="es-MX" w:eastAsia="es-MX"/>
        </w:rPr>
      </w:pPr>
    </w:p>
    <w:p w14:paraId="2208AEB2" w14:textId="1FE61671" w:rsidR="00FB41F7" w:rsidRDefault="00FB41F7" w:rsidP="00846C93">
      <w:pPr>
        <w:spacing w:line="240" w:lineRule="auto"/>
        <w:jc w:val="center"/>
        <w:rPr>
          <w:rFonts w:ascii="Arial" w:hAnsi="Arial" w:cs="Arial"/>
          <w:b/>
          <w:noProof/>
          <w:lang w:val="es-MX" w:eastAsia="es-MX"/>
        </w:rPr>
      </w:pPr>
    </w:p>
    <w:p w14:paraId="58F7AB51" w14:textId="30741A18" w:rsidR="00C958BC" w:rsidRDefault="00C958BC" w:rsidP="00846C93">
      <w:pPr>
        <w:spacing w:line="240" w:lineRule="auto"/>
        <w:jc w:val="center"/>
        <w:rPr>
          <w:rFonts w:ascii="Arial" w:hAnsi="Arial" w:cs="Arial"/>
          <w:b/>
          <w:noProof/>
          <w:lang w:val="es-MX" w:eastAsia="es-MX"/>
        </w:rPr>
      </w:pPr>
    </w:p>
    <w:p w14:paraId="7119D21F" w14:textId="77777777" w:rsidR="00C958BC" w:rsidRDefault="00C958BC" w:rsidP="00846C93">
      <w:pPr>
        <w:spacing w:line="240" w:lineRule="auto"/>
        <w:jc w:val="center"/>
        <w:rPr>
          <w:rFonts w:ascii="Arial" w:hAnsi="Arial" w:cs="Arial"/>
          <w:b/>
          <w:noProof/>
          <w:lang w:val="es-MX" w:eastAsia="es-MX"/>
        </w:rPr>
      </w:pPr>
    </w:p>
    <w:p w14:paraId="422296D0" w14:textId="77777777" w:rsidR="00F908BE" w:rsidRDefault="00F908BE" w:rsidP="00D5596F">
      <w:pPr>
        <w:pStyle w:val="Ttulo2"/>
        <w:numPr>
          <w:ilvl w:val="0"/>
          <w:numId w:val="5"/>
        </w:numPr>
        <w:spacing w:before="0" w:line="240" w:lineRule="auto"/>
        <w:rPr>
          <w:rFonts w:ascii="Arial" w:hAnsi="Arial" w:cs="Arial"/>
          <w:color w:val="auto"/>
          <w:sz w:val="22"/>
          <w:szCs w:val="22"/>
        </w:rPr>
      </w:pPr>
      <w:bookmarkStart w:id="1" w:name="_Toc94522206"/>
      <w:r w:rsidRPr="001763A0">
        <w:rPr>
          <w:rFonts w:ascii="Arial" w:hAnsi="Arial" w:cs="Arial"/>
          <w:color w:val="auto"/>
          <w:sz w:val="22"/>
          <w:szCs w:val="22"/>
        </w:rPr>
        <w:t>MARCO GENERAL</w:t>
      </w:r>
      <w:bookmarkEnd w:id="1"/>
      <w:r w:rsidRPr="001763A0">
        <w:rPr>
          <w:rFonts w:ascii="Arial" w:hAnsi="Arial" w:cs="Arial"/>
          <w:color w:val="auto"/>
          <w:sz w:val="22"/>
          <w:szCs w:val="22"/>
        </w:rPr>
        <w:t xml:space="preserve"> </w:t>
      </w:r>
    </w:p>
    <w:p w14:paraId="44009396" w14:textId="77777777" w:rsidR="00FB41F7" w:rsidRPr="00FB41F7" w:rsidRDefault="00FB41F7" w:rsidP="00FB41F7"/>
    <w:p w14:paraId="33811C21" w14:textId="77777777" w:rsidR="00F908BE" w:rsidRPr="001763A0" w:rsidRDefault="00F908BE" w:rsidP="00F908BE">
      <w:pPr>
        <w:pStyle w:val="Ttulo2"/>
        <w:spacing w:before="0" w:line="240" w:lineRule="auto"/>
        <w:rPr>
          <w:rFonts w:ascii="Arial" w:hAnsi="Arial" w:cs="Arial"/>
          <w:color w:val="auto"/>
          <w:sz w:val="22"/>
          <w:szCs w:val="22"/>
        </w:rPr>
      </w:pPr>
      <w:bookmarkStart w:id="2" w:name="_Toc94522207"/>
      <w:r w:rsidRPr="001763A0">
        <w:rPr>
          <w:rFonts w:ascii="Arial" w:hAnsi="Arial" w:cs="Arial"/>
          <w:color w:val="auto"/>
          <w:sz w:val="22"/>
          <w:szCs w:val="22"/>
        </w:rPr>
        <w:t>1.1. Marco Jurídico del Fideicomiso 544 FONAFIFO / BNCR</w:t>
      </w:r>
      <w:bookmarkEnd w:id="2"/>
    </w:p>
    <w:p w14:paraId="7B20F068" w14:textId="77777777" w:rsidR="00F908BE" w:rsidRPr="00F908BE" w:rsidRDefault="00F908BE" w:rsidP="00F908BE"/>
    <w:p w14:paraId="39B3BE7E" w14:textId="77777777" w:rsidR="00F908BE" w:rsidRPr="00B4011F" w:rsidRDefault="00F908BE" w:rsidP="00F908BE">
      <w:pPr>
        <w:pStyle w:val="NormalWeb"/>
        <w:spacing w:before="0" w:beforeAutospacing="0"/>
        <w:jc w:val="both"/>
        <w:rPr>
          <w:rFonts w:ascii="Arial" w:hAnsi="Arial" w:cs="Arial"/>
          <w:sz w:val="22"/>
          <w:szCs w:val="22"/>
        </w:rPr>
      </w:pPr>
      <w:r w:rsidRPr="00B4011F">
        <w:rPr>
          <w:rFonts w:ascii="Arial" w:hAnsi="Arial" w:cs="Arial"/>
          <w:sz w:val="22"/>
          <w:szCs w:val="22"/>
        </w:rPr>
        <w:t xml:space="preserve">Este fideicomiso está amparado en la actual Ley Forestal N° 7575, en su artículo 49. En él se destinan los recursos provenientes al 40% del impuesto forestal y los recursos para el Pago de Servicios </w:t>
      </w:r>
      <w:r w:rsidR="003D46EA" w:rsidRPr="00B4011F">
        <w:rPr>
          <w:rFonts w:ascii="Arial" w:hAnsi="Arial" w:cs="Arial"/>
          <w:sz w:val="22"/>
          <w:szCs w:val="22"/>
        </w:rPr>
        <w:t>Ambientales,</w:t>
      </w:r>
      <w:r w:rsidRPr="00B4011F">
        <w:rPr>
          <w:rFonts w:ascii="Arial" w:hAnsi="Arial" w:cs="Arial"/>
          <w:sz w:val="22"/>
          <w:szCs w:val="22"/>
        </w:rPr>
        <w:t xml:space="preserve"> así como otros recursos que pueda captar FONAFIFO, todo ello de acuerdo al artículo 47 de la esta Ley.</w:t>
      </w:r>
    </w:p>
    <w:p w14:paraId="3F9FB33A" w14:textId="77777777" w:rsidR="00F908BE" w:rsidRPr="001763A0" w:rsidRDefault="00F908BE" w:rsidP="00F908BE">
      <w:pPr>
        <w:pStyle w:val="Ttulo2"/>
        <w:rPr>
          <w:rFonts w:ascii="Arial" w:hAnsi="Arial" w:cs="Arial"/>
          <w:color w:val="auto"/>
          <w:sz w:val="24"/>
          <w:szCs w:val="24"/>
        </w:rPr>
      </w:pPr>
      <w:bookmarkStart w:id="3" w:name="_Toc94522208"/>
      <w:r w:rsidRPr="001763A0">
        <w:rPr>
          <w:rFonts w:ascii="Arial" w:hAnsi="Arial" w:cs="Arial"/>
          <w:color w:val="auto"/>
          <w:sz w:val="24"/>
          <w:szCs w:val="24"/>
        </w:rPr>
        <w:t>1.2 Finalidades del fideicomiso 544 Fonafifo / BNCR</w:t>
      </w:r>
      <w:bookmarkEnd w:id="3"/>
    </w:p>
    <w:p w14:paraId="6CAB8E89" w14:textId="77777777" w:rsidR="00F908BE" w:rsidRDefault="00F908BE" w:rsidP="00F908BE">
      <w:pPr>
        <w:rPr>
          <w:rFonts w:ascii="Arial" w:hAnsi="Arial" w:cs="Arial"/>
          <w:b/>
        </w:rPr>
      </w:pPr>
    </w:p>
    <w:p w14:paraId="0C880F24" w14:textId="77777777" w:rsidR="00F908BE" w:rsidRDefault="00F908BE" w:rsidP="00F908BE">
      <w:pPr>
        <w:pStyle w:val="NormalWeb"/>
        <w:jc w:val="both"/>
        <w:rPr>
          <w:rFonts w:ascii="Arial" w:hAnsi="Arial" w:cs="Arial"/>
          <w:sz w:val="22"/>
          <w:szCs w:val="22"/>
        </w:rPr>
      </w:pPr>
      <w:r>
        <w:rPr>
          <w:rFonts w:ascii="Arial" w:hAnsi="Arial" w:cs="Arial"/>
          <w:sz w:val="22"/>
          <w:szCs w:val="22"/>
        </w:rPr>
        <w:t>El propósito del presente fideicomiso es administrar recursos del FONAFIFO con el fin de:</w:t>
      </w:r>
    </w:p>
    <w:p w14:paraId="0EA80909" w14:textId="7B025CE0" w:rsidR="004C0F2B" w:rsidRPr="008010AE" w:rsidRDefault="004C0F2B" w:rsidP="004C0F2B">
      <w:pPr>
        <w:pStyle w:val="NormalWeb"/>
        <w:numPr>
          <w:ilvl w:val="0"/>
          <w:numId w:val="13"/>
        </w:numPr>
        <w:spacing w:line="276" w:lineRule="auto"/>
        <w:jc w:val="both"/>
        <w:rPr>
          <w:rFonts w:ascii="Arial" w:hAnsi="Arial" w:cs="Arial"/>
        </w:rPr>
      </w:pPr>
      <w:r w:rsidRPr="008010AE">
        <w:rPr>
          <w:rFonts w:ascii="Arial" w:hAnsi="Arial" w:cs="Arial"/>
        </w:rPr>
        <w:t>Invertir para beneficio de los productores, mediante créditos u otros mecanismos de fomento al manejo del bosque, intervenido o no, los procesos de forestación, reforestación, sistemas agroforestales, recuperación de áreas denudadas y los cambios tecnológicos en aprovechamiento e industrialización de los recursos forestales.</w:t>
      </w:r>
    </w:p>
    <w:p w14:paraId="5F6F65C0" w14:textId="77777777" w:rsidR="004C0F2B" w:rsidRPr="008010AE" w:rsidRDefault="004C0F2B" w:rsidP="004C0F2B">
      <w:pPr>
        <w:pStyle w:val="NormalWeb"/>
        <w:numPr>
          <w:ilvl w:val="0"/>
          <w:numId w:val="13"/>
        </w:numPr>
        <w:spacing w:line="276" w:lineRule="auto"/>
        <w:jc w:val="both"/>
        <w:rPr>
          <w:rFonts w:ascii="Arial" w:hAnsi="Arial" w:cs="Arial"/>
        </w:rPr>
      </w:pPr>
      <w:r w:rsidRPr="008010AE">
        <w:rPr>
          <w:rFonts w:ascii="Arial" w:hAnsi="Arial" w:cs="Arial"/>
        </w:rPr>
        <w:t xml:space="preserve">Captar financiamiento para el Pago de Servicios Ambientales, que brindan los bosques, las plantaciones forestales y otras actividades necesarias para fortalecer el desarrollo del sector de recursos naturales.  </w:t>
      </w:r>
    </w:p>
    <w:p w14:paraId="4F9F5B87" w14:textId="77777777" w:rsidR="004C0F2B" w:rsidRPr="008010AE" w:rsidRDefault="004C0F2B" w:rsidP="004C0F2B">
      <w:pPr>
        <w:pStyle w:val="NormalWeb"/>
        <w:numPr>
          <w:ilvl w:val="0"/>
          <w:numId w:val="13"/>
        </w:numPr>
        <w:spacing w:line="276" w:lineRule="auto"/>
        <w:jc w:val="both"/>
        <w:rPr>
          <w:rFonts w:ascii="Arial" w:hAnsi="Arial" w:cs="Arial"/>
        </w:rPr>
      </w:pPr>
      <w:r w:rsidRPr="008010AE">
        <w:rPr>
          <w:rFonts w:ascii="Arial" w:hAnsi="Arial" w:cs="Arial"/>
        </w:rPr>
        <w:t>Otorgar avales para transacciones financieras, que complementen los recursos necesarios para ejecutar los programas del Fondo Nacional de Financiamiento Forestal que ejecute.</w:t>
      </w:r>
    </w:p>
    <w:p w14:paraId="38B17461" w14:textId="43B0ABB0" w:rsidR="00C277EF" w:rsidRDefault="004C0F2B" w:rsidP="004C0F2B">
      <w:pPr>
        <w:pStyle w:val="NormalWeb"/>
        <w:tabs>
          <w:tab w:val="left" w:pos="1068"/>
        </w:tabs>
        <w:ind w:left="1068" w:hanging="360"/>
        <w:jc w:val="both"/>
        <w:rPr>
          <w:rFonts w:ascii="Arial" w:hAnsi="Arial" w:cs="Arial"/>
        </w:rPr>
      </w:pPr>
      <w:r w:rsidRPr="00E5383F">
        <w:rPr>
          <w:rFonts w:ascii="Arial" w:hAnsi="Arial" w:cs="Arial"/>
        </w:rPr>
        <w:t xml:space="preserve">Otros que se lleguen a convenir entre la Fiduciaria y el Fideicomitente. </w:t>
      </w:r>
    </w:p>
    <w:p w14:paraId="03108B77" w14:textId="2EF02A38" w:rsidR="00C277EF" w:rsidRDefault="00C277EF" w:rsidP="00C277EF">
      <w:pPr>
        <w:pStyle w:val="Ttulo2"/>
        <w:numPr>
          <w:ilvl w:val="1"/>
          <w:numId w:val="5"/>
        </w:numPr>
        <w:jc w:val="both"/>
        <w:rPr>
          <w:rFonts w:ascii="Arial" w:hAnsi="Arial" w:cs="Arial"/>
          <w:color w:val="auto"/>
          <w:sz w:val="24"/>
          <w:szCs w:val="24"/>
        </w:rPr>
      </w:pPr>
      <w:bookmarkStart w:id="4" w:name="_Toc83355707"/>
      <w:bookmarkStart w:id="5" w:name="_Toc94522209"/>
      <w:r w:rsidRPr="00C277EF">
        <w:rPr>
          <w:rFonts w:ascii="Arial" w:hAnsi="Arial" w:cs="Arial"/>
          <w:color w:val="auto"/>
          <w:sz w:val="24"/>
          <w:szCs w:val="24"/>
        </w:rPr>
        <w:t>Misión del fideicomiso 544 Fonafifo / BNCR</w:t>
      </w:r>
      <w:bookmarkEnd w:id="4"/>
      <w:bookmarkEnd w:id="5"/>
    </w:p>
    <w:p w14:paraId="4E907458" w14:textId="77777777" w:rsidR="00C277EF" w:rsidRPr="00C277EF" w:rsidRDefault="00C277EF" w:rsidP="00C277EF"/>
    <w:p w14:paraId="4929397F" w14:textId="0C306C74" w:rsidR="00C277EF" w:rsidRDefault="00C277EF" w:rsidP="00C277EF">
      <w:pPr>
        <w:tabs>
          <w:tab w:val="left" w:pos="8789"/>
        </w:tabs>
        <w:ind w:right="-93"/>
        <w:jc w:val="both"/>
        <w:rPr>
          <w:rFonts w:ascii="Arial" w:hAnsi="Arial" w:cs="Arial"/>
          <w:sz w:val="24"/>
          <w:szCs w:val="24"/>
        </w:rPr>
      </w:pPr>
      <w:r w:rsidRPr="008010AE">
        <w:rPr>
          <w:rFonts w:ascii="Arial" w:hAnsi="Arial" w:cs="Arial"/>
          <w:sz w:val="24"/>
          <w:szCs w:val="24"/>
        </w:rPr>
        <w:t>Captar y movilizar recursos financieros mediante la promoción de programas y mecanismos de fomento para orientarlos, según las prioridades y directrices del Fonafifo, en apoyo al desarrollo del sector forestal</w:t>
      </w:r>
      <w:r>
        <w:rPr>
          <w:rFonts w:ascii="Arial" w:hAnsi="Arial" w:cs="Arial"/>
          <w:sz w:val="24"/>
          <w:szCs w:val="24"/>
        </w:rPr>
        <w:t xml:space="preserve"> ambiental.</w:t>
      </w:r>
    </w:p>
    <w:p w14:paraId="38BD506B" w14:textId="77777777" w:rsidR="00BC6B9F" w:rsidRPr="008010AE" w:rsidRDefault="00BC6B9F" w:rsidP="00C277EF">
      <w:pPr>
        <w:tabs>
          <w:tab w:val="left" w:pos="8789"/>
        </w:tabs>
        <w:ind w:right="-93"/>
        <w:jc w:val="both"/>
        <w:rPr>
          <w:rFonts w:ascii="Arial" w:hAnsi="Arial" w:cs="Arial"/>
          <w:sz w:val="24"/>
          <w:szCs w:val="24"/>
        </w:rPr>
      </w:pPr>
    </w:p>
    <w:p w14:paraId="1609B321" w14:textId="561AEBE5" w:rsidR="00F908BE" w:rsidRDefault="00C277EF" w:rsidP="00C277EF">
      <w:pPr>
        <w:pStyle w:val="NormalWeb"/>
        <w:tabs>
          <w:tab w:val="left" w:pos="1068"/>
        </w:tabs>
        <w:jc w:val="both"/>
        <w:rPr>
          <w:rFonts w:ascii="Arial" w:hAnsi="Arial" w:cs="Arial"/>
          <w:sz w:val="22"/>
          <w:szCs w:val="22"/>
        </w:rPr>
      </w:pPr>
      <w:r>
        <w:rPr>
          <w:rFonts w:ascii="Arial" w:hAnsi="Arial" w:cs="Arial"/>
        </w:rPr>
        <w:tab/>
      </w:r>
      <w:r w:rsidR="00F908BE">
        <w:rPr>
          <w:rFonts w:ascii="Arial" w:hAnsi="Arial" w:cs="Arial"/>
          <w:sz w:val="22"/>
          <w:szCs w:val="22"/>
        </w:rPr>
        <w:t xml:space="preserve"> </w:t>
      </w:r>
    </w:p>
    <w:p w14:paraId="61D8A11B" w14:textId="77777777" w:rsidR="00BC6B9F" w:rsidRDefault="00BC6B9F" w:rsidP="00C277EF">
      <w:pPr>
        <w:pStyle w:val="NormalWeb"/>
        <w:tabs>
          <w:tab w:val="left" w:pos="1068"/>
        </w:tabs>
        <w:jc w:val="both"/>
        <w:rPr>
          <w:rFonts w:ascii="Arial" w:hAnsi="Arial" w:cs="Arial"/>
          <w:sz w:val="22"/>
          <w:szCs w:val="22"/>
        </w:rPr>
      </w:pPr>
    </w:p>
    <w:p w14:paraId="0D29A86C" w14:textId="1DF9272A" w:rsidR="00F908BE" w:rsidRDefault="00F908BE" w:rsidP="00F908BE">
      <w:pPr>
        <w:pStyle w:val="Ttulo2"/>
        <w:rPr>
          <w:rFonts w:ascii="Arial" w:hAnsi="Arial" w:cs="Arial"/>
          <w:color w:val="auto"/>
          <w:sz w:val="24"/>
          <w:szCs w:val="24"/>
        </w:rPr>
      </w:pPr>
      <w:bookmarkStart w:id="6" w:name="_Toc94522210"/>
      <w:r w:rsidRPr="001763A0">
        <w:rPr>
          <w:rFonts w:ascii="Arial" w:hAnsi="Arial" w:cs="Arial"/>
          <w:color w:val="auto"/>
          <w:sz w:val="24"/>
          <w:szCs w:val="24"/>
        </w:rPr>
        <w:t>1.</w:t>
      </w:r>
      <w:r w:rsidR="00C277EF">
        <w:rPr>
          <w:rFonts w:ascii="Arial" w:hAnsi="Arial" w:cs="Arial"/>
          <w:color w:val="auto"/>
          <w:sz w:val="24"/>
          <w:szCs w:val="24"/>
        </w:rPr>
        <w:t>4</w:t>
      </w:r>
      <w:r w:rsidRPr="001763A0">
        <w:rPr>
          <w:rFonts w:ascii="Arial" w:hAnsi="Arial" w:cs="Arial"/>
          <w:color w:val="auto"/>
          <w:sz w:val="24"/>
          <w:szCs w:val="24"/>
        </w:rPr>
        <w:t xml:space="preserve"> </w:t>
      </w:r>
      <w:r w:rsidR="00C277EF">
        <w:rPr>
          <w:rFonts w:ascii="Arial" w:hAnsi="Arial" w:cs="Arial"/>
          <w:color w:val="auto"/>
          <w:sz w:val="24"/>
          <w:szCs w:val="24"/>
        </w:rPr>
        <w:t>Visión del Fideicomiso 544 Fonafifo/BNCR</w:t>
      </w:r>
      <w:bookmarkEnd w:id="6"/>
    </w:p>
    <w:p w14:paraId="21D0C97D" w14:textId="58500A65" w:rsidR="00C277EF" w:rsidRDefault="00C277EF" w:rsidP="00C277EF"/>
    <w:p w14:paraId="034072CD" w14:textId="77777777" w:rsidR="00C277EF" w:rsidRPr="008010AE" w:rsidRDefault="00C277EF" w:rsidP="00C277EF">
      <w:pPr>
        <w:jc w:val="both"/>
        <w:rPr>
          <w:rFonts w:ascii="Arial" w:hAnsi="Arial" w:cs="Arial"/>
          <w:sz w:val="24"/>
          <w:szCs w:val="24"/>
        </w:rPr>
      </w:pPr>
      <w:r w:rsidRPr="008010AE">
        <w:rPr>
          <w:rFonts w:ascii="Arial" w:hAnsi="Arial" w:cs="Arial"/>
          <w:sz w:val="24"/>
          <w:szCs w:val="24"/>
        </w:rPr>
        <w:t>Ser un instrumento financiero de soporte ágil y oportuno para el Fonafifo</w:t>
      </w:r>
      <w:r>
        <w:rPr>
          <w:rFonts w:ascii="Arial" w:hAnsi="Arial" w:cs="Arial"/>
          <w:sz w:val="24"/>
          <w:szCs w:val="24"/>
        </w:rPr>
        <w:t>,</w:t>
      </w:r>
      <w:r w:rsidRPr="008010AE">
        <w:rPr>
          <w:rFonts w:ascii="Arial" w:hAnsi="Arial" w:cs="Arial"/>
          <w:sz w:val="24"/>
          <w:szCs w:val="24"/>
        </w:rPr>
        <w:t xml:space="preserve"> que facilite la adecuada operativización de sus programas y estrategias de financiamiento </w:t>
      </w:r>
      <w:r>
        <w:rPr>
          <w:rFonts w:ascii="Arial" w:hAnsi="Arial" w:cs="Arial"/>
          <w:sz w:val="24"/>
          <w:szCs w:val="24"/>
        </w:rPr>
        <w:t>de servicios ambientales provistos por los bosques y otros ecosistemas.</w:t>
      </w:r>
    </w:p>
    <w:p w14:paraId="43C96D84" w14:textId="2C3B5C70" w:rsidR="00C277EF" w:rsidRPr="00C277EF" w:rsidRDefault="00C277EF" w:rsidP="00C277EF">
      <w:pPr>
        <w:pStyle w:val="Ttulo2"/>
        <w:numPr>
          <w:ilvl w:val="1"/>
          <w:numId w:val="15"/>
        </w:numPr>
        <w:ind w:left="284"/>
        <w:jc w:val="both"/>
        <w:rPr>
          <w:rFonts w:ascii="Arial" w:hAnsi="Arial" w:cs="Arial"/>
          <w:color w:val="auto"/>
          <w:sz w:val="24"/>
          <w:szCs w:val="24"/>
        </w:rPr>
      </w:pPr>
      <w:bookmarkStart w:id="7" w:name="_Toc462825202"/>
      <w:bookmarkStart w:id="8" w:name="_Toc83355709"/>
      <w:r>
        <w:rPr>
          <w:rFonts w:ascii="Arial" w:hAnsi="Arial" w:cs="Arial"/>
          <w:color w:val="auto"/>
          <w:sz w:val="24"/>
          <w:szCs w:val="24"/>
        </w:rPr>
        <w:t xml:space="preserve"> </w:t>
      </w:r>
      <w:bookmarkStart w:id="9" w:name="_Toc94522211"/>
      <w:r w:rsidRPr="00C277EF">
        <w:rPr>
          <w:rFonts w:ascii="Arial" w:hAnsi="Arial" w:cs="Arial"/>
          <w:color w:val="auto"/>
          <w:sz w:val="24"/>
          <w:szCs w:val="24"/>
        </w:rPr>
        <w:t>Objetivo General del Fideicomiso 544</w:t>
      </w:r>
      <w:bookmarkEnd w:id="7"/>
      <w:bookmarkEnd w:id="8"/>
      <w:bookmarkEnd w:id="9"/>
    </w:p>
    <w:p w14:paraId="7E9930A9" w14:textId="77777777" w:rsidR="00C277EF" w:rsidRDefault="00C277EF" w:rsidP="00C277EF">
      <w:pPr>
        <w:jc w:val="both"/>
        <w:rPr>
          <w:rFonts w:ascii="Arial" w:hAnsi="Arial" w:cs="Arial"/>
          <w:sz w:val="24"/>
          <w:szCs w:val="24"/>
        </w:rPr>
      </w:pPr>
    </w:p>
    <w:p w14:paraId="0944E794" w14:textId="77E09AA2" w:rsidR="00C277EF" w:rsidRPr="00C277EF" w:rsidRDefault="00C277EF" w:rsidP="00C277EF">
      <w:pPr>
        <w:jc w:val="both"/>
        <w:rPr>
          <w:rFonts w:ascii="Arial" w:hAnsi="Arial" w:cs="Arial"/>
          <w:sz w:val="24"/>
          <w:szCs w:val="24"/>
        </w:rPr>
      </w:pPr>
      <w:r w:rsidRPr="00C277EF">
        <w:rPr>
          <w:rFonts w:ascii="Arial" w:hAnsi="Arial" w:cs="Arial"/>
          <w:sz w:val="24"/>
          <w:szCs w:val="24"/>
        </w:rPr>
        <w:t>Administrar los recursos financieros del fideicomiso, mediante la implementación de los programas institucionales de fomento forestal, en beneficio de los proveedores de servicios ambientales.</w:t>
      </w:r>
    </w:p>
    <w:p w14:paraId="51E7E639" w14:textId="072B08B1" w:rsidR="00F908BE" w:rsidRPr="001763A0" w:rsidRDefault="00F908BE" w:rsidP="00CD61C9">
      <w:pPr>
        <w:pStyle w:val="Ttulo2"/>
        <w:rPr>
          <w:rFonts w:ascii="Arial" w:hAnsi="Arial" w:cs="Arial"/>
          <w:color w:val="auto"/>
          <w:sz w:val="24"/>
          <w:szCs w:val="24"/>
        </w:rPr>
      </w:pPr>
      <w:bookmarkStart w:id="10" w:name="_Toc94522212"/>
      <w:r w:rsidRPr="001763A0">
        <w:rPr>
          <w:rFonts w:ascii="Arial" w:hAnsi="Arial" w:cs="Arial"/>
          <w:color w:val="auto"/>
          <w:sz w:val="24"/>
          <w:szCs w:val="24"/>
        </w:rPr>
        <w:t>1.</w:t>
      </w:r>
      <w:r w:rsidR="00D525EA">
        <w:rPr>
          <w:rFonts w:ascii="Arial" w:hAnsi="Arial" w:cs="Arial"/>
          <w:color w:val="auto"/>
          <w:sz w:val="24"/>
          <w:szCs w:val="24"/>
        </w:rPr>
        <w:t>6</w:t>
      </w:r>
      <w:r w:rsidRPr="001763A0">
        <w:rPr>
          <w:rFonts w:ascii="Arial" w:hAnsi="Arial" w:cs="Arial"/>
          <w:color w:val="auto"/>
          <w:sz w:val="24"/>
          <w:szCs w:val="24"/>
        </w:rPr>
        <w:t xml:space="preserve"> Objetivos Específicos:</w:t>
      </w:r>
      <w:bookmarkEnd w:id="10"/>
    </w:p>
    <w:p w14:paraId="46CCC786" w14:textId="77777777" w:rsidR="00D525EA" w:rsidRPr="008010AE" w:rsidRDefault="00D525EA" w:rsidP="00D525EA">
      <w:pPr>
        <w:pStyle w:val="Prrafodelista"/>
        <w:numPr>
          <w:ilvl w:val="0"/>
          <w:numId w:val="16"/>
        </w:numPr>
        <w:tabs>
          <w:tab w:val="left" w:pos="1080"/>
          <w:tab w:val="left" w:pos="1429"/>
        </w:tabs>
        <w:spacing w:after="0"/>
        <w:contextualSpacing w:val="0"/>
        <w:jc w:val="both"/>
        <w:rPr>
          <w:rFonts w:ascii="Arial" w:hAnsi="Arial" w:cs="Arial"/>
          <w:sz w:val="24"/>
          <w:szCs w:val="24"/>
        </w:rPr>
      </w:pPr>
      <w:r w:rsidRPr="008010AE">
        <w:rPr>
          <w:rFonts w:ascii="Arial" w:hAnsi="Arial" w:cs="Arial"/>
          <w:sz w:val="24"/>
          <w:szCs w:val="24"/>
        </w:rPr>
        <w:t>Incorporar al programa de PSA contratos nuevos, que corresponden a las modalidades de protección de bosque, reforestación y sistemas agroforestales, mediante convenios suscritos.</w:t>
      </w:r>
    </w:p>
    <w:p w14:paraId="390F3A6B" w14:textId="77777777" w:rsidR="00D525EA" w:rsidRPr="008010AE" w:rsidRDefault="00D525EA" w:rsidP="00D525EA">
      <w:pPr>
        <w:pStyle w:val="Prrafodelista"/>
        <w:numPr>
          <w:ilvl w:val="0"/>
          <w:numId w:val="16"/>
        </w:numPr>
        <w:tabs>
          <w:tab w:val="left" w:pos="1080"/>
          <w:tab w:val="left" w:pos="1429"/>
        </w:tabs>
        <w:spacing w:after="0"/>
        <w:contextualSpacing w:val="0"/>
        <w:jc w:val="both"/>
        <w:rPr>
          <w:rFonts w:ascii="Arial" w:hAnsi="Arial" w:cs="Arial"/>
          <w:sz w:val="24"/>
          <w:szCs w:val="24"/>
        </w:rPr>
      </w:pPr>
      <w:r w:rsidRPr="008010AE">
        <w:rPr>
          <w:rFonts w:ascii="Arial" w:hAnsi="Arial" w:cs="Arial"/>
          <w:sz w:val="24"/>
          <w:szCs w:val="24"/>
        </w:rPr>
        <w:t>Fomentar la cultura crediticia, creando y dando a conocer los mecanismos necesarios para el desarrollo y fortalecimiento del sector productivo forestal.</w:t>
      </w:r>
    </w:p>
    <w:p w14:paraId="1840F370" w14:textId="77777777" w:rsidR="00D525EA" w:rsidRPr="008010AE" w:rsidRDefault="00D525EA" w:rsidP="00D525EA">
      <w:pPr>
        <w:pStyle w:val="Prrafodelista"/>
        <w:numPr>
          <w:ilvl w:val="0"/>
          <w:numId w:val="16"/>
        </w:numPr>
        <w:tabs>
          <w:tab w:val="left" w:pos="1080"/>
          <w:tab w:val="left" w:pos="1429"/>
        </w:tabs>
        <w:spacing w:after="0"/>
        <w:contextualSpacing w:val="0"/>
        <w:jc w:val="both"/>
        <w:rPr>
          <w:rFonts w:ascii="Arial" w:hAnsi="Arial" w:cs="Arial"/>
          <w:sz w:val="24"/>
          <w:szCs w:val="24"/>
        </w:rPr>
      </w:pPr>
      <w:r w:rsidRPr="00CF2C44">
        <w:rPr>
          <w:rFonts w:ascii="Arial" w:hAnsi="Arial" w:cs="Arial"/>
          <w:sz w:val="24"/>
          <w:szCs w:val="24"/>
        </w:rPr>
        <w:t>Propiciar esquemas de financiamiento que permitan atraer recursos para orientarlos al desarrollo del sector productivo forestal</w:t>
      </w:r>
      <w:r w:rsidRPr="008010AE">
        <w:rPr>
          <w:rFonts w:ascii="Arial" w:hAnsi="Arial" w:cs="Arial"/>
          <w:sz w:val="24"/>
          <w:szCs w:val="24"/>
        </w:rPr>
        <w:t>.</w:t>
      </w:r>
    </w:p>
    <w:p w14:paraId="0EC7DDFE" w14:textId="77777777" w:rsidR="00D525EA" w:rsidRPr="008010AE" w:rsidRDefault="00D525EA" w:rsidP="00D525EA">
      <w:pPr>
        <w:pStyle w:val="Prrafodelista"/>
        <w:numPr>
          <w:ilvl w:val="0"/>
          <w:numId w:val="16"/>
        </w:numPr>
        <w:tabs>
          <w:tab w:val="left" w:pos="1080"/>
          <w:tab w:val="left" w:pos="1429"/>
        </w:tabs>
        <w:spacing w:after="0"/>
        <w:contextualSpacing w:val="0"/>
        <w:jc w:val="both"/>
        <w:rPr>
          <w:rFonts w:ascii="Arial" w:hAnsi="Arial" w:cs="Arial"/>
          <w:sz w:val="24"/>
          <w:szCs w:val="24"/>
        </w:rPr>
      </w:pPr>
      <w:r w:rsidRPr="008010AE">
        <w:rPr>
          <w:rFonts w:ascii="Arial" w:hAnsi="Arial" w:cs="Arial"/>
          <w:sz w:val="24"/>
          <w:szCs w:val="24"/>
        </w:rPr>
        <w:t>Fortalecer el desarrollo de mecanismos de financiamiento para la reforestación, la pequeña y mediana industria forestal y mercadeo de productos provenientes de plantaciones forestales.</w:t>
      </w:r>
    </w:p>
    <w:p w14:paraId="249C05A2" w14:textId="77777777" w:rsidR="00D525EA" w:rsidRPr="0014153D" w:rsidRDefault="00D525EA" w:rsidP="00D525EA">
      <w:pPr>
        <w:pStyle w:val="Prrafodelista"/>
        <w:numPr>
          <w:ilvl w:val="0"/>
          <w:numId w:val="16"/>
        </w:numPr>
        <w:tabs>
          <w:tab w:val="left" w:pos="1080"/>
          <w:tab w:val="left" w:pos="1429"/>
        </w:tabs>
        <w:spacing w:after="0"/>
        <w:contextualSpacing w:val="0"/>
        <w:jc w:val="both"/>
        <w:rPr>
          <w:rFonts w:ascii="Arial" w:hAnsi="Arial" w:cs="Arial"/>
          <w:sz w:val="24"/>
          <w:szCs w:val="24"/>
        </w:rPr>
      </w:pPr>
      <w:r w:rsidRPr="0014153D">
        <w:rPr>
          <w:rFonts w:ascii="Arial" w:hAnsi="Arial" w:cs="Arial"/>
          <w:sz w:val="24"/>
          <w:szCs w:val="24"/>
        </w:rPr>
        <w:t>Coadyuvar al Fonafifo en el desarrollo y actualización tecnológica de sus áreas según corresponda.</w:t>
      </w:r>
    </w:p>
    <w:p w14:paraId="1090DFB6" w14:textId="77777777" w:rsidR="00D525EA" w:rsidRPr="0014153D" w:rsidRDefault="00D525EA" w:rsidP="00D525EA">
      <w:pPr>
        <w:pStyle w:val="Prrafodelista"/>
        <w:numPr>
          <w:ilvl w:val="0"/>
          <w:numId w:val="16"/>
        </w:numPr>
        <w:tabs>
          <w:tab w:val="left" w:pos="1080"/>
          <w:tab w:val="left" w:pos="1429"/>
        </w:tabs>
        <w:spacing w:after="0"/>
        <w:contextualSpacing w:val="0"/>
        <w:jc w:val="both"/>
        <w:rPr>
          <w:rFonts w:ascii="Arial" w:hAnsi="Arial" w:cs="Arial"/>
          <w:sz w:val="24"/>
          <w:szCs w:val="24"/>
        </w:rPr>
      </w:pPr>
      <w:r w:rsidRPr="0014153D">
        <w:rPr>
          <w:rFonts w:ascii="Arial" w:hAnsi="Arial" w:cs="Arial"/>
          <w:sz w:val="24"/>
          <w:szCs w:val="24"/>
        </w:rPr>
        <w:t>Apoyar al Fonafifo en la dotación del recurso humano necesario ejecutar labores no sustantivas relativas a sus programas de financiamiento.</w:t>
      </w:r>
    </w:p>
    <w:p w14:paraId="48780787" w14:textId="77777777" w:rsidR="00F908BE" w:rsidRPr="001763A0" w:rsidRDefault="00F908BE" w:rsidP="00F908BE">
      <w:pPr>
        <w:rPr>
          <w:rFonts w:ascii="Arial" w:hAnsi="Arial" w:cs="Arial"/>
          <w:sz w:val="24"/>
          <w:szCs w:val="24"/>
        </w:rPr>
      </w:pPr>
    </w:p>
    <w:p w14:paraId="021E8827" w14:textId="28DF3D7A" w:rsidR="00F908BE" w:rsidRDefault="00F908BE" w:rsidP="00D525EA">
      <w:pPr>
        <w:tabs>
          <w:tab w:val="left" w:pos="1080"/>
          <w:tab w:val="left" w:pos="1429"/>
        </w:tabs>
        <w:ind w:left="1080" w:hanging="360"/>
        <w:jc w:val="both"/>
        <w:rPr>
          <w:rFonts w:ascii="Arial" w:hAnsi="Arial" w:cs="Arial"/>
        </w:rPr>
      </w:pPr>
    </w:p>
    <w:p w14:paraId="685A03FA" w14:textId="77777777" w:rsidR="00CD61C9" w:rsidRDefault="00CD61C9" w:rsidP="00F908BE">
      <w:pPr>
        <w:tabs>
          <w:tab w:val="left" w:pos="1080"/>
          <w:tab w:val="left" w:pos="1429"/>
        </w:tabs>
        <w:ind w:left="1080" w:hanging="360"/>
        <w:jc w:val="both"/>
        <w:rPr>
          <w:rFonts w:ascii="Arial" w:hAnsi="Arial" w:cs="Arial"/>
        </w:rPr>
      </w:pPr>
    </w:p>
    <w:p w14:paraId="6057766C" w14:textId="77777777" w:rsidR="004855CB" w:rsidRDefault="004855CB" w:rsidP="00F908BE">
      <w:pPr>
        <w:tabs>
          <w:tab w:val="left" w:pos="1080"/>
          <w:tab w:val="left" w:pos="1429"/>
        </w:tabs>
        <w:ind w:left="1080" w:hanging="360"/>
        <w:jc w:val="both"/>
        <w:rPr>
          <w:rFonts w:ascii="Arial" w:hAnsi="Arial" w:cs="Arial"/>
        </w:rPr>
      </w:pPr>
    </w:p>
    <w:p w14:paraId="1666ED98" w14:textId="77777777" w:rsidR="00C21E65" w:rsidRDefault="00C21E65" w:rsidP="00F908BE">
      <w:pPr>
        <w:tabs>
          <w:tab w:val="left" w:pos="1080"/>
          <w:tab w:val="left" w:pos="1429"/>
        </w:tabs>
        <w:ind w:left="1080" w:hanging="360"/>
        <w:jc w:val="both"/>
        <w:rPr>
          <w:rFonts w:ascii="Arial" w:hAnsi="Arial" w:cs="Arial"/>
        </w:rPr>
      </w:pPr>
    </w:p>
    <w:p w14:paraId="05B5AA54" w14:textId="77777777" w:rsidR="00025DED" w:rsidRDefault="00025DED" w:rsidP="00C277EF">
      <w:pPr>
        <w:pStyle w:val="Ttulo1"/>
        <w:numPr>
          <w:ilvl w:val="0"/>
          <w:numId w:val="15"/>
        </w:numPr>
        <w:rPr>
          <w:rFonts w:ascii="Arial" w:hAnsi="Arial" w:cs="Arial"/>
          <w:i w:val="0"/>
          <w:sz w:val="24"/>
          <w:szCs w:val="24"/>
          <w:lang w:val="es-CR"/>
        </w:rPr>
      </w:pPr>
      <w:bookmarkStart w:id="11" w:name="_Toc94522213"/>
      <w:r w:rsidRPr="0089413E">
        <w:rPr>
          <w:rFonts w:ascii="Arial" w:hAnsi="Arial" w:cs="Arial"/>
          <w:i w:val="0"/>
          <w:sz w:val="24"/>
          <w:szCs w:val="24"/>
          <w:lang w:val="es-CR"/>
        </w:rPr>
        <w:lastRenderedPageBreak/>
        <w:t>EJECUCION FISICA</w:t>
      </w:r>
      <w:bookmarkEnd w:id="11"/>
    </w:p>
    <w:p w14:paraId="2553FE48" w14:textId="210B43E3" w:rsidR="00270D43" w:rsidRDefault="00270D43" w:rsidP="00270D43">
      <w:pPr>
        <w:spacing w:after="0" w:line="240" w:lineRule="auto"/>
        <w:jc w:val="both"/>
        <w:rPr>
          <w:rFonts w:ascii="Arial" w:hAnsi="Arial" w:cs="Arial"/>
          <w:sz w:val="24"/>
          <w:szCs w:val="24"/>
        </w:rPr>
      </w:pPr>
      <w:r w:rsidRPr="00270D43">
        <w:rPr>
          <w:rFonts w:ascii="Arial" w:hAnsi="Arial" w:cs="Arial"/>
          <w:sz w:val="24"/>
          <w:szCs w:val="24"/>
        </w:rPr>
        <w:t xml:space="preserve">En el siguiente cuadro se detallan los logros más significativos alcanzado durante el </w:t>
      </w:r>
      <w:r w:rsidR="00ED4257">
        <w:rPr>
          <w:rFonts w:ascii="Arial" w:hAnsi="Arial" w:cs="Arial"/>
          <w:sz w:val="24"/>
          <w:szCs w:val="24"/>
        </w:rPr>
        <w:t>periodo 202</w:t>
      </w:r>
      <w:r w:rsidR="007220A2">
        <w:rPr>
          <w:rFonts w:ascii="Arial" w:hAnsi="Arial" w:cs="Arial"/>
          <w:sz w:val="24"/>
          <w:szCs w:val="24"/>
        </w:rPr>
        <w:t>1</w:t>
      </w:r>
      <w:r w:rsidRPr="00270D43">
        <w:rPr>
          <w:rFonts w:ascii="Arial" w:hAnsi="Arial" w:cs="Arial"/>
          <w:sz w:val="24"/>
          <w:szCs w:val="24"/>
        </w:rPr>
        <w:t>:</w:t>
      </w:r>
    </w:p>
    <w:tbl>
      <w:tblPr>
        <w:tblW w:w="11328" w:type="dxa"/>
        <w:tblInd w:w="-1139" w:type="dxa"/>
        <w:tblCellMar>
          <w:left w:w="70" w:type="dxa"/>
          <w:right w:w="70" w:type="dxa"/>
        </w:tblCellMar>
        <w:tblLook w:val="04A0" w:firstRow="1" w:lastRow="0" w:firstColumn="1" w:lastColumn="0" w:noHBand="0" w:noVBand="1"/>
      </w:tblPr>
      <w:tblGrid>
        <w:gridCol w:w="1567"/>
        <w:gridCol w:w="1152"/>
        <w:gridCol w:w="1279"/>
        <w:gridCol w:w="1426"/>
        <w:gridCol w:w="1852"/>
        <w:gridCol w:w="4052"/>
      </w:tblGrid>
      <w:tr w:rsidR="005B42ED" w:rsidRPr="00130755" w14:paraId="485A3970" w14:textId="77777777" w:rsidTr="009F5C41">
        <w:trPr>
          <w:trHeight w:val="147"/>
        </w:trPr>
        <w:tc>
          <w:tcPr>
            <w:tcW w:w="1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66953A" w14:textId="77777777" w:rsidR="001A4892" w:rsidRPr="001A4892" w:rsidRDefault="001A4892" w:rsidP="001A4892">
            <w:pPr>
              <w:spacing w:after="0" w:line="240" w:lineRule="auto"/>
              <w:jc w:val="center"/>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Indicador </w:t>
            </w:r>
          </w:p>
        </w:tc>
        <w:tc>
          <w:tcPr>
            <w:tcW w:w="115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3B779C06" w14:textId="77777777" w:rsidR="001A4892" w:rsidRPr="001A4892" w:rsidRDefault="001A4892" w:rsidP="001A4892">
            <w:pPr>
              <w:spacing w:after="0" w:line="240" w:lineRule="auto"/>
              <w:jc w:val="center"/>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Meta </w:t>
            </w:r>
          </w:p>
        </w:tc>
        <w:tc>
          <w:tcPr>
            <w:tcW w:w="127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6A976BB" w14:textId="77777777" w:rsidR="001A4892" w:rsidRPr="001A4892" w:rsidRDefault="001A4892" w:rsidP="001A4892">
            <w:pPr>
              <w:spacing w:after="0" w:line="240" w:lineRule="auto"/>
              <w:jc w:val="center"/>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Responsable </w:t>
            </w:r>
          </w:p>
        </w:tc>
        <w:tc>
          <w:tcPr>
            <w:tcW w:w="142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5E3CDAFE" w14:textId="77777777" w:rsidR="001A4892" w:rsidRPr="001A4892" w:rsidRDefault="001A4892" w:rsidP="001A4892">
            <w:pPr>
              <w:spacing w:after="0" w:line="240" w:lineRule="auto"/>
              <w:jc w:val="center"/>
              <w:rPr>
                <w:rFonts w:ascii="Arial" w:eastAsia="Times New Roman" w:hAnsi="Arial" w:cs="Arial"/>
                <w:sz w:val="14"/>
                <w:szCs w:val="14"/>
                <w:lang w:val="es-US" w:eastAsia="es-US"/>
              </w:rPr>
            </w:pPr>
            <w:r w:rsidRPr="001A4892">
              <w:rPr>
                <w:rFonts w:ascii="Arial" w:eastAsia="Times New Roman" w:hAnsi="Arial" w:cs="Arial"/>
                <w:sz w:val="14"/>
                <w:szCs w:val="14"/>
                <w:lang w:val="es-US" w:eastAsia="es-US"/>
              </w:rPr>
              <w:t>Avance II semestre </w:t>
            </w:r>
          </w:p>
        </w:tc>
        <w:tc>
          <w:tcPr>
            <w:tcW w:w="185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5FAA343D" w14:textId="77777777" w:rsidR="001A4892" w:rsidRPr="001A4892" w:rsidRDefault="001A4892" w:rsidP="001A4892">
            <w:pPr>
              <w:spacing w:after="0" w:line="240" w:lineRule="auto"/>
              <w:jc w:val="center"/>
              <w:rPr>
                <w:rFonts w:ascii="Arial" w:eastAsia="Times New Roman" w:hAnsi="Arial" w:cs="Arial"/>
                <w:sz w:val="14"/>
                <w:szCs w:val="14"/>
                <w:lang w:val="es-US" w:eastAsia="es-US"/>
              </w:rPr>
            </w:pPr>
            <w:r w:rsidRPr="001A4892">
              <w:rPr>
                <w:rFonts w:ascii="Arial" w:eastAsia="Times New Roman" w:hAnsi="Arial" w:cs="Arial"/>
                <w:sz w:val="14"/>
                <w:szCs w:val="14"/>
                <w:lang w:val="es-US" w:eastAsia="es-US"/>
              </w:rPr>
              <w:t>Grado de cumplimiento anual</w:t>
            </w:r>
          </w:p>
        </w:tc>
        <w:tc>
          <w:tcPr>
            <w:tcW w:w="405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FA2EC91" w14:textId="77777777" w:rsidR="001A4892" w:rsidRPr="001A4892" w:rsidRDefault="001A4892" w:rsidP="001A4892">
            <w:pPr>
              <w:spacing w:after="0" w:line="240" w:lineRule="auto"/>
              <w:jc w:val="center"/>
              <w:rPr>
                <w:rFonts w:ascii="Arial" w:eastAsia="Times New Roman" w:hAnsi="Arial" w:cs="Arial"/>
                <w:sz w:val="14"/>
                <w:szCs w:val="14"/>
                <w:lang w:val="es-US" w:eastAsia="es-US"/>
              </w:rPr>
            </w:pPr>
            <w:r w:rsidRPr="001A4892">
              <w:rPr>
                <w:rFonts w:ascii="Arial" w:eastAsia="Times New Roman" w:hAnsi="Arial" w:cs="Arial"/>
                <w:sz w:val="14"/>
                <w:szCs w:val="14"/>
                <w:lang w:val="es-US" w:eastAsia="es-US"/>
              </w:rPr>
              <w:t>Descripción de avance  </w:t>
            </w:r>
          </w:p>
        </w:tc>
      </w:tr>
      <w:tr w:rsidR="005B42ED" w:rsidRPr="00130755" w14:paraId="3F5577EB" w14:textId="77777777" w:rsidTr="005B42ED">
        <w:trPr>
          <w:trHeight w:val="589"/>
        </w:trPr>
        <w:tc>
          <w:tcPr>
            <w:tcW w:w="1567" w:type="dxa"/>
            <w:tcBorders>
              <w:top w:val="nil"/>
              <w:left w:val="single" w:sz="4" w:space="0" w:color="auto"/>
              <w:bottom w:val="single" w:sz="4" w:space="0" w:color="auto"/>
              <w:right w:val="single" w:sz="4" w:space="0" w:color="auto"/>
            </w:tcBorders>
            <w:shd w:val="clear" w:color="000000" w:fill="FFFFFF"/>
            <w:vAlign w:val="center"/>
            <w:hideMark/>
          </w:tcPr>
          <w:p w14:paraId="485A5175" w14:textId="77777777" w:rsidR="001A4892" w:rsidRPr="001A4892" w:rsidRDefault="001A4892" w:rsidP="00654632">
            <w:pPr>
              <w:spacing w:after="0" w:line="240" w:lineRule="auto"/>
              <w:jc w:val="both"/>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Porcentaje de avance en hectáreas de bosques y plantaciones financiadas mediante el Programa de Pago por Servicios Ambientales </w:t>
            </w:r>
          </w:p>
        </w:tc>
        <w:tc>
          <w:tcPr>
            <w:tcW w:w="1152" w:type="dxa"/>
            <w:tcBorders>
              <w:top w:val="nil"/>
              <w:left w:val="nil"/>
              <w:bottom w:val="single" w:sz="4" w:space="0" w:color="auto"/>
              <w:right w:val="single" w:sz="4" w:space="0" w:color="auto"/>
            </w:tcBorders>
            <w:shd w:val="clear" w:color="000000" w:fill="FFFFFF"/>
            <w:vAlign w:val="center"/>
            <w:hideMark/>
          </w:tcPr>
          <w:p w14:paraId="4BF3D231" w14:textId="77777777" w:rsidR="001A4892" w:rsidRPr="001A4892" w:rsidRDefault="001A4892" w:rsidP="001A4892">
            <w:pPr>
              <w:spacing w:after="0" w:line="240" w:lineRule="auto"/>
              <w:jc w:val="center"/>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100% </w:t>
            </w:r>
          </w:p>
        </w:tc>
        <w:tc>
          <w:tcPr>
            <w:tcW w:w="1279" w:type="dxa"/>
            <w:tcBorders>
              <w:top w:val="nil"/>
              <w:left w:val="nil"/>
              <w:bottom w:val="single" w:sz="4" w:space="0" w:color="auto"/>
              <w:right w:val="single" w:sz="4" w:space="0" w:color="auto"/>
            </w:tcBorders>
            <w:shd w:val="clear" w:color="000000" w:fill="FFFFFF"/>
            <w:vAlign w:val="center"/>
            <w:hideMark/>
          </w:tcPr>
          <w:p w14:paraId="63D36FB9" w14:textId="77777777" w:rsidR="001A4892" w:rsidRPr="001A4892" w:rsidRDefault="001A4892" w:rsidP="001A4892">
            <w:pPr>
              <w:spacing w:after="0" w:line="240" w:lineRule="auto"/>
              <w:jc w:val="center"/>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D. Servicios Ambientales </w:t>
            </w:r>
          </w:p>
        </w:tc>
        <w:tc>
          <w:tcPr>
            <w:tcW w:w="1426" w:type="dxa"/>
            <w:tcBorders>
              <w:top w:val="nil"/>
              <w:left w:val="nil"/>
              <w:bottom w:val="single" w:sz="4" w:space="0" w:color="auto"/>
              <w:right w:val="single" w:sz="4" w:space="0" w:color="auto"/>
            </w:tcBorders>
            <w:shd w:val="clear" w:color="000000" w:fill="FFFFFF"/>
            <w:vAlign w:val="center"/>
            <w:hideMark/>
          </w:tcPr>
          <w:p w14:paraId="417208D0" w14:textId="77777777" w:rsidR="001A4892" w:rsidRPr="001A4892" w:rsidRDefault="001A4892" w:rsidP="001A4892">
            <w:pPr>
              <w:spacing w:after="0" w:line="240" w:lineRule="auto"/>
              <w:jc w:val="center"/>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46.28%</w:t>
            </w:r>
          </w:p>
        </w:tc>
        <w:tc>
          <w:tcPr>
            <w:tcW w:w="1852" w:type="dxa"/>
            <w:tcBorders>
              <w:top w:val="nil"/>
              <w:left w:val="nil"/>
              <w:bottom w:val="single" w:sz="4" w:space="0" w:color="auto"/>
              <w:right w:val="single" w:sz="4" w:space="0" w:color="auto"/>
            </w:tcBorders>
            <w:shd w:val="clear" w:color="000000" w:fill="FFFFFF"/>
            <w:vAlign w:val="center"/>
            <w:hideMark/>
          </w:tcPr>
          <w:p w14:paraId="4EC8F006" w14:textId="77777777" w:rsidR="001A4892" w:rsidRPr="001A4892" w:rsidRDefault="001A4892" w:rsidP="001A4892">
            <w:pPr>
              <w:spacing w:after="0" w:line="240" w:lineRule="auto"/>
              <w:jc w:val="center"/>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85.37%</w:t>
            </w:r>
          </w:p>
        </w:tc>
        <w:tc>
          <w:tcPr>
            <w:tcW w:w="4052" w:type="dxa"/>
            <w:tcBorders>
              <w:top w:val="nil"/>
              <w:left w:val="nil"/>
              <w:bottom w:val="single" w:sz="4" w:space="0" w:color="auto"/>
              <w:right w:val="single" w:sz="4" w:space="0" w:color="auto"/>
            </w:tcBorders>
            <w:shd w:val="clear" w:color="000000" w:fill="FFFFFF"/>
            <w:vAlign w:val="center"/>
            <w:hideMark/>
          </w:tcPr>
          <w:p w14:paraId="0DACF591" w14:textId="09145ED6" w:rsidR="001A4892" w:rsidRPr="001A4892" w:rsidRDefault="001A4892" w:rsidP="00130755">
            <w:pPr>
              <w:spacing w:after="0" w:line="240" w:lineRule="auto"/>
              <w:jc w:val="both"/>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La meta del período 2021 era alcanzar el 100% de la colocación de hectáreas bajo PPSA, fijada para el año 2021 en 333.000,00 has lo cual incluye el pago tanto de contratos nuevos como vigentes. A la fecha de corte anual se logró colocar un avance correspondiente al 85,37% que equivale un total de 284.</w:t>
            </w:r>
            <w:r w:rsidR="00654632">
              <w:rPr>
                <w:rFonts w:ascii="Arial" w:eastAsia="Times New Roman" w:hAnsi="Arial" w:cs="Arial"/>
                <w:color w:val="000000"/>
                <w:sz w:val="14"/>
                <w:szCs w:val="14"/>
                <w:lang w:val="es-US" w:eastAsia="es-US"/>
              </w:rPr>
              <w:t>161</w:t>
            </w:r>
            <w:r w:rsidRPr="001A4892">
              <w:rPr>
                <w:rFonts w:ascii="Arial" w:eastAsia="Times New Roman" w:hAnsi="Arial" w:cs="Arial"/>
                <w:color w:val="000000"/>
                <w:sz w:val="14"/>
                <w:szCs w:val="14"/>
                <w:lang w:val="es-US" w:eastAsia="es-US"/>
              </w:rPr>
              <w:t xml:space="preserve"> has bajo financiamiento. Para el segundo semestre específicamente, el programa alcanzó el 46,28% de su meta asegurando el pago de 154.026,15 has. Estos pagos se han realizado principalmente en la actividad de protección de bosque y corresponden a la tramitación de 4169 contratos del período 2011-2021 provenientes de todas las áreas del territorio nacional, aunque la mayor cantidad de área financiada corresponde a la región Brunca seguido de la región Chorotega.</w:t>
            </w:r>
          </w:p>
        </w:tc>
      </w:tr>
      <w:tr w:rsidR="005B42ED" w:rsidRPr="00130755" w14:paraId="09E95C9D" w14:textId="77777777" w:rsidTr="005B42ED">
        <w:trPr>
          <w:trHeight w:val="230"/>
        </w:trPr>
        <w:tc>
          <w:tcPr>
            <w:tcW w:w="1567" w:type="dxa"/>
            <w:tcBorders>
              <w:top w:val="nil"/>
              <w:left w:val="single" w:sz="4" w:space="0" w:color="auto"/>
              <w:bottom w:val="single" w:sz="4" w:space="0" w:color="auto"/>
              <w:right w:val="single" w:sz="4" w:space="0" w:color="auto"/>
            </w:tcBorders>
            <w:shd w:val="clear" w:color="000000" w:fill="FFFFFF"/>
            <w:vAlign w:val="center"/>
            <w:hideMark/>
          </w:tcPr>
          <w:p w14:paraId="4CE64DB5" w14:textId="77777777" w:rsidR="001A4892" w:rsidRPr="001A4892" w:rsidRDefault="001A4892" w:rsidP="00654632">
            <w:pPr>
              <w:spacing w:after="0" w:line="240" w:lineRule="auto"/>
              <w:jc w:val="both"/>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Porcentaje de avance en el desarrollo de la Estrategia REDD+.  </w:t>
            </w:r>
          </w:p>
        </w:tc>
        <w:tc>
          <w:tcPr>
            <w:tcW w:w="1152" w:type="dxa"/>
            <w:tcBorders>
              <w:top w:val="nil"/>
              <w:left w:val="nil"/>
              <w:bottom w:val="single" w:sz="4" w:space="0" w:color="auto"/>
              <w:right w:val="single" w:sz="4" w:space="0" w:color="auto"/>
            </w:tcBorders>
            <w:shd w:val="clear" w:color="000000" w:fill="FFFFFF"/>
            <w:vAlign w:val="center"/>
            <w:hideMark/>
          </w:tcPr>
          <w:p w14:paraId="3A4002B4" w14:textId="77777777" w:rsidR="001A4892" w:rsidRPr="001A4892" w:rsidRDefault="001A4892" w:rsidP="001A4892">
            <w:pPr>
              <w:spacing w:after="0" w:line="240" w:lineRule="auto"/>
              <w:jc w:val="center"/>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100% </w:t>
            </w:r>
          </w:p>
        </w:tc>
        <w:tc>
          <w:tcPr>
            <w:tcW w:w="1279" w:type="dxa"/>
            <w:tcBorders>
              <w:top w:val="nil"/>
              <w:left w:val="nil"/>
              <w:bottom w:val="single" w:sz="4" w:space="0" w:color="auto"/>
              <w:right w:val="single" w:sz="4" w:space="0" w:color="auto"/>
            </w:tcBorders>
            <w:shd w:val="clear" w:color="000000" w:fill="FFFFFF"/>
            <w:vAlign w:val="center"/>
            <w:hideMark/>
          </w:tcPr>
          <w:p w14:paraId="44B48716" w14:textId="77777777" w:rsidR="001A4892" w:rsidRPr="001A4892" w:rsidRDefault="001A4892" w:rsidP="001A4892">
            <w:pPr>
              <w:spacing w:after="0" w:line="240" w:lineRule="auto"/>
              <w:jc w:val="center"/>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Secretario REDD+, FONAFIFO </w:t>
            </w:r>
          </w:p>
        </w:tc>
        <w:tc>
          <w:tcPr>
            <w:tcW w:w="1426" w:type="dxa"/>
            <w:tcBorders>
              <w:top w:val="nil"/>
              <w:left w:val="nil"/>
              <w:bottom w:val="single" w:sz="4" w:space="0" w:color="auto"/>
              <w:right w:val="single" w:sz="4" w:space="0" w:color="auto"/>
            </w:tcBorders>
            <w:shd w:val="clear" w:color="000000" w:fill="FFFFFF"/>
            <w:vAlign w:val="center"/>
            <w:hideMark/>
          </w:tcPr>
          <w:p w14:paraId="5CAF2CB5" w14:textId="77777777" w:rsidR="001A4892" w:rsidRPr="001A4892" w:rsidRDefault="001A4892" w:rsidP="001A4892">
            <w:pPr>
              <w:spacing w:after="0" w:line="240" w:lineRule="auto"/>
              <w:jc w:val="center"/>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56.58%</w:t>
            </w:r>
          </w:p>
        </w:tc>
        <w:tc>
          <w:tcPr>
            <w:tcW w:w="1852" w:type="dxa"/>
            <w:tcBorders>
              <w:top w:val="nil"/>
              <w:left w:val="nil"/>
              <w:bottom w:val="single" w:sz="4" w:space="0" w:color="auto"/>
              <w:right w:val="single" w:sz="4" w:space="0" w:color="auto"/>
            </w:tcBorders>
            <w:shd w:val="clear" w:color="000000" w:fill="FFFFFF"/>
            <w:vAlign w:val="center"/>
            <w:hideMark/>
          </w:tcPr>
          <w:p w14:paraId="4753142A" w14:textId="77777777" w:rsidR="001A4892" w:rsidRPr="001A4892" w:rsidRDefault="001A4892" w:rsidP="001A4892">
            <w:pPr>
              <w:spacing w:after="0" w:line="240" w:lineRule="auto"/>
              <w:jc w:val="center"/>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77.63%</w:t>
            </w:r>
          </w:p>
        </w:tc>
        <w:tc>
          <w:tcPr>
            <w:tcW w:w="4052" w:type="dxa"/>
            <w:tcBorders>
              <w:top w:val="nil"/>
              <w:left w:val="nil"/>
              <w:bottom w:val="single" w:sz="4" w:space="0" w:color="auto"/>
              <w:right w:val="single" w:sz="4" w:space="0" w:color="auto"/>
            </w:tcBorders>
            <w:shd w:val="clear" w:color="000000" w:fill="FFFFFF"/>
            <w:vAlign w:val="center"/>
            <w:hideMark/>
          </w:tcPr>
          <w:p w14:paraId="59396520" w14:textId="59ACD2AC" w:rsidR="001A4892" w:rsidRPr="001A4892" w:rsidRDefault="001A4892" w:rsidP="00130755">
            <w:pPr>
              <w:spacing w:after="0" w:line="240" w:lineRule="auto"/>
              <w:jc w:val="both"/>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El indicador de gestión por resultados relativo a la implementación de la Estrategia REDD+ se refiere a la cantidad de toneladas de dióxido de carbono reducido producto de las acciones emprendidas para evitar la deforestación y degradación de los bosques nacionales, de ahí que esta métrica figure en el Plan Nacional de Desarrollo con una periodicidad de medición bianual acorde con los eventos de monitoreo requeridos para suministrar la información pertinente. No obstante lo anterior, año con año  la institución deben ejecutar una serie de actividades definidas como requisitos por parte de los organismos internacionales que desembolsan los recursos  para el  pago por resultados y que dan sustento a la medición del indicador aquí plasmado como porcentaje de avance en las acciones programadas para la Estrategia REDD.</w:t>
            </w:r>
            <w:r w:rsidRPr="001A4892">
              <w:rPr>
                <w:rFonts w:ascii="Arial" w:eastAsia="Times New Roman" w:hAnsi="Arial" w:cs="Arial"/>
                <w:color w:val="000000"/>
                <w:sz w:val="14"/>
                <w:szCs w:val="14"/>
                <w:lang w:val="es-US" w:eastAsia="es-US"/>
              </w:rPr>
              <w:br/>
              <w:t>De acuerdo con la programación efectuada para el periodo 2021 se estimó  la responsabilidad de ejecutar un total de 19 actividades</w:t>
            </w:r>
            <w:r w:rsidR="0035704F">
              <w:rPr>
                <w:rFonts w:ascii="Arial" w:eastAsia="Times New Roman" w:hAnsi="Arial" w:cs="Arial"/>
                <w:color w:val="000000"/>
                <w:sz w:val="14"/>
                <w:szCs w:val="14"/>
                <w:lang w:val="es-US" w:eastAsia="es-US"/>
              </w:rPr>
              <w:t>.</w:t>
            </w:r>
            <w:r w:rsidRPr="001A4892">
              <w:rPr>
                <w:rFonts w:ascii="Arial" w:eastAsia="Times New Roman" w:hAnsi="Arial" w:cs="Arial"/>
                <w:color w:val="000000"/>
                <w:sz w:val="14"/>
                <w:szCs w:val="14"/>
                <w:lang w:val="es-US" w:eastAsia="es-US"/>
              </w:rPr>
              <w:t xml:space="preserve"> </w:t>
            </w:r>
            <w:r w:rsidRPr="001A4892">
              <w:rPr>
                <w:rFonts w:ascii="Arial" w:eastAsia="Times New Roman" w:hAnsi="Arial" w:cs="Arial"/>
                <w:color w:val="000000"/>
                <w:sz w:val="14"/>
                <w:szCs w:val="14"/>
                <w:lang w:val="es-US" w:eastAsia="es-US"/>
              </w:rPr>
              <w:br/>
              <w:t xml:space="preserve">En el segundo semestre se </w:t>
            </w:r>
            <w:r w:rsidR="00BC6B9F" w:rsidRPr="001A4892">
              <w:rPr>
                <w:rFonts w:ascii="Arial" w:eastAsia="Times New Roman" w:hAnsi="Arial" w:cs="Arial"/>
                <w:color w:val="000000"/>
                <w:sz w:val="14"/>
                <w:szCs w:val="14"/>
                <w:lang w:val="es-US" w:eastAsia="es-US"/>
              </w:rPr>
              <w:t>encuentran totalmente</w:t>
            </w:r>
            <w:r w:rsidRPr="001A4892">
              <w:rPr>
                <w:rFonts w:ascii="Arial" w:eastAsia="Times New Roman" w:hAnsi="Arial" w:cs="Arial"/>
                <w:color w:val="000000"/>
                <w:sz w:val="14"/>
                <w:szCs w:val="14"/>
                <w:lang w:val="es-US" w:eastAsia="es-US"/>
              </w:rPr>
              <w:t xml:space="preserve"> </w:t>
            </w:r>
            <w:r w:rsidR="00BC6B9F" w:rsidRPr="001A4892">
              <w:rPr>
                <w:rFonts w:ascii="Arial" w:eastAsia="Times New Roman" w:hAnsi="Arial" w:cs="Arial"/>
                <w:color w:val="000000"/>
                <w:sz w:val="14"/>
                <w:szCs w:val="14"/>
                <w:lang w:val="es-US" w:eastAsia="es-US"/>
              </w:rPr>
              <w:t>concluidas 3</w:t>
            </w:r>
            <w:r w:rsidRPr="001A4892">
              <w:rPr>
                <w:rFonts w:ascii="Arial" w:eastAsia="Times New Roman" w:hAnsi="Arial" w:cs="Arial"/>
                <w:color w:val="000000"/>
                <w:sz w:val="14"/>
                <w:szCs w:val="14"/>
                <w:lang w:val="es-US" w:eastAsia="es-US"/>
              </w:rPr>
              <w:t xml:space="preserve"> acciones relacionadas con: el informe de beneficios no carbono, el informe del cumplimiento de indicadores del PRO, DOC y PNUD y dar seguimiento al proceso de verificación del cumplimiento de indicadores REDD. </w:t>
            </w:r>
            <w:r w:rsidR="00654632" w:rsidRPr="001A4892">
              <w:rPr>
                <w:rFonts w:ascii="Arial" w:eastAsia="Times New Roman" w:hAnsi="Arial" w:cs="Arial"/>
                <w:color w:val="000000"/>
                <w:sz w:val="14"/>
                <w:szCs w:val="14"/>
                <w:lang w:val="es-US" w:eastAsia="es-US"/>
              </w:rPr>
              <w:t>Así</w:t>
            </w:r>
            <w:r w:rsidR="00654632">
              <w:rPr>
                <w:rFonts w:ascii="Arial" w:eastAsia="Times New Roman" w:hAnsi="Arial" w:cs="Arial"/>
                <w:color w:val="000000"/>
                <w:sz w:val="14"/>
                <w:szCs w:val="14"/>
                <w:lang w:val="es-US" w:eastAsia="es-US"/>
              </w:rPr>
              <w:t xml:space="preserve"> </w:t>
            </w:r>
            <w:r w:rsidRPr="001A4892">
              <w:rPr>
                <w:rFonts w:ascii="Arial" w:eastAsia="Times New Roman" w:hAnsi="Arial" w:cs="Arial"/>
                <w:color w:val="000000"/>
                <w:sz w:val="14"/>
                <w:szCs w:val="14"/>
                <w:lang w:val="es-US" w:eastAsia="es-US"/>
              </w:rPr>
              <w:t xml:space="preserve">mismo es importante mencionar que, hay otras actividades que se encuentran en proceso de aprobación y consecución de firmas, publicaciones en la Gaceta, revisión de contratos, entre otros. Lo cual no significa que no se hayan presentado avances en las mismas; si no que su finalización depende de otras instancias, por lo que en tiempo se estarán finalizando a mediados del año 2022. En </w:t>
            </w:r>
            <w:r w:rsidR="00654632" w:rsidRPr="001A4892">
              <w:rPr>
                <w:rFonts w:ascii="Arial" w:eastAsia="Times New Roman" w:hAnsi="Arial" w:cs="Arial"/>
                <w:color w:val="000000"/>
                <w:sz w:val="14"/>
                <w:szCs w:val="14"/>
                <w:lang w:val="es-US" w:eastAsia="es-US"/>
              </w:rPr>
              <w:t>virtud</w:t>
            </w:r>
            <w:r w:rsidRPr="001A4892">
              <w:rPr>
                <w:rFonts w:ascii="Arial" w:eastAsia="Times New Roman" w:hAnsi="Arial" w:cs="Arial"/>
                <w:color w:val="000000"/>
                <w:sz w:val="14"/>
                <w:szCs w:val="14"/>
                <w:lang w:val="es-US" w:eastAsia="es-US"/>
              </w:rPr>
              <w:t xml:space="preserve"> e lo anterior y a fin de cuantificar el resultado en el Plan Operativo Anual se le asignó un promedio a cada actividad según su grado de avance, </w:t>
            </w:r>
            <w:r w:rsidR="00654632" w:rsidRPr="001A4892">
              <w:rPr>
                <w:rFonts w:ascii="Arial" w:eastAsia="Times New Roman" w:hAnsi="Arial" w:cs="Arial"/>
                <w:color w:val="000000"/>
                <w:sz w:val="14"/>
                <w:szCs w:val="14"/>
                <w:lang w:val="es-US" w:eastAsia="es-US"/>
              </w:rPr>
              <w:t>obteniéndose</w:t>
            </w:r>
            <w:r w:rsidRPr="001A4892">
              <w:rPr>
                <w:rFonts w:ascii="Arial" w:eastAsia="Times New Roman" w:hAnsi="Arial" w:cs="Arial"/>
                <w:color w:val="000000"/>
                <w:sz w:val="14"/>
                <w:szCs w:val="14"/>
                <w:lang w:val="es-US" w:eastAsia="es-US"/>
              </w:rPr>
              <w:t xml:space="preserve"> un resultado de 56,58% para el periodo y un porcentaje acumulado correspondiente al 77,63%.</w:t>
            </w:r>
            <w:r w:rsidRPr="001A4892">
              <w:rPr>
                <w:rFonts w:ascii="Arial" w:eastAsia="Times New Roman" w:hAnsi="Arial" w:cs="Arial"/>
                <w:color w:val="000000"/>
                <w:sz w:val="14"/>
                <w:szCs w:val="14"/>
                <w:lang w:val="es-US" w:eastAsia="es-US"/>
              </w:rPr>
              <w:br/>
              <w:t>A partir de los resultados y la buena ejecución de los compromisos establecidos en la estrategia REDD, Costa Rica podrá hacer el primer reclamo del Pago por Resultados producto del ERPA firmado en diciembre 2020.</w:t>
            </w:r>
          </w:p>
        </w:tc>
      </w:tr>
      <w:tr w:rsidR="005B42ED" w:rsidRPr="00130755" w14:paraId="014861DE" w14:textId="77777777" w:rsidTr="005B42ED">
        <w:trPr>
          <w:trHeight w:val="49"/>
        </w:trPr>
        <w:tc>
          <w:tcPr>
            <w:tcW w:w="1567" w:type="dxa"/>
            <w:tcBorders>
              <w:top w:val="nil"/>
              <w:left w:val="single" w:sz="4" w:space="0" w:color="auto"/>
              <w:bottom w:val="single" w:sz="4" w:space="0" w:color="auto"/>
              <w:right w:val="single" w:sz="4" w:space="0" w:color="auto"/>
            </w:tcBorders>
            <w:shd w:val="clear" w:color="000000" w:fill="FFFFFF"/>
            <w:hideMark/>
          </w:tcPr>
          <w:p w14:paraId="58929A4C" w14:textId="77777777" w:rsidR="001A4892" w:rsidRPr="001A4892" w:rsidRDefault="001A4892" w:rsidP="00654632">
            <w:pPr>
              <w:spacing w:after="0" w:line="240" w:lineRule="auto"/>
              <w:jc w:val="both"/>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Monto de colocación en operaciones de crédito </w:t>
            </w:r>
          </w:p>
        </w:tc>
        <w:tc>
          <w:tcPr>
            <w:tcW w:w="1152" w:type="dxa"/>
            <w:tcBorders>
              <w:top w:val="nil"/>
              <w:left w:val="nil"/>
              <w:bottom w:val="single" w:sz="4" w:space="0" w:color="auto"/>
              <w:right w:val="single" w:sz="4" w:space="0" w:color="auto"/>
            </w:tcBorders>
            <w:shd w:val="clear" w:color="000000" w:fill="FFFFFF"/>
            <w:hideMark/>
          </w:tcPr>
          <w:p w14:paraId="0B363658" w14:textId="77777777" w:rsidR="001A4892" w:rsidRPr="001A4892" w:rsidRDefault="001A4892" w:rsidP="001A4892">
            <w:pPr>
              <w:spacing w:after="0" w:line="240" w:lineRule="auto"/>
              <w:jc w:val="center"/>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₡1,038,000,000</w:t>
            </w:r>
          </w:p>
        </w:tc>
        <w:tc>
          <w:tcPr>
            <w:tcW w:w="1279" w:type="dxa"/>
            <w:tcBorders>
              <w:top w:val="nil"/>
              <w:left w:val="nil"/>
              <w:bottom w:val="single" w:sz="4" w:space="0" w:color="auto"/>
              <w:right w:val="single" w:sz="4" w:space="0" w:color="auto"/>
            </w:tcBorders>
            <w:shd w:val="clear" w:color="000000" w:fill="FFFFFF"/>
            <w:hideMark/>
          </w:tcPr>
          <w:p w14:paraId="39CF948D" w14:textId="77777777" w:rsidR="001A4892" w:rsidRPr="001A4892" w:rsidRDefault="001A4892" w:rsidP="001A4892">
            <w:pPr>
              <w:spacing w:after="0" w:line="240" w:lineRule="auto"/>
              <w:jc w:val="center"/>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D. Fomento Forestal </w:t>
            </w:r>
          </w:p>
        </w:tc>
        <w:tc>
          <w:tcPr>
            <w:tcW w:w="1426" w:type="dxa"/>
            <w:tcBorders>
              <w:top w:val="nil"/>
              <w:left w:val="nil"/>
              <w:bottom w:val="single" w:sz="4" w:space="0" w:color="auto"/>
              <w:right w:val="single" w:sz="4" w:space="0" w:color="auto"/>
            </w:tcBorders>
            <w:shd w:val="clear" w:color="000000" w:fill="FFFFFF"/>
            <w:hideMark/>
          </w:tcPr>
          <w:p w14:paraId="6B82C31B" w14:textId="77777777" w:rsidR="001A4892" w:rsidRPr="001A4892" w:rsidRDefault="001A4892" w:rsidP="001A4892">
            <w:pPr>
              <w:spacing w:after="0" w:line="240" w:lineRule="auto"/>
              <w:jc w:val="center"/>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 xml:space="preserve"> ₡367.151.869,47</w:t>
            </w:r>
          </w:p>
        </w:tc>
        <w:tc>
          <w:tcPr>
            <w:tcW w:w="1852" w:type="dxa"/>
            <w:tcBorders>
              <w:top w:val="nil"/>
              <w:left w:val="nil"/>
              <w:bottom w:val="single" w:sz="4" w:space="0" w:color="auto"/>
              <w:right w:val="single" w:sz="4" w:space="0" w:color="auto"/>
            </w:tcBorders>
            <w:shd w:val="clear" w:color="000000" w:fill="FFFFFF"/>
            <w:hideMark/>
          </w:tcPr>
          <w:p w14:paraId="1283D381" w14:textId="77777777" w:rsidR="001A4892" w:rsidRPr="001A4892" w:rsidRDefault="001A4892" w:rsidP="001A4892">
            <w:pPr>
              <w:spacing w:after="0" w:line="240" w:lineRule="auto"/>
              <w:jc w:val="center"/>
              <w:rPr>
                <w:rFonts w:ascii="Arial" w:eastAsia="Times New Roman" w:hAnsi="Arial" w:cs="Arial"/>
                <w:sz w:val="14"/>
                <w:szCs w:val="14"/>
                <w:lang w:val="es-US" w:eastAsia="es-US"/>
              </w:rPr>
            </w:pPr>
            <w:r w:rsidRPr="001A4892">
              <w:rPr>
                <w:rFonts w:ascii="Arial" w:eastAsia="Times New Roman" w:hAnsi="Arial" w:cs="Arial"/>
                <w:sz w:val="14"/>
                <w:szCs w:val="14"/>
                <w:lang w:val="es-US" w:eastAsia="es-US"/>
              </w:rPr>
              <w:t>58.34%</w:t>
            </w:r>
          </w:p>
        </w:tc>
        <w:tc>
          <w:tcPr>
            <w:tcW w:w="4052" w:type="dxa"/>
            <w:tcBorders>
              <w:top w:val="nil"/>
              <w:left w:val="nil"/>
              <w:bottom w:val="single" w:sz="4" w:space="0" w:color="auto"/>
              <w:right w:val="single" w:sz="4" w:space="0" w:color="auto"/>
            </w:tcBorders>
            <w:shd w:val="clear" w:color="000000" w:fill="FFFFFF"/>
            <w:hideMark/>
          </w:tcPr>
          <w:p w14:paraId="6655B688" w14:textId="477C50E7" w:rsidR="001A4892" w:rsidRPr="001A4892" w:rsidRDefault="001A4892" w:rsidP="00130755">
            <w:pPr>
              <w:spacing w:after="0" w:line="240" w:lineRule="auto"/>
              <w:jc w:val="both"/>
              <w:rPr>
                <w:rFonts w:ascii="Arial" w:eastAsia="Times New Roman" w:hAnsi="Arial" w:cs="Arial"/>
                <w:color w:val="000000"/>
                <w:sz w:val="14"/>
                <w:szCs w:val="14"/>
                <w:lang w:val="es-US" w:eastAsia="es-US"/>
              </w:rPr>
            </w:pPr>
            <w:r w:rsidRPr="001A4892">
              <w:rPr>
                <w:rFonts w:ascii="Arial" w:eastAsia="Times New Roman" w:hAnsi="Arial" w:cs="Arial"/>
                <w:color w:val="000000"/>
                <w:sz w:val="14"/>
                <w:szCs w:val="14"/>
                <w:lang w:val="es-US" w:eastAsia="es-US"/>
              </w:rPr>
              <w:t>Al cierre del periodo 2021, se tiene un avance para el segundo semestre de</w:t>
            </w:r>
            <w:r w:rsidR="005B42ED">
              <w:rPr>
                <w:rFonts w:ascii="Arial" w:eastAsia="Times New Roman" w:hAnsi="Arial" w:cs="Arial"/>
                <w:color w:val="000000"/>
                <w:sz w:val="14"/>
                <w:szCs w:val="14"/>
                <w:lang w:val="es-US" w:eastAsia="es-US"/>
              </w:rPr>
              <w:t xml:space="preserve"> </w:t>
            </w:r>
            <w:r w:rsidRPr="001A4892">
              <w:rPr>
                <w:rFonts w:ascii="Arial" w:eastAsia="Times New Roman" w:hAnsi="Arial" w:cs="Arial"/>
                <w:color w:val="000000"/>
                <w:sz w:val="14"/>
                <w:szCs w:val="14"/>
                <w:lang w:val="es-US" w:eastAsia="es-US"/>
              </w:rPr>
              <w:t xml:space="preserve">₡367.151.869,47 millones de colones, correspondientes a un 35,37% del de la meta anual. Estos desembolsos fueron otorgados a los programas de fomento productivo, industria forestal y mujeres. Los créditos se otorgaron en su gran mayoría en las regiones Chorotega, </w:t>
            </w:r>
            <w:r w:rsidR="00654632" w:rsidRPr="001A4892">
              <w:rPr>
                <w:rFonts w:ascii="Arial" w:eastAsia="Times New Roman" w:hAnsi="Arial" w:cs="Arial"/>
                <w:color w:val="000000"/>
                <w:sz w:val="14"/>
                <w:szCs w:val="14"/>
                <w:lang w:val="es-US" w:eastAsia="es-US"/>
              </w:rPr>
              <w:t>Hurtar</w:t>
            </w:r>
            <w:r w:rsidRPr="001A4892">
              <w:rPr>
                <w:rFonts w:ascii="Arial" w:eastAsia="Times New Roman" w:hAnsi="Arial" w:cs="Arial"/>
                <w:color w:val="000000"/>
                <w:sz w:val="14"/>
                <w:szCs w:val="14"/>
                <w:lang w:val="es-US" w:eastAsia="es-US"/>
              </w:rPr>
              <w:t xml:space="preserve"> Norte y Pacífico Central. Al corte del 31 de diciembre del 2021 la cantidad alcanzada en operaciones crediticias para el año fue de  ₡605.</w:t>
            </w:r>
            <w:r w:rsidR="00130755" w:rsidRPr="00130755">
              <w:rPr>
                <w:rFonts w:ascii="Arial" w:eastAsia="Times New Roman" w:hAnsi="Arial" w:cs="Arial"/>
                <w:color w:val="000000"/>
                <w:sz w:val="14"/>
                <w:szCs w:val="14"/>
                <w:lang w:val="es-US" w:eastAsia="es-US"/>
              </w:rPr>
              <w:t>505.947</w:t>
            </w:r>
            <w:r w:rsidRPr="001A4892">
              <w:rPr>
                <w:rFonts w:ascii="Arial" w:eastAsia="Times New Roman" w:hAnsi="Arial" w:cs="Arial"/>
                <w:color w:val="000000"/>
                <w:sz w:val="14"/>
                <w:szCs w:val="14"/>
                <w:lang w:val="es-US" w:eastAsia="es-US"/>
              </w:rPr>
              <w:t xml:space="preserve">  para un total de 122 desembolsos, y representa un acumulado del 58,34% del total de la meta.  El programa de Crédito Forestal ha tenido dificultad para lograr los objetivos institucionales del periodo, debido a la</w:t>
            </w:r>
            <w:r w:rsidR="00654632">
              <w:rPr>
                <w:rFonts w:ascii="Arial" w:eastAsia="Times New Roman" w:hAnsi="Arial" w:cs="Arial"/>
                <w:color w:val="000000"/>
                <w:sz w:val="14"/>
                <w:szCs w:val="14"/>
                <w:lang w:val="es-US" w:eastAsia="es-US"/>
              </w:rPr>
              <w:t xml:space="preserve"> </w:t>
            </w:r>
            <w:r w:rsidRPr="001A4892">
              <w:rPr>
                <w:rFonts w:ascii="Arial" w:eastAsia="Times New Roman" w:hAnsi="Arial" w:cs="Arial"/>
                <w:color w:val="000000"/>
                <w:sz w:val="14"/>
                <w:szCs w:val="14"/>
                <w:lang w:val="es-US" w:eastAsia="es-US"/>
              </w:rPr>
              <w:t>situación de contracción en la economía nacional como efecto de las medidas tomadas para contrarrestar la pandemia de la enfermedad del COVID19.</w:t>
            </w:r>
          </w:p>
        </w:tc>
      </w:tr>
    </w:tbl>
    <w:p w14:paraId="40556B25" w14:textId="77777777" w:rsidR="001A4892" w:rsidRPr="001A4892" w:rsidRDefault="001A4892" w:rsidP="001A4892">
      <w:pPr>
        <w:spacing w:after="0"/>
        <w:jc w:val="both"/>
        <w:rPr>
          <w:rFonts w:ascii="Arial" w:hAnsi="Arial" w:cs="Arial"/>
          <w:b/>
          <w:color w:val="FF0000"/>
          <w:sz w:val="24"/>
          <w:lang w:val="es-US"/>
        </w:rPr>
      </w:pPr>
    </w:p>
    <w:p w14:paraId="1B1AE2F2" w14:textId="77777777" w:rsidR="008D69CB" w:rsidRPr="008D69CB" w:rsidRDefault="008D69CB" w:rsidP="008D69CB">
      <w:pPr>
        <w:spacing w:after="0" w:line="240" w:lineRule="auto"/>
        <w:contextualSpacing/>
        <w:rPr>
          <w:rFonts w:ascii="Arial" w:hAnsi="Arial" w:cs="Arial"/>
          <w:b/>
        </w:rPr>
        <w:sectPr w:rsidR="008D69CB" w:rsidRPr="008D69CB" w:rsidSect="00533912">
          <w:headerReference w:type="default" r:id="rId11"/>
          <w:footerReference w:type="even" r:id="rId12"/>
          <w:footerReference w:type="default" r:id="rId13"/>
          <w:headerReference w:type="first" r:id="rId14"/>
          <w:footerReference w:type="first" r:id="rId15"/>
          <w:pgSz w:w="12240" w:h="15840"/>
          <w:pgMar w:top="1417" w:right="1608" w:bottom="1417" w:left="1701" w:header="708" w:footer="708" w:gutter="0"/>
          <w:cols w:space="708"/>
          <w:titlePg/>
          <w:docGrid w:linePitch="360"/>
        </w:sectPr>
      </w:pPr>
    </w:p>
    <w:p w14:paraId="718124B9" w14:textId="77777777" w:rsidR="00A73E51" w:rsidRDefault="00A73E51" w:rsidP="00EF0261">
      <w:pPr>
        <w:spacing w:after="0" w:line="240" w:lineRule="auto"/>
        <w:rPr>
          <w:rFonts w:ascii="Arial" w:hAnsi="Arial" w:cs="Arial"/>
          <w:b/>
          <w:sz w:val="20"/>
          <w:szCs w:val="20"/>
        </w:rPr>
      </w:pPr>
    </w:p>
    <w:p w14:paraId="026AB0A4" w14:textId="77777777" w:rsidR="00A73E51" w:rsidRPr="00B77BF4" w:rsidRDefault="00A73E51" w:rsidP="00EF0261">
      <w:pPr>
        <w:pStyle w:val="Prrafodelista"/>
        <w:numPr>
          <w:ilvl w:val="0"/>
          <w:numId w:val="3"/>
        </w:numPr>
        <w:spacing w:after="0" w:line="240" w:lineRule="auto"/>
        <w:outlineLvl w:val="0"/>
        <w:rPr>
          <w:rFonts w:ascii="Arial" w:hAnsi="Arial" w:cs="Arial"/>
          <w:b/>
        </w:rPr>
      </w:pPr>
      <w:bookmarkStart w:id="12" w:name="_Toc94522214"/>
      <w:r w:rsidRPr="00B77BF4">
        <w:rPr>
          <w:rFonts w:ascii="Arial" w:hAnsi="Arial" w:cs="Arial"/>
          <w:b/>
        </w:rPr>
        <w:t>Resultados de la Ejecución Presupuestaria</w:t>
      </w:r>
      <w:bookmarkEnd w:id="12"/>
    </w:p>
    <w:p w14:paraId="5207388D" w14:textId="77777777" w:rsidR="00B77BF4" w:rsidRPr="00B77BF4" w:rsidRDefault="00663D58" w:rsidP="00EF0261">
      <w:pPr>
        <w:pStyle w:val="Ttulo3"/>
        <w:spacing w:line="240" w:lineRule="auto"/>
        <w:rPr>
          <w:rFonts w:ascii="Arial" w:hAnsi="Arial" w:cs="Arial"/>
          <w:color w:val="auto"/>
        </w:rPr>
      </w:pPr>
      <w:bookmarkStart w:id="13" w:name="_Toc94522215"/>
      <w:r w:rsidRPr="00B77BF4">
        <w:rPr>
          <w:rFonts w:ascii="Arial" w:hAnsi="Arial" w:cs="Arial"/>
          <w:color w:val="auto"/>
        </w:rPr>
        <w:t xml:space="preserve">3.  </w:t>
      </w:r>
      <w:r w:rsidR="00325AFC" w:rsidRPr="00B77BF4">
        <w:rPr>
          <w:rFonts w:ascii="Arial" w:hAnsi="Arial" w:cs="Arial"/>
          <w:color w:val="auto"/>
        </w:rPr>
        <w:t>Ejecución Financiera</w:t>
      </w:r>
      <w:bookmarkEnd w:id="13"/>
    </w:p>
    <w:p w14:paraId="7A11632C" w14:textId="77777777" w:rsidR="00A73E51" w:rsidRPr="00B77BF4" w:rsidRDefault="00663D58" w:rsidP="00EF0261">
      <w:pPr>
        <w:pStyle w:val="Ttulo3"/>
        <w:spacing w:line="240" w:lineRule="auto"/>
        <w:rPr>
          <w:rFonts w:ascii="Arial" w:hAnsi="Arial" w:cs="Arial"/>
          <w:color w:val="auto"/>
        </w:rPr>
      </w:pPr>
      <w:bookmarkStart w:id="14" w:name="_Toc94522216"/>
      <w:r w:rsidRPr="00B77BF4">
        <w:rPr>
          <w:rFonts w:ascii="Arial" w:hAnsi="Arial" w:cs="Arial"/>
          <w:color w:val="auto"/>
        </w:rPr>
        <w:t xml:space="preserve">3.1 </w:t>
      </w:r>
      <w:r w:rsidR="00A73E51" w:rsidRPr="00B77BF4">
        <w:rPr>
          <w:rFonts w:ascii="Arial" w:hAnsi="Arial" w:cs="Arial"/>
          <w:color w:val="auto"/>
        </w:rPr>
        <w:t>Ejecución del Presupuesto de Ingresos</w:t>
      </w:r>
      <w:bookmarkEnd w:id="14"/>
    </w:p>
    <w:p w14:paraId="081679B0" w14:textId="77777777" w:rsidR="00F908BE" w:rsidRPr="00551D21" w:rsidRDefault="005E68DE" w:rsidP="00BA0BDA">
      <w:pPr>
        <w:spacing w:after="0" w:line="240" w:lineRule="auto"/>
        <w:jc w:val="center"/>
        <w:rPr>
          <w:rFonts w:ascii="Arial" w:hAnsi="Arial" w:cs="Arial"/>
          <w:b/>
          <w:sz w:val="16"/>
          <w:szCs w:val="16"/>
        </w:rPr>
      </w:pPr>
      <w:r w:rsidRPr="00551D21">
        <w:rPr>
          <w:rFonts w:ascii="Arial" w:hAnsi="Arial" w:cs="Arial"/>
          <w:b/>
          <w:sz w:val="16"/>
          <w:szCs w:val="16"/>
        </w:rPr>
        <w:t xml:space="preserve">          </w:t>
      </w:r>
      <w:r w:rsidR="00F908BE" w:rsidRPr="00551D21">
        <w:rPr>
          <w:rFonts w:ascii="Arial" w:hAnsi="Arial" w:cs="Arial"/>
          <w:b/>
          <w:sz w:val="16"/>
          <w:szCs w:val="16"/>
        </w:rPr>
        <w:t>FIDEICOMISO 544 FONAFIFO/BNCR</w:t>
      </w:r>
    </w:p>
    <w:p w14:paraId="6146FB39" w14:textId="77777777" w:rsidR="00284DDF" w:rsidRPr="00551D21" w:rsidRDefault="0064010E" w:rsidP="00BA0BDA">
      <w:pPr>
        <w:spacing w:after="0" w:line="240" w:lineRule="auto"/>
        <w:ind w:left="720"/>
        <w:jc w:val="center"/>
        <w:rPr>
          <w:rFonts w:ascii="Arial" w:hAnsi="Arial" w:cs="Arial"/>
          <w:b/>
          <w:sz w:val="16"/>
          <w:szCs w:val="16"/>
        </w:rPr>
      </w:pPr>
      <w:r w:rsidRPr="00551D21">
        <w:rPr>
          <w:rFonts w:ascii="Arial" w:hAnsi="Arial" w:cs="Arial"/>
          <w:b/>
          <w:sz w:val="16"/>
          <w:szCs w:val="16"/>
        </w:rPr>
        <w:t xml:space="preserve">EJECUCIÓN PRESUPUESTARIA </w:t>
      </w:r>
      <w:r w:rsidR="00284DDF" w:rsidRPr="00551D21">
        <w:rPr>
          <w:rFonts w:ascii="Arial" w:hAnsi="Arial" w:cs="Arial"/>
          <w:b/>
          <w:sz w:val="16"/>
          <w:szCs w:val="16"/>
        </w:rPr>
        <w:t>DE INGRESO</w:t>
      </w:r>
    </w:p>
    <w:p w14:paraId="7B20B2F0" w14:textId="4CC237E8" w:rsidR="00916645" w:rsidRDefault="0064010E" w:rsidP="00BA0BDA">
      <w:pPr>
        <w:spacing w:after="0" w:line="240" w:lineRule="auto"/>
        <w:ind w:left="720"/>
        <w:jc w:val="center"/>
        <w:rPr>
          <w:rFonts w:ascii="Arial" w:hAnsi="Arial" w:cs="Arial"/>
          <w:b/>
          <w:sz w:val="16"/>
          <w:szCs w:val="16"/>
        </w:rPr>
      </w:pPr>
      <w:r w:rsidRPr="00551D21">
        <w:rPr>
          <w:rFonts w:ascii="Arial" w:hAnsi="Arial" w:cs="Arial"/>
          <w:b/>
          <w:sz w:val="16"/>
          <w:szCs w:val="16"/>
        </w:rPr>
        <w:t xml:space="preserve">AL </w:t>
      </w:r>
      <w:r w:rsidR="009C17E6">
        <w:rPr>
          <w:rFonts w:ascii="Arial" w:hAnsi="Arial" w:cs="Arial"/>
          <w:b/>
          <w:sz w:val="16"/>
          <w:szCs w:val="16"/>
        </w:rPr>
        <w:t>3</w:t>
      </w:r>
      <w:r w:rsidR="00270D43">
        <w:rPr>
          <w:rFonts w:ascii="Arial" w:hAnsi="Arial" w:cs="Arial"/>
          <w:b/>
          <w:sz w:val="16"/>
          <w:szCs w:val="16"/>
        </w:rPr>
        <w:t>1</w:t>
      </w:r>
      <w:r w:rsidR="009C17E6">
        <w:rPr>
          <w:rFonts w:ascii="Arial" w:hAnsi="Arial" w:cs="Arial"/>
          <w:b/>
          <w:sz w:val="16"/>
          <w:szCs w:val="16"/>
        </w:rPr>
        <w:t xml:space="preserve"> DE </w:t>
      </w:r>
      <w:r w:rsidR="00270D43">
        <w:rPr>
          <w:rFonts w:ascii="Arial" w:hAnsi="Arial" w:cs="Arial"/>
          <w:b/>
          <w:sz w:val="16"/>
          <w:szCs w:val="16"/>
        </w:rPr>
        <w:t>DICIEMBRE</w:t>
      </w:r>
      <w:r w:rsidR="009C17E6">
        <w:rPr>
          <w:rFonts w:ascii="Arial" w:hAnsi="Arial" w:cs="Arial"/>
          <w:b/>
          <w:sz w:val="16"/>
          <w:szCs w:val="16"/>
        </w:rPr>
        <w:t xml:space="preserve"> DEL 20</w:t>
      </w:r>
      <w:r w:rsidR="00097BCC">
        <w:rPr>
          <w:rFonts w:ascii="Arial" w:hAnsi="Arial" w:cs="Arial"/>
          <w:b/>
          <w:sz w:val="16"/>
          <w:szCs w:val="16"/>
        </w:rPr>
        <w:t>2</w:t>
      </w:r>
      <w:r w:rsidR="006D6BA5">
        <w:rPr>
          <w:rFonts w:ascii="Arial" w:hAnsi="Arial" w:cs="Arial"/>
          <w:b/>
          <w:sz w:val="16"/>
          <w:szCs w:val="16"/>
        </w:rPr>
        <w:t>1</w:t>
      </w:r>
    </w:p>
    <w:p w14:paraId="307D9D58" w14:textId="25340B36" w:rsidR="0004448C" w:rsidRDefault="0004448C" w:rsidP="00BA0BDA">
      <w:pPr>
        <w:spacing w:after="0" w:line="240" w:lineRule="auto"/>
        <w:ind w:left="720"/>
        <w:jc w:val="center"/>
        <w:rPr>
          <w:rFonts w:ascii="Arial" w:hAnsi="Arial" w:cs="Arial"/>
          <w:b/>
          <w:sz w:val="16"/>
          <w:szCs w:val="16"/>
        </w:rPr>
      </w:pPr>
      <w:r>
        <w:rPr>
          <w:rFonts w:ascii="Arial" w:hAnsi="Arial" w:cs="Arial"/>
          <w:b/>
          <w:sz w:val="16"/>
          <w:szCs w:val="16"/>
        </w:rPr>
        <w:t>(</w:t>
      </w:r>
      <w:r w:rsidRPr="00551D21">
        <w:rPr>
          <w:rFonts w:ascii="Arial" w:hAnsi="Arial" w:cs="Arial"/>
          <w:b/>
          <w:sz w:val="16"/>
          <w:szCs w:val="16"/>
        </w:rPr>
        <w:t>EXPRESADA EN COLONES)</w:t>
      </w:r>
    </w:p>
    <w:p w14:paraId="589ED87A" w14:textId="77777777" w:rsidR="002810D0" w:rsidRDefault="002810D0" w:rsidP="00BA0BDA">
      <w:pPr>
        <w:spacing w:after="0" w:line="240" w:lineRule="auto"/>
        <w:ind w:left="720"/>
        <w:jc w:val="center"/>
        <w:rPr>
          <w:rFonts w:ascii="Arial" w:hAnsi="Arial" w:cs="Arial"/>
          <w:b/>
          <w:sz w:val="16"/>
          <w:szCs w:val="16"/>
        </w:rPr>
      </w:pPr>
    </w:p>
    <w:tbl>
      <w:tblPr>
        <w:tblW w:w="15251" w:type="dxa"/>
        <w:jc w:val="center"/>
        <w:tblLayout w:type="fixed"/>
        <w:tblCellMar>
          <w:left w:w="70" w:type="dxa"/>
          <w:right w:w="70" w:type="dxa"/>
        </w:tblCellMar>
        <w:tblLook w:val="04A0" w:firstRow="1" w:lastRow="0" w:firstColumn="1" w:lastColumn="0" w:noHBand="0" w:noVBand="1"/>
      </w:tblPr>
      <w:tblGrid>
        <w:gridCol w:w="1513"/>
        <w:gridCol w:w="4155"/>
        <w:gridCol w:w="1278"/>
        <w:gridCol w:w="1249"/>
        <w:gridCol w:w="1298"/>
        <w:gridCol w:w="1186"/>
        <w:gridCol w:w="1186"/>
        <w:gridCol w:w="1180"/>
        <w:gridCol w:w="1251"/>
        <w:gridCol w:w="955"/>
      </w:tblGrid>
      <w:tr w:rsidR="002810D0" w:rsidRPr="00C070CB" w14:paraId="2655F285" w14:textId="77777777" w:rsidTr="009F5C41">
        <w:trPr>
          <w:trHeight w:val="52"/>
          <w:jc w:val="center"/>
        </w:trPr>
        <w:tc>
          <w:tcPr>
            <w:tcW w:w="1513"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126617C9" w14:textId="77777777" w:rsidR="006D6BA5" w:rsidRPr="006D6BA5" w:rsidRDefault="006D6BA5" w:rsidP="006D6BA5">
            <w:pPr>
              <w:spacing w:after="0" w:line="240" w:lineRule="auto"/>
              <w:jc w:val="center"/>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CODIGO</w:t>
            </w:r>
          </w:p>
        </w:tc>
        <w:tc>
          <w:tcPr>
            <w:tcW w:w="4155"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1AB4060" w14:textId="77777777" w:rsidR="006D6BA5" w:rsidRPr="006D6BA5" w:rsidRDefault="006D6BA5" w:rsidP="006D6BA5">
            <w:pPr>
              <w:spacing w:after="0" w:line="240" w:lineRule="auto"/>
              <w:jc w:val="center"/>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INGRESOS</w:t>
            </w:r>
          </w:p>
        </w:tc>
        <w:tc>
          <w:tcPr>
            <w:tcW w:w="1278"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1D19238" w14:textId="77777777" w:rsidR="006D6BA5" w:rsidRPr="006D6BA5" w:rsidRDefault="006D6BA5" w:rsidP="006D6BA5">
            <w:pPr>
              <w:spacing w:after="0" w:line="240" w:lineRule="auto"/>
              <w:jc w:val="center"/>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Presupuesto Inicial</w:t>
            </w:r>
          </w:p>
        </w:tc>
        <w:tc>
          <w:tcPr>
            <w:tcW w:w="124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6FE3452F" w14:textId="77777777" w:rsidR="006D6BA5" w:rsidRPr="006D6BA5" w:rsidRDefault="006D6BA5" w:rsidP="006D6BA5">
            <w:pPr>
              <w:spacing w:after="0" w:line="240" w:lineRule="auto"/>
              <w:jc w:val="center"/>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Total Presupuestos Extraordinarios</w:t>
            </w:r>
          </w:p>
        </w:tc>
        <w:tc>
          <w:tcPr>
            <w:tcW w:w="1298"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E209EA" w14:textId="77777777" w:rsidR="006D6BA5" w:rsidRPr="006D6BA5" w:rsidRDefault="006D6BA5" w:rsidP="006D6BA5">
            <w:pPr>
              <w:spacing w:after="0" w:line="240" w:lineRule="auto"/>
              <w:jc w:val="center"/>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Presupuesto Aprobado</w:t>
            </w:r>
          </w:p>
        </w:tc>
        <w:tc>
          <w:tcPr>
            <w:tcW w:w="1186"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06A3614E" w14:textId="77777777" w:rsidR="006D6BA5" w:rsidRPr="006D6BA5" w:rsidRDefault="006D6BA5" w:rsidP="006D6BA5">
            <w:pPr>
              <w:spacing w:after="0" w:line="240" w:lineRule="auto"/>
              <w:jc w:val="center"/>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I Semestre</w:t>
            </w:r>
          </w:p>
        </w:tc>
        <w:tc>
          <w:tcPr>
            <w:tcW w:w="1186" w:type="dxa"/>
            <w:tcBorders>
              <w:top w:val="single" w:sz="8" w:space="0" w:color="auto"/>
              <w:left w:val="nil"/>
              <w:bottom w:val="single" w:sz="8" w:space="0" w:color="auto"/>
              <w:right w:val="nil"/>
            </w:tcBorders>
            <w:shd w:val="clear" w:color="auto" w:fill="D6E3BC" w:themeFill="accent3" w:themeFillTint="66"/>
            <w:vAlign w:val="center"/>
            <w:hideMark/>
          </w:tcPr>
          <w:p w14:paraId="44D89439" w14:textId="77777777" w:rsidR="006D6BA5" w:rsidRPr="006D6BA5" w:rsidRDefault="006D6BA5" w:rsidP="006D6BA5">
            <w:pPr>
              <w:spacing w:after="0" w:line="240" w:lineRule="auto"/>
              <w:jc w:val="center"/>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II Semestre</w:t>
            </w:r>
          </w:p>
        </w:tc>
        <w:tc>
          <w:tcPr>
            <w:tcW w:w="1180"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43BB32F6" w14:textId="77777777" w:rsidR="006D6BA5" w:rsidRPr="006D6BA5" w:rsidRDefault="006D6BA5" w:rsidP="006D6BA5">
            <w:pPr>
              <w:spacing w:after="0" w:line="240" w:lineRule="auto"/>
              <w:jc w:val="center"/>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Total Ingresos Reales</w:t>
            </w:r>
          </w:p>
        </w:tc>
        <w:tc>
          <w:tcPr>
            <w:tcW w:w="125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F9EE28D" w14:textId="77777777" w:rsidR="006D6BA5" w:rsidRPr="006D6BA5" w:rsidRDefault="006D6BA5" w:rsidP="006D6BA5">
            <w:pPr>
              <w:spacing w:after="0" w:line="240" w:lineRule="auto"/>
              <w:jc w:val="center"/>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Diferencia</w:t>
            </w:r>
          </w:p>
        </w:tc>
        <w:tc>
          <w:tcPr>
            <w:tcW w:w="955"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0D663D9A" w14:textId="77777777" w:rsidR="006D6BA5" w:rsidRPr="006D6BA5" w:rsidRDefault="006D6BA5" w:rsidP="006D6BA5">
            <w:pPr>
              <w:spacing w:after="0" w:line="240" w:lineRule="auto"/>
              <w:jc w:val="center"/>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 Ejecución</w:t>
            </w:r>
          </w:p>
        </w:tc>
      </w:tr>
      <w:tr w:rsidR="002810D0" w:rsidRPr="00C070CB" w14:paraId="670BBBD7" w14:textId="77777777" w:rsidTr="002810D0">
        <w:trPr>
          <w:trHeight w:val="52"/>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4A45AD49"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1.0.0.0.00.00.0.0.000</w:t>
            </w:r>
          </w:p>
        </w:tc>
        <w:tc>
          <w:tcPr>
            <w:tcW w:w="4155" w:type="dxa"/>
            <w:tcBorders>
              <w:top w:val="nil"/>
              <w:left w:val="nil"/>
              <w:bottom w:val="nil"/>
              <w:right w:val="single" w:sz="8" w:space="0" w:color="auto"/>
            </w:tcBorders>
            <w:shd w:val="clear" w:color="000000" w:fill="FFFFFF"/>
            <w:noWrap/>
            <w:vAlign w:val="bottom"/>
            <w:hideMark/>
          </w:tcPr>
          <w:p w14:paraId="6E15A29B"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INGRESOS CORRIENTES</w:t>
            </w:r>
          </w:p>
        </w:tc>
        <w:tc>
          <w:tcPr>
            <w:tcW w:w="1278" w:type="dxa"/>
            <w:tcBorders>
              <w:top w:val="nil"/>
              <w:left w:val="nil"/>
              <w:bottom w:val="nil"/>
              <w:right w:val="single" w:sz="8" w:space="0" w:color="auto"/>
            </w:tcBorders>
            <w:shd w:val="clear" w:color="000000" w:fill="FFFFFF"/>
            <w:noWrap/>
            <w:vAlign w:val="bottom"/>
            <w:hideMark/>
          </w:tcPr>
          <w:p w14:paraId="4F0C1363"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413,254,950 </w:t>
            </w:r>
          </w:p>
        </w:tc>
        <w:tc>
          <w:tcPr>
            <w:tcW w:w="1249" w:type="dxa"/>
            <w:tcBorders>
              <w:top w:val="nil"/>
              <w:left w:val="nil"/>
              <w:bottom w:val="nil"/>
              <w:right w:val="single" w:sz="8" w:space="0" w:color="auto"/>
            </w:tcBorders>
            <w:shd w:val="clear" w:color="000000" w:fill="FFFFFF"/>
            <w:noWrap/>
            <w:vAlign w:val="bottom"/>
            <w:hideMark/>
          </w:tcPr>
          <w:p w14:paraId="1D509934"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38122A5F"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413,254,950 </w:t>
            </w:r>
          </w:p>
        </w:tc>
        <w:tc>
          <w:tcPr>
            <w:tcW w:w="1186" w:type="dxa"/>
            <w:tcBorders>
              <w:top w:val="nil"/>
              <w:left w:val="nil"/>
              <w:bottom w:val="nil"/>
              <w:right w:val="single" w:sz="8" w:space="0" w:color="auto"/>
            </w:tcBorders>
            <w:shd w:val="clear" w:color="000000" w:fill="FFFFFF"/>
            <w:noWrap/>
            <w:vAlign w:val="bottom"/>
            <w:hideMark/>
          </w:tcPr>
          <w:p w14:paraId="2BF0471E"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173,178,281 </w:t>
            </w:r>
          </w:p>
        </w:tc>
        <w:tc>
          <w:tcPr>
            <w:tcW w:w="1186" w:type="dxa"/>
            <w:tcBorders>
              <w:top w:val="nil"/>
              <w:left w:val="nil"/>
              <w:bottom w:val="nil"/>
              <w:right w:val="single" w:sz="8" w:space="0" w:color="auto"/>
            </w:tcBorders>
            <w:shd w:val="clear" w:color="000000" w:fill="FFFFFF"/>
            <w:noWrap/>
            <w:vAlign w:val="bottom"/>
            <w:hideMark/>
          </w:tcPr>
          <w:p w14:paraId="3BE5241D"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15,568,054,035 </w:t>
            </w:r>
          </w:p>
        </w:tc>
        <w:tc>
          <w:tcPr>
            <w:tcW w:w="1180" w:type="dxa"/>
            <w:tcBorders>
              <w:top w:val="nil"/>
              <w:left w:val="nil"/>
              <w:bottom w:val="nil"/>
              <w:right w:val="single" w:sz="8" w:space="0" w:color="auto"/>
            </w:tcBorders>
            <w:shd w:val="clear" w:color="000000" w:fill="FFFFFF"/>
            <w:noWrap/>
            <w:vAlign w:val="bottom"/>
            <w:hideMark/>
          </w:tcPr>
          <w:p w14:paraId="60A73AAF"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15,741,232,316 </w:t>
            </w:r>
          </w:p>
        </w:tc>
        <w:tc>
          <w:tcPr>
            <w:tcW w:w="1251" w:type="dxa"/>
            <w:tcBorders>
              <w:top w:val="nil"/>
              <w:left w:val="nil"/>
              <w:bottom w:val="nil"/>
              <w:right w:val="nil"/>
            </w:tcBorders>
            <w:shd w:val="clear" w:color="000000" w:fill="FFFFFF"/>
            <w:noWrap/>
            <w:vAlign w:val="bottom"/>
            <w:hideMark/>
          </w:tcPr>
          <w:p w14:paraId="0A8336BA"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197,522,141 </w:t>
            </w:r>
          </w:p>
        </w:tc>
        <w:tc>
          <w:tcPr>
            <w:tcW w:w="955" w:type="dxa"/>
            <w:tcBorders>
              <w:top w:val="nil"/>
              <w:left w:val="single" w:sz="8" w:space="0" w:color="auto"/>
              <w:bottom w:val="nil"/>
              <w:right w:val="single" w:sz="8" w:space="0" w:color="auto"/>
            </w:tcBorders>
            <w:shd w:val="clear" w:color="000000" w:fill="FFFFFF"/>
            <w:noWrap/>
            <w:vAlign w:val="bottom"/>
            <w:hideMark/>
          </w:tcPr>
          <w:p w14:paraId="66D7274E" w14:textId="77777777" w:rsidR="006D6BA5" w:rsidRPr="006D6BA5" w:rsidRDefault="006D6BA5" w:rsidP="006D6BA5">
            <w:pPr>
              <w:spacing w:after="0" w:line="240" w:lineRule="auto"/>
              <w:jc w:val="right"/>
              <w:rPr>
                <w:rFonts w:ascii="Arial" w:eastAsia="Times New Roman" w:hAnsi="Arial" w:cs="Arial"/>
                <w:b/>
                <w:bCs/>
                <w:color w:val="000000"/>
                <w:sz w:val="12"/>
                <w:szCs w:val="12"/>
                <w:lang w:val="es-US" w:eastAsia="es-US"/>
              </w:rPr>
            </w:pPr>
            <w:r w:rsidRPr="006D6BA5">
              <w:rPr>
                <w:rFonts w:ascii="Arial" w:eastAsia="Times New Roman" w:hAnsi="Arial" w:cs="Arial"/>
                <w:b/>
                <w:bCs/>
                <w:color w:val="000000"/>
                <w:sz w:val="12"/>
                <w:szCs w:val="12"/>
                <w:lang w:val="es-US" w:eastAsia="es-US"/>
              </w:rPr>
              <w:t>3809%</w:t>
            </w:r>
          </w:p>
        </w:tc>
      </w:tr>
      <w:tr w:rsidR="002810D0" w:rsidRPr="00C070CB" w14:paraId="379D0F18" w14:textId="77777777" w:rsidTr="002810D0">
        <w:trPr>
          <w:trHeight w:val="4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48322582"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1.3.0.0.00.00.0.0.000</w:t>
            </w:r>
          </w:p>
        </w:tc>
        <w:tc>
          <w:tcPr>
            <w:tcW w:w="4155" w:type="dxa"/>
            <w:tcBorders>
              <w:top w:val="nil"/>
              <w:left w:val="nil"/>
              <w:bottom w:val="nil"/>
              <w:right w:val="single" w:sz="8" w:space="0" w:color="auto"/>
            </w:tcBorders>
            <w:shd w:val="clear" w:color="000000" w:fill="FFFFFF"/>
            <w:noWrap/>
            <w:vAlign w:val="bottom"/>
            <w:hideMark/>
          </w:tcPr>
          <w:p w14:paraId="46D5D67A"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INGRESOS NO TRIBUTARIOS</w:t>
            </w:r>
          </w:p>
        </w:tc>
        <w:tc>
          <w:tcPr>
            <w:tcW w:w="1278" w:type="dxa"/>
            <w:tcBorders>
              <w:top w:val="nil"/>
              <w:left w:val="nil"/>
              <w:bottom w:val="nil"/>
              <w:right w:val="single" w:sz="8" w:space="0" w:color="auto"/>
            </w:tcBorders>
            <w:shd w:val="clear" w:color="000000" w:fill="FFFFFF"/>
            <w:noWrap/>
            <w:vAlign w:val="bottom"/>
            <w:hideMark/>
          </w:tcPr>
          <w:p w14:paraId="1491CF87"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383,254,950 </w:t>
            </w:r>
          </w:p>
        </w:tc>
        <w:tc>
          <w:tcPr>
            <w:tcW w:w="1249" w:type="dxa"/>
            <w:tcBorders>
              <w:top w:val="nil"/>
              <w:left w:val="nil"/>
              <w:bottom w:val="nil"/>
              <w:right w:val="single" w:sz="8" w:space="0" w:color="auto"/>
            </w:tcBorders>
            <w:shd w:val="clear" w:color="000000" w:fill="FFFFFF"/>
            <w:noWrap/>
            <w:vAlign w:val="bottom"/>
            <w:hideMark/>
          </w:tcPr>
          <w:p w14:paraId="38D33347"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1962FE57"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383,254,950 </w:t>
            </w:r>
          </w:p>
        </w:tc>
        <w:tc>
          <w:tcPr>
            <w:tcW w:w="1186" w:type="dxa"/>
            <w:tcBorders>
              <w:top w:val="nil"/>
              <w:left w:val="nil"/>
              <w:bottom w:val="nil"/>
              <w:right w:val="single" w:sz="8" w:space="0" w:color="auto"/>
            </w:tcBorders>
            <w:shd w:val="clear" w:color="000000" w:fill="FFFFFF"/>
            <w:noWrap/>
            <w:vAlign w:val="bottom"/>
            <w:hideMark/>
          </w:tcPr>
          <w:p w14:paraId="05C41764"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143,178,281 </w:t>
            </w:r>
          </w:p>
        </w:tc>
        <w:tc>
          <w:tcPr>
            <w:tcW w:w="1186" w:type="dxa"/>
            <w:tcBorders>
              <w:top w:val="nil"/>
              <w:left w:val="nil"/>
              <w:bottom w:val="nil"/>
              <w:right w:val="single" w:sz="8" w:space="0" w:color="auto"/>
            </w:tcBorders>
            <w:shd w:val="clear" w:color="000000" w:fill="FFFFFF"/>
            <w:noWrap/>
            <w:vAlign w:val="bottom"/>
            <w:hideMark/>
          </w:tcPr>
          <w:p w14:paraId="4EC20B41"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437,598,810 </w:t>
            </w:r>
          </w:p>
        </w:tc>
        <w:tc>
          <w:tcPr>
            <w:tcW w:w="1180" w:type="dxa"/>
            <w:tcBorders>
              <w:top w:val="nil"/>
              <w:left w:val="nil"/>
              <w:bottom w:val="nil"/>
              <w:right w:val="single" w:sz="8" w:space="0" w:color="auto"/>
            </w:tcBorders>
            <w:shd w:val="clear" w:color="000000" w:fill="FFFFFF"/>
            <w:noWrap/>
            <w:vAlign w:val="bottom"/>
            <w:hideMark/>
          </w:tcPr>
          <w:p w14:paraId="053691BC"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580,777,091 </w:t>
            </w:r>
          </w:p>
        </w:tc>
        <w:tc>
          <w:tcPr>
            <w:tcW w:w="1251" w:type="dxa"/>
            <w:tcBorders>
              <w:top w:val="nil"/>
              <w:left w:val="nil"/>
              <w:bottom w:val="nil"/>
              <w:right w:val="nil"/>
            </w:tcBorders>
            <w:shd w:val="clear" w:color="000000" w:fill="FFFFFF"/>
            <w:noWrap/>
            <w:vAlign w:val="bottom"/>
            <w:hideMark/>
          </w:tcPr>
          <w:p w14:paraId="198199F6"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197,522,141 </w:t>
            </w:r>
          </w:p>
        </w:tc>
        <w:tc>
          <w:tcPr>
            <w:tcW w:w="955" w:type="dxa"/>
            <w:tcBorders>
              <w:top w:val="nil"/>
              <w:left w:val="single" w:sz="8" w:space="0" w:color="auto"/>
              <w:bottom w:val="nil"/>
              <w:right w:val="single" w:sz="8" w:space="0" w:color="auto"/>
            </w:tcBorders>
            <w:shd w:val="clear" w:color="000000" w:fill="FFFFFF"/>
            <w:noWrap/>
            <w:vAlign w:val="bottom"/>
            <w:hideMark/>
          </w:tcPr>
          <w:p w14:paraId="1BFC42D8" w14:textId="77777777" w:rsidR="006D6BA5" w:rsidRPr="006D6BA5" w:rsidRDefault="006D6BA5" w:rsidP="006D6BA5">
            <w:pPr>
              <w:spacing w:after="0" w:line="240" w:lineRule="auto"/>
              <w:jc w:val="right"/>
              <w:rPr>
                <w:rFonts w:ascii="Arial" w:eastAsia="Times New Roman" w:hAnsi="Arial" w:cs="Arial"/>
                <w:b/>
                <w:bCs/>
                <w:color w:val="000000"/>
                <w:sz w:val="12"/>
                <w:szCs w:val="12"/>
                <w:lang w:val="es-US" w:eastAsia="es-US"/>
              </w:rPr>
            </w:pPr>
            <w:r w:rsidRPr="006D6BA5">
              <w:rPr>
                <w:rFonts w:ascii="Arial" w:eastAsia="Times New Roman" w:hAnsi="Arial" w:cs="Arial"/>
                <w:b/>
                <w:bCs/>
                <w:color w:val="000000"/>
                <w:sz w:val="12"/>
                <w:szCs w:val="12"/>
                <w:lang w:val="es-US" w:eastAsia="es-US"/>
              </w:rPr>
              <w:t>152%</w:t>
            </w:r>
          </w:p>
        </w:tc>
      </w:tr>
      <w:tr w:rsidR="002810D0" w:rsidRPr="00C070CB" w14:paraId="4BCE44F3" w14:textId="77777777" w:rsidTr="002810D0">
        <w:trPr>
          <w:trHeight w:val="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1F58CF28"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1.3.1.2.09.00.0.0.000</w:t>
            </w:r>
          </w:p>
        </w:tc>
        <w:tc>
          <w:tcPr>
            <w:tcW w:w="4155" w:type="dxa"/>
            <w:tcBorders>
              <w:top w:val="nil"/>
              <w:left w:val="nil"/>
              <w:bottom w:val="nil"/>
              <w:right w:val="single" w:sz="8" w:space="0" w:color="auto"/>
            </w:tcBorders>
            <w:shd w:val="clear" w:color="000000" w:fill="FFFFFF"/>
            <w:noWrap/>
            <w:vAlign w:val="bottom"/>
            <w:hideMark/>
          </w:tcPr>
          <w:p w14:paraId="2D0FF74A"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OTROS SERVICIOS</w:t>
            </w:r>
          </w:p>
        </w:tc>
        <w:tc>
          <w:tcPr>
            <w:tcW w:w="1278" w:type="dxa"/>
            <w:tcBorders>
              <w:top w:val="nil"/>
              <w:left w:val="nil"/>
              <w:bottom w:val="nil"/>
              <w:right w:val="single" w:sz="8" w:space="0" w:color="auto"/>
            </w:tcBorders>
            <w:shd w:val="clear" w:color="000000" w:fill="FFFFFF"/>
            <w:noWrap/>
            <w:vAlign w:val="bottom"/>
            <w:hideMark/>
          </w:tcPr>
          <w:p w14:paraId="588EAFD7"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36,481,122 </w:t>
            </w:r>
          </w:p>
        </w:tc>
        <w:tc>
          <w:tcPr>
            <w:tcW w:w="1249" w:type="dxa"/>
            <w:tcBorders>
              <w:top w:val="nil"/>
              <w:left w:val="nil"/>
              <w:bottom w:val="nil"/>
              <w:right w:val="single" w:sz="8" w:space="0" w:color="auto"/>
            </w:tcBorders>
            <w:shd w:val="clear" w:color="000000" w:fill="FFFFFF"/>
            <w:noWrap/>
            <w:vAlign w:val="bottom"/>
            <w:hideMark/>
          </w:tcPr>
          <w:p w14:paraId="74FCC2C3"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1FC8B61E"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36,481,122 </w:t>
            </w:r>
          </w:p>
        </w:tc>
        <w:tc>
          <w:tcPr>
            <w:tcW w:w="1186" w:type="dxa"/>
            <w:tcBorders>
              <w:top w:val="nil"/>
              <w:left w:val="nil"/>
              <w:bottom w:val="nil"/>
              <w:right w:val="single" w:sz="8" w:space="0" w:color="auto"/>
            </w:tcBorders>
            <w:shd w:val="clear" w:color="000000" w:fill="FFFFFF"/>
            <w:noWrap/>
            <w:vAlign w:val="bottom"/>
            <w:hideMark/>
          </w:tcPr>
          <w:p w14:paraId="71FF595D"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72,612,352 </w:t>
            </w:r>
          </w:p>
        </w:tc>
        <w:tc>
          <w:tcPr>
            <w:tcW w:w="1186" w:type="dxa"/>
            <w:tcBorders>
              <w:top w:val="nil"/>
              <w:left w:val="nil"/>
              <w:bottom w:val="nil"/>
              <w:right w:val="single" w:sz="8" w:space="0" w:color="auto"/>
            </w:tcBorders>
            <w:shd w:val="clear" w:color="000000" w:fill="FFFFFF"/>
            <w:noWrap/>
            <w:vAlign w:val="bottom"/>
            <w:hideMark/>
          </w:tcPr>
          <w:p w14:paraId="6C143506"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41,934,609 </w:t>
            </w:r>
          </w:p>
        </w:tc>
        <w:tc>
          <w:tcPr>
            <w:tcW w:w="1180" w:type="dxa"/>
            <w:tcBorders>
              <w:top w:val="nil"/>
              <w:left w:val="nil"/>
              <w:bottom w:val="nil"/>
              <w:right w:val="single" w:sz="8" w:space="0" w:color="auto"/>
            </w:tcBorders>
            <w:shd w:val="clear" w:color="000000" w:fill="FFFFFF"/>
            <w:noWrap/>
            <w:vAlign w:val="bottom"/>
            <w:hideMark/>
          </w:tcPr>
          <w:p w14:paraId="5E432B47"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114,546,961 </w:t>
            </w:r>
          </w:p>
        </w:tc>
        <w:tc>
          <w:tcPr>
            <w:tcW w:w="1251" w:type="dxa"/>
            <w:tcBorders>
              <w:top w:val="nil"/>
              <w:left w:val="nil"/>
              <w:bottom w:val="nil"/>
              <w:right w:val="nil"/>
            </w:tcBorders>
            <w:shd w:val="clear" w:color="000000" w:fill="FFFFFF"/>
            <w:noWrap/>
            <w:vAlign w:val="bottom"/>
            <w:hideMark/>
          </w:tcPr>
          <w:p w14:paraId="51E0259F"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78,065,839 </w:t>
            </w:r>
          </w:p>
        </w:tc>
        <w:tc>
          <w:tcPr>
            <w:tcW w:w="955" w:type="dxa"/>
            <w:tcBorders>
              <w:top w:val="nil"/>
              <w:left w:val="single" w:sz="8" w:space="0" w:color="auto"/>
              <w:bottom w:val="nil"/>
              <w:right w:val="single" w:sz="8" w:space="0" w:color="auto"/>
            </w:tcBorders>
            <w:shd w:val="clear" w:color="000000" w:fill="FFFFFF"/>
            <w:noWrap/>
            <w:vAlign w:val="bottom"/>
            <w:hideMark/>
          </w:tcPr>
          <w:p w14:paraId="1F103502" w14:textId="77777777" w:rsidR="006D6BA5" w:rsidRPr="006D6BA5" w:rsidRDefault="006D6BA5" w:rsidP="006D6BA5">
            <w:pPr>
              <w:spacing w:after="0" w:line="240" w:lineRule="auto"/>
              <w:jc w:val="right"/>
              <w:rPr>
                <w:rFonts w:ascii="Arial" w:eastAsia="Times New Roman" w:hAnsi="Arial" w:cs="Arial"/>
                <w:b/>
                <w:bCs/>
                <w:color w:val="000000"/>
                <w:sz w:val="12"/>
                <w:szCs w:val="12"/>
                <w:lang w:val="es-US" w:eastAsia="es-US"/>
              </w:rPr>
            </w:pPr>
            <w:r w:rsidRPr="006D6BA5">
              <w:rPr>
                <w:rFonts w:ascii="Arial" w:eastAsia="Times New Roman" w:hAnsi="Arial" w:cs="Arial"/>
                <w:b/>
                <w:bCs/>
                <w:color w:val="000000"/>
                <w:sz w:val="12"/>
                <w:szCs w:val="12"/>
                <w:lang w:val="es-US" w:eastAsia="es-US"/>
              </w:rPr>
              <w:t>314%</w:t>
            </w:r>
          </w:p>
        </w:tc>
      </w:tr>
      <w:tr w:rsidR="002810D0" w:rsidRPr="00C070CB" w14:paraId="4EED3A50" w14:textId="77777777" w:rsidTr="002810D0">
        <w:trPr>
          <w:trHeight w:val="9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4337F319"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1.3.1.2.09.09.0.0.000</w:t>
            </w:r>
          </w:p>
        </w:tc>
        <w:tc>
          <w:tcPr>
            <w:tcW w:w="4155" w:type="dxa"/>
            <w:tcBorders>
              <w:top w:val="nil"/>
              <w:left w:val="nil"/>
              <w:bottom w:val="nil"/>
              <w:right w:val="single" w:sz="8" w:space="0" w:color="auto"/>
            </w:tcBorders>
            <w:shd w:val="clear" w:color="000000" w:fill="FFFFFF"/>
            <w:noWrap/>
            <w:vAlign w:val="bottom"/>
            <w:hideMark/>
          </w:tcPr>
          <w:p w14:paraId="5475D13C"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VENTA DE OTROS SERVICIOS</w:t>
            </w:r>
          </w:p>
        </w:tc>
        <w:tc>
          <w:tcPr>
            <w:tcW w:w="1278" w:type="dxa"/>
            <w:tcBorders>
              <w:top w:val="nil"/>
              <w:left w:val="nil"/>
              <w:bottom w:val="nil"/>
              <w:right w:val="single" w:sz="8" w:space="0" w:color="auto"/>
            </w:tcBorders>
            <w:shd w:val="clear" w:color="000000" w:fill="FFFFFF"/>
            <w:noWrap/>
            <w:vAlign w:val="bottom"/>
            <w:hideMark/>
          </w:tcPr>
          <w:p w14:paraId="46E8CBC1"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36,481,122 </w:t>
            </w:r>
          </w:p>
        </w:tc>
        <w:tc>
          <w:tcPr>
            <w:tcW w:w="1249" w:type="dxa"/>
            <w:tcBorders>
              <w:top w:val="nil"/>
              <w:left w:val="nil"/>
              <w:bottom w:val="nil"/>
              <w:right w:val="single" w:sz="8" w:space="0" w:color="auto"/>
            </w:tcBorders>
            <w:shd w:val="clear" w:color="000000" w:fill="FFFFFF"/>
            <w:noWrap/>
            <w:vAlign w:val="bottom"/>
            <w:hideMark/>
          </w:tcPr>
          <w:p w14:paraId="6BDD8699"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2C819378"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36,481,122 </w:t>
            </w:r>
          </w:p>
        </w:tc>
        <w:tc>
          <w:tcPr>
            <w:tcW w:w="1186" w:type="dxa"/>
            <w:tcBorders>
              <w:top w:val="nil"/>
              <w:left w:val="nil"/>
              <w:bottom w:val="nil"/>
              <w:right w:val="single" w:sz="8" w:space="0" w:color="auto"/>
            </w:tcBorders>
            <w:shd w:val="clear" w:color="000000" w:fill="FFFFFF"/>
            <w:noWrap/>
            <w:vAlign w:val="bottom"/>
            <w:hideMark/>
          </w:tcPr>
          <w:p w14:paraId="02032E0D"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72,612,352 </w:t>
            </w:r>
          </w:p>
        </w:tc>
        <w:tc>
          <w:tcPr>
            <w:tcW w:w="1186" w:type="dxa"/>
            <w:tcBorders>
              <w:top w:val="nil"/>
              <w:left w:val="nil"/>
              <w:bottom w:val="nil"/>
              <w:right w:val="single" w:sz="8" w:space="0" w:color="auto"/>
            </w:tcBorders>
            <w:shd w:val="clear" w:color="000000" w:fill="FFFFFF"/>
            <w:noWrap/>
            <w:vAlign w:val="bottom"/>
            <w:hideMark/>
          </w:tcPr>
          <w:p w14:paraId="4F0A58D3"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41,934,609 </w:t>
            </w:r>
          </w:p>
        </w:tc>
        <w:tc>
          <w:tcPr>
            <w:tcW w:w="1180" w:type="dxa"/>
            <w:tcBorders>
              <w:top w:val="nil"/>
              <w:left w:val="nil"/>
              <w:bottom w:val="nil"/>
              <w:right w:val="single" w:sz="8" w:space="0" w:color="auto"/>
            </w:tcBorders>
            <w:shd w:val="clear" w:color="000000" w:fill="FFFFFF"/>
            <w:noWrap/>
            <w:vAlign w:val="bottom"/>
            <w:hideMark/>
          </w:tcPr>
          <w:p w14:paraId="5AFE8805"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114,546,961 </w:t>
            </w:r>
          </w:p>
        </w:tc>
        <w:tc>
          <w:tcPr>
            <w:tcW w:w="1251" w:type="dxa"/>
            <w:tcBorders>
              <w:top w:val="nil"/>
              <w:left w:val="nil"/>
              <w:bottom w:val="nil"/>
              <w:right w:val="nil"/>
            </w:tcBorders>
            <w:shd w:val="clear" w:color="000000" w:fill="FFFFFF"/>
            <w:noWrap/>
            <w:vAlign w:val="bottom"/>
            <w:hideMark/>
          </w:tcPr>
          <w:p w14:paraId="71B511D6"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78,065,839 </w:t>
            </w:r>
          </w:p>
        </w:tc>
        <w:tc>
          <w:tcPr>
            <w:tcW w:w="955" w:type="dxa"/>
            <w:tcBorders>
              <w:top w:val="nil"/>
              <w:left w:val="single" w:sz="8" w:space="0" w:color="auto"/>
              <w:bottom w:val="nil"/>
              <w:right w:val="single" w:sz="8" w:space="0" w:color="auto"/>
            </w:tcBorders>
            <w:shd w:val="clear" w:color="000000" w:fill="FFFFFF"/>
            <w:noWrap/>
            <w:vAlign w:val="bottom"/>
            <w:hideMark/>
          </w:tcPr>
          <w:p w14:paraId="4A7A3FC5" w14:textId="77777777" w:rsidR="006D6BA5" w:rsidRPr="006D6BA5" w:rsidRDefault="006D6BA5" w:rsidP="006D6BA5">
            <w:pPr>
              <w:spacing w:after="0" w:line="240" w:lineRule="auto"/>
              <w:jc w:val="right"/>
              <w:rPr>
                <w:rFonts w:ascii="Arial" w:eastAsia="Times New Roman" w:hAnsi="Arial" w:cs="Arial"/>
                <w:color w:val="000000"/>
                <w:sz w:val="12"/>
                <w:szCs w:val="12"/>
                <w:lang w:val="es-US" w:eastAsia="es-US"/>
              </w:rPr>
            </w:pPr>
            <w:r w:rsidRPr="006D6BA5">
              <w:rPr>
                <w:rFonts w:ascii="Arial" w:eastAsia="Times New Roman" w:hAnsi="Arial" w:cs="Arial"/>
                <w:color w:val="000000"/>
                <w:sz w:val="12"/>
                <w:szCs w:val="12"/>
                <w:lang w:val="es-US" w:eastAsia="es-US"/>
              </w:rPr>
              <w:t>314%</w:t>
            </w:r>
          </w:p>
        </w:tc>
      </w:tr>
      <w:tr w:rsidR="002810D0" w:rsidRPr="00C070CB" w14:paraId="7F267ED1" w14:textId="77777777" w:rsidTr="002810D0">
        <w:trPr>
          <w:trHeight w:val="74"/>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7DE2EF6B"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1.3.2.0.00.00.0.0.000</w:t>
            </w:r>
          </w:p>
        </w:tc>
        <w:tc>
          <w:tcPr>
            <w:tcW w:w="4155" w:type="dxa"/>
            <w:tcBorders>
              <w:top w:val="nil"/>
              <w:left w:val="nil"/>
              <w:bottom w:val="nil"/>
              <w:right w:val="single" w:sz="8" w:space="0" w:color="auto"/>
            </w:tcBorders>
            <w:shd w:val="clear" w:color="000000" w:fill="FFFFFF"/>
            <w:noWrap/>
            <w:vAlign w:val="bottom"/>
            <w:hideMark/>
          </w:tcPr>
          <w:p w14:paraId="0607CC58"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INGRESOS DE LA PROPIEDAD</w:t>
            </w:r>
          </w:p>
        </w:tc>
        <w:tc>
          <w:tcPr>
            <w:tcW w:w="1278" w:type="dxa"/>
            <w:tcBorders>
              <w:top w:val="nil"/>
              <w:left w:val="nil"/>
              <w:bottom w:val="nil"/>
              <w:right w:val="single" w:sz="8" w:space="0" w:color="auto"/>
            </w:tcBorders>
            <w:shd w:val="clear" w:color="000000" w:fill="FFFFFF"/>
            <w:noWrap/>
            <w:vAlign w:val="bottom"/>
            <w:hideMark/>
          </w:tcPr>
          <w:p w14:paraId="7436F1CE"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346,773,828 </w:t>
            </w:r>
          </w:p>
        </w:tc>
        <w:tc>
          <w:tcPr>
            <w:tcW w:w="1249" w:type="dxa"/>
            <w:tcBorders>
              <w:top w:val="nil"/>
              <w:left w:val="nil"/>
              <w:bottom w:val="nil"/>
              <w:right w:val="single" w:sz="8" w:space="0" w:color="auto"/>
            </w:tcBorders>
            <w:shd w:val="clear" w:color="000000" w:fill="FFFFFF"/>
            <w:noWrap/>
            <w:vAlign w:val="bottom"/>
            <w:hideMark/>
          </w:tcPr>
          <w:p w14:paraId="7AE7619F"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1998FF49"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346,773,828 </w:t>
            </w:r>
          </w:p>
        </w:tc>
        <w:tc>
          <w:tcPr>
            <w:tcW w:w="1186" w:type="dxa"/>
            <w:tcBorders>
              <w:top w:val="nil"/>
              <w:left w:val="nil"/>
              <w:bottom w:val="nil"/>
              <w:right w:val="single" w:sz="8" w:space="0" w:color="auto"/>
            </w:tcBorders>
            <w:shd w:val="clear" w:color="000000" w:fill="FFFFFF"/>
            <w:noWrap/>
            <w:vAlign w:val="bottom"/>
            <w:hideMark/>
          </w:tcPr>
          <w:p w14:paraId="1D864400"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67,283,283 </w:t>
            </w:r>
          </w:p>
        </w:tc>
        <w:tc>
          <w:tcPr>
            <w:tcW w:w="1186" w:type="dxa"/>
            <w:tcBorders>
              <w:top w:val="nil"/>
              <w:left w:val="nil"/>
              <w:bottom w:val="nil"/>
              <w:right w:val="single" w:sz="8" w:space="0" w:color="auto"/>
            </w:tcBorders>
            <w:shd w:val="clear" w:color="000000" w:fill="FFFFFF"/>
            <w:noWrap/>
            <w:vAlign w:val="bottom"/>
            <w:hideMark/>
          </w:tcPr>
          <w:p w14:paraId="42EB7B7B"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394,805,366 </w:t>
            </w:r>
          </w:p>
        </w:tc>
        <w:tc>
          <w:tcPr>
            <w:tcW w:w="1180" w:type="dxa"/>
            <w:tcBorders>
              <w:top w:val="nil"/>
              <w:left w:val="nil"/>
              <w:bottom w:val="nil"/>
              <w:right w:val="single" w:sz="8" w:space="0" w:color="auto"/>
            </w:tcBorders>
            <w:shd w:val="clear" w:color="000000" w:fill="FFFFFF"/>
            <w:noWrap/>
            <w:vAlign w:val="bottom"/>
            <w:hideMark/>
          </w:tcPr>
          <w:p w14:paraId="5EED0276"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462,088,649 </w:t>
            </w:r>
          </w:p>
        </w:tc>
        <w:tc>
          <w:tcPr>
            <w:tcW w:w="1251" w:type="dxa"/>
            <w:tcBorders>
              <w:top w:val="nil"/>
              <w:left w:val="nil"/>
              <w:bottom w:val="nil"/>
              <w:right w:val="nil"/>
            </w:tcBorders>
            <w:shd w:val="clear" w:color="000000" w:fill="FFFFFF"/>
            <w:noWrap/>
            <w:vAlign w:val="bottom"/>
            <w:hideMark/>
          </w:tcPr>
          <w:p w14:paraId="45844E78"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115,314,821 </w:t>
            </w:r>
          </w:p>
        </w:tc>
        <w:tc>
          <w:tcPr>
            <w:tcW w:w="955" w:type="dxa"/>
            <w:tcBorders>
              <w:top w:val="nil"/>
              <w:left w:val="single" w:sz="8" w:space="0" w:color="auto"/>
              <w:bottom w:val="nil"/>
              <w:right w:val="single" w:sz="8" w:space="0" w:color="auto"/>
            </w:tcBorders>
            <w:shd w:val="clear" w:color="000000" w:fill="FFFFFF"/>
            <w:noWrap/>
            <w:vAlign w:val="bottom"/>
            <w:hideMark/>
          </w:tcPr>
          <w:p w14:paraId="7FC3371E" w14:textId="77777777" w:rsidR="006D6BA5" w:rsidRPr="006D6BA5" w:rsidRDefault="006D6BA5" w:rsidP="006D6BA5">
            <w:pPr>
              <w:spacing w:after="0" w:line="240" w:lineRule="auto"/>
              <w:jc w:val="right"/>
              <w:rPr>
                <w:rFonts w:ascii="Arial" w:eastAsia="Times New Roman" w:hAnsi="Arial" w:cs="Arial"/>
                <w:b/>
                <w:bCs/>
                <w:color w:val="000000"/>
                <w:sz w:val="12"/>
                <w:szCs w:val="12"/>
                <w:lang w:val="es-US" w:eastAsia="es-US"/>
              </w:rPr>
            </w:pPr>
            <w:r w:rsidRPr="006D6BA5">
              <w:rPr>
                <w:rFonts w:ascii="Arial" w:eastAsia="Times New Roman" w:hAnsi="Arial" w:cs="Arial"/>
                <w:b/>
                <w:bCs/>
                <w:color w:val="000000"/>
                <w:sz w:val="12"/>
                <w:szCs w:val="12"/>
                <w:lang w:val="es-US" w:eastAsia="es-US"/>
              </w:rPr>
              <w:t>133%</w:t>
            </w:r>
          </w:p>
        </w:tc>
      </w:tr>
      <w:tr w:rsidR="002810D0" w:rsidRPr="00C070CB" w14:paraId="662547D8" w14:textId="77777777" w:rsidTr="002810D0">
        <w:trPr>
          <w:trHeight w:val="9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02DC2120"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1.3.2.3.00.00.0.0.000</w:t>
            </w:r>
          </w:p>
        </w:tc>
        <w:tc>
          <w:tcPr>
            <w:tcW w:w="4155" w:type="dxa"/>
            <w:tcBorders>
              <w:top w:val="nil"/>
              <w:left w:val="nil"/>
              <w:bottom w:val="nil"/>
              <w:right w:val="single" w:sz="8" w:space="0" w:color="auto"/>
            </w:tcBorders>
            <w:shd w:val="clear" w:color="000000" w:fill="FFFFFF"/>
            <w:noWrap/>
            <w:vAlign w:val="bottom"/>
            <w:hideMark/>
          </w:tcPr>
          <w:p w14:paraId="51EF6C37"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RENTA DE ACTIVOS FINANACIERO</w:t>
            </w:r>
          </w:p>
        </w:tc>
        <w:tc>
          <w:tcPr>
            <w:tcW w:w="1278" w:type="dxa"/>
            <w:tcBorders>
              <w:top w:val="nil"/>
              <w:left w:val="nil"/>
              <w:bottom w:val="nil"/>
              <w:right w:val="single" w:sz="8" w:space="0" w:color="auto"/>
            </w:tcBorders>
            <w:shd w:val="clear" w:color="000000" w:fill="FFFFFF"/>
            <w:noWrap/>
            <w:vAlign w:val="bottom"/>
            <w:hideMark/>
          </w:tcPr>
          <w:p w14:paraId="69175E89"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346,773,828 </w:t>
            </w:r>
          </w:p>
        </w:tc>
        <w:tc>
          <w:tcPr>
            <w:tcW w:w="1249" w:type="dxa"/>
            <w:tcBorders>
              <w:top w:val="nil"/>
              <w:left w:val="nil"/>
              <w:bottom w:val="nil"/>
              <w:right w:val="single" w:sz="8" w:space="0" w:color="auto"/>
            </w:tcBorders>
            <w:shd w:val="clear" w:color="000000" w:fill="FFFFFF"/>
            <w:noWrap/>
            <w:vAlign w:val="bottom"/>
            <w:hideMark/>
          </w:tcPr>
          <w:p w14:paraId="40929578"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527D056B"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346,773,828 </w:t>
            </w:r>
          </w:p>
        </w:tc>
        <w:tc>
          <w:tcPr>
            <w:tcW w:w="1186" w:type="dxa"/>
            <w:tcBorders>
              <w:top w:val="nil"/>
              <w:left w:val="nil"/>
              <w:bottom w:val="nil"/>
              <w:right w:val="single" w:sz="8" w:space="0" w:color="auto"/>
            </w:tcBorders>
            <w:shd w:val="clear" w:color="000000" w:fill="FFFFFF"/>
            <w:noWrap/>
            <w:vAlign w:val="bottom"/>
            <w:hideMark/>
          </w:tcPr>
          <w:p w14:paraId="2145B822"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67,283,283 </w:t>
            </w:r>
          </w:p>
        </w:tc>
        <w:tc>
          <w:tcPr>
            <w:tcW w:w="1186" w:type="dxa"/>
            <w:tcBorders>
              <w:top w:val="nil"/>
              <w:left w:val="nil"/>
              <w:bottom w:val="nil"/>
              <w:right w:val="single" w:sz="8" w:space="0" w:color="auto"/>
            </w:tcBorders>
            <w:shd w:val="clear" w:color="000000" w:fill="FFFFFF"/>
            <w:noWrap/>
            <w:vAlign w:val="bottom"/>
            <w:hideMark/>
          </w:tcPr>
          <w:p w14:paraId="0AB5B72A"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394,805,366 </w:t>
            </w:r>
          </w:p>
        </w:tc>
        <w:tc>
          <w:tcPr>
            <w:tcW w:w="1180" w:type="dxa"/>
            <w:tcBorders>
              <w:top w:val="nil"/>
              <w:left w:val="nil"/>
              <w:bottom w:val="nil"/>
              <w:right w:val="single" w:sz="8" w:space="0" w:color="auto"/>
            </w:tcBorders>
            <w:shd w:val="clear" w:color="000000" w:fill="FFFFFF"/>
            <w:noWrap/>
            <w:vAlign w:val="bottom"/>
            <w:hideMark/>
          </w:tcPr>
          <w:p w14:paraId="78406C51"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462,088,649 </w:t>
            </w:r>
          </w:p>
        </w:tc>
        <w:tc>
          <w:tcPr>
            <w:tcW w:w="1251" w:type="dxa"/>
            <w:tcBorders>
              <w:top w:val="nil"/>
              <w:left w:val="nil"/>
              <w:bottom w:val="nil"/>
              <w:right w:val="nil"/>
            </w:tcBorders>
            <w:shd w:val="clear" w:color="000000" w:fill="FFFFFF"/>
            <w:noWrap/>
            <w:vAlign w:val="bottom"/>
            <w:hideMark/>
          </w:tcPr>
          <w:p w14:paraId="5A886A1E"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115,314,821 </w:t>
            </w:r>
          </w:p>
        </w:tc>
        <w:tc>
          <w:tcPr>
            <w:tcW w:w="955" w:type="dxa"/>
            <w:tcBorders>
              <w:top w:val="nil"/>
              <w:left w:val="single" w:sz="8" w:space="0" w:color="auto"/>
              <w:bottom w:val="nil"/>
              <w:right w:val="single" w:sz="8" w:space="0" w:color="auto"/>
            </w:tcBorders>
            <w:shd w:val="clear" w:color="000000" w:fill="FFFFFF"/>
            <w:noWrap/>
            <w:vAlign w:val="bottom"/>
            <w:hideMark/>
          </w:tcPr>
          <w:p w14:paraId="3E5BE321" w14:textId="77777777" w:rsidR="006D6BA5" w:rsidRPr="006D6BA5" w:rsidRDefault="006D6BA5" w:rsidP="006D6BA5">
            <w:pPr>
              <w:spacing w:after="0" w:line="240" w:lineRule="auto"/>
              <w:jc w:val="right"/>
              <w:rPr>
                <w:rFonts w:ascii="Arial" w:eastAsia="Times New Roman" w:hAnsi="Arial" w:cs="Arial"/>
                <w:b/>
                <w:bCs/>
                <w:color w:val="000000"/>
                <w:sz w:val="12"/>
                <w:szCs w:val="12"/>
                <w:lang w:val="es-US" w:eastAsia="es-US"/>
              </w:rPr>
            </w:pPr>
            <w:r w:rsidRPr="006D6BA5">
              <w:rPr>
                <w:rFonts w:ascii="Arial" w:eastAsia="Times New Roman" w:hAnsi="Arial" w:cs="Arial"/>
                <w:b/>
                <w:bCs/>
                <w:color w:val="000000"/>
                <w:sz w:val="12"/>
                <w:szCs w:val="12"/>
                <w:lang w:val="es-US" w:eastAsia="es-US"/>
              </w:rPr>
              <w:t>133%</w:t>
            </w:r>
          </w:p>
        </w:tc>
      </w:tr>
      <w:tr w:rsidR="002810D0" w:rsidRPr="00C070CB" w14:paraId="700B003F" w14:textId="77777777" w:rsidTr="002810D0">
        <w:trPr>
          <w:trHeight w:val="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3F422806"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1.3.2.3.03.00.0.0.000</w:t>
            </w:r>
          </w:p>
        </w:tc>
        <w:tc>
          <w:tcPr>
            <w:tcW w:w="4155" w:type="dxa"/>
            <w:tcBorders>
              <w:top w:val="nil"/>
              <w:left w:val="nil"/>
              <w:bottom w:val="nil"/>
              <w:right w:val="single" w:sz="8" w:space="0" w:color="auto"/>
            </w:tcBorders>
            <w:shd w:val="clear" w:color="000000" w:fill="FFFFFF"/>
            <w:noWrap/>
            <w:vAlign w:val="bottom"/>
            <w:hideMark/>
          </w:tcPr>
          <w:p w14:paraId="68064000"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OTRAS RENTAS DE ACTIVOS FINANCIEROS</w:t>
            </w:r>
          </w:p>
        </w:tc>
        <w:tc>
          <w:tcPr>
            <w:tcW w:w="1278" w:type="dxa"/>
            <w:tcBorders>
              <w:top w:val="nil"/>
              <w:left w:val="nil"/>
              <w:bottom w:val="nil"/>
              <w:right w:val="single" w:sz="8" w:space="0" w:color="auto"/>
            </w:tcBorders>
            <w:shd w:val="clear" w:color="000000" w:fill="FFFFFF"/>
            <w:noWrap/>
            <w:vAlign w:val="bottom"/>
            <w:hideMark/>
          </w:tcPr>
          <w:p w14:paraId="52D22753"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346,773,828 </w:t>
            </w:r>
          </w:p>
        </w:tc>
        <w:tc>
          <w:tcPr>
            <w:tcW w:w="1249" w:type="dxa"/>
            <w:tcBorders>
              <w:top w:val="nil"/>
              <w:left w:val="nil"/>
              <w:bottom w:val="nil"/>
              <w:right w:val="single" w:sz="8" w:space="0" w:color="auto"/>
            </w:tcBorders>
            <w:shd w:val="clear" w:color="000000" w:fill="FFFFFF"/>
            <w:noWrap/>
            <w:vAlign w:val="bottom"/>
            <w:hideMark/>
          </w:tcPr>
          <w:p w14:paraId="633B877F"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7DCA0600"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346,773,828 </w:t>
            </w:r>
          </w:p>
        </w:tc>
        <w:tc>
          <w:tcPr>
            <w:tcW w:w="1186" w:type="dxa"/>
            <w:tcBorders>
              <w:top w:val="nil"/>
              <w:left w:val="nil"/>
              <w:bottom w:val="nil"/>
              <w:right w:val="single" w:sz="8" w:space="0" w:color="auto"/>
            </w:tcBorders>
            <w:shd w:val="clear" w:color="000000" w:fill="FFFFFF"/>
            <w:noWrap/>
            <w:vAlign w:val="bottom"/>
            <w:hideMark/>
          </w:tcPr>
          <w:p w14:paraId="4A55194C"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67,283,283 </w:t>
            </w:r>
          </w:p>
        </w:tc>
        <w:tc>
          <w:tcPr>
            <w:tcW w:w="1186" w:type="dxa"/>
            <w:tcBorders>
              <w:top w:val="nil"/>
              <w:left w:val="nil"/>
              <w:bottom w:val="nil"/>
              <w:right w:val="single" w:sz="8" w:space="0" w:color="auto"/>
            </w:tcBorders>
            <w:shd w:val="clear" w:color="000000" w:fill="FFFFFF"/>
            <w:noWrap/>
            <w:vAlign w:val="bottom"/>
            <w:hideMark/>
          </w:tcPr>
          <w:p w14:paraId="3DB856A5"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394,805,366 </w:t>
            </w:r>
          </w:p>
        </w:tc>
        <w:tc>
          <w:tcPr>
            <w:tcW w:w="1180" w:type="dxa"/>
            <w:tcBorders>
              <w:top w:val="nil"/>
              <w:left w:val="nil"/>
              <w:bottom w:val="nil"/>
              <w:right w:val="single" w:sz="8" w:space="0" w:color="auto"/>
            </w:tcBorders>
            <w:shd w:val="clear" w:color="000000" w:fill="FFFFFF"/>
            <w:noWrap/>
            <w:vAlign w:val="bottom"/>
            <w:hideMark/>
          </w:tcPr>
          <w:p w14:paraId="63E0D034"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462,088,649 </w:t>
            </w:r>
          </w:p>
        </w:tc>
        <w:tc>
          <w:tcPr>
            <w:tcW w:w="1251" w:type="dxa"/>
            <w:tcBorders>
              <w:top w:val="nil"/>
              <w:left w:val="nil"/>
              <w:bottom w:val="nil"/>
              <w:right w:val="nil"/>
            </w:tcBorders>
            <w:shd w:val="clear" w:color="000000" w:fill="FFFFFF"/>
            <w:noWrap/>
            <w:vAlign w:val="bottom"/>
            <w:hideMark/>
          </w:tcPr>
          <w:p w14:paraId="42A05A0B"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115,314,821 </w:t>
            </w:r>
          </w:p>
        </w:tc>
        <w:tc>
          <w:tcPr>
            <w:tcW w:w="955" w:type="dxa"/>
            <w:tcBorders>
              <w:top w:val="nil"/>
              <w:left w:val="single" w:sz="8" w:space="0" w:color="auto"/>
              <w:bottom w:val="nil"/>
              <w:right w:val="single" w:sz="8" w:space="0" w:color="auto"/>
            </w:tcBorders>
            <w:shd w:val="clear" w:color="000000" w:fill="FFFFFF"/>
            <w:noWrap/>
            <w:vAlign w:val="bottom"/>
            <w:hideMark/>
          </w:tcPr>
          <w:p w14:paraId="1CAB3B34" w14:textId="77777777" w:rsidR="006D6BA5" w:rsidRPr="006D6BA5" w:rsidRDefault="006D6BA5" w:rsidP="006D6BA5">
            <w:pPr>
              <w:spacing w:after="0" w:line="240" w:lineRule="auto"/>
              <w:jc w:val="right"/>
              <w:rPr>
                <w:rFonts w:ascii="Arial" w:eastAsia="Times New Roman" w:hAnsi="Arial" w:cs="Arial"/>
                <w:b/>
                <w:bCs/>
                <w:color w:val="000000"/>
                <w:sz w:val="12"/>
                <w:szCs w:val="12"/>
                <w:lang w:val="es-US" w:eastAsia="es-US"/>
              </w:rPr>
            </w:pPr>
            <w:r w:rsidRPr="006D6BA5">
              <w:rPr>
                <w:rFonts w:ascii="Arial" w:eastAsia="Times New Roman" w:hAnsi="Arial" w:cs="Arial"/>
                <w:b/>
                <w:bCs/>
                <w:color w:val="000000"/>
                <w:sz w:val="12"/>
                <w:szCs w:val="12"/>
                <w:lang w:val="es-US" w:eastAsia="es-US"/>
              </w:rPr>
              <w:t>133%</w:t>
            </w:r>
          </w:p>
        </w:tc>
      </w:tr>
      <w:tr w:rsidR="002810D0" w:rsidRPr="00C070CB" w14:paraId="1EAF16D8" w14:textId="77777777" w:rsidTr="002810D0">
        <w:trPr>
          <w:trHeight w:val="9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7115603A"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1.3.2.3.02.07.0.0.000</w:t>
            </w:r>
          </w:p>
        </w:tc>
        <w:tc>
          <w:tcPr>
            <w:tcW w:w="4155" w:type="dxa"/>
            <w:tcBorders>
              <w:top w:val="nil"/>
              <w:left w:val="nil"/>
              <w:bottom w:val="nil"/>
              <w:right w:val="single" w:sz="8" w:space="0" w:color="auto"/>
            </w:tcBorders>
            <w:shd w:val="clear" w:color="000000" w:fill="FFFFFF"/>
            <w:noWrap/>
            <w:vAlign w:val="bottom"/>
            <w:hideMark/>
          </w:tcPr>
          <w:p w14:paraId="5C198E46" w14:textId="4015A3BC"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INTERESES Y COM</w:t>
            </w:r>
            <w:r w:rsidR="00C070CB">
              <w:rPr>
                <w:rFonts w:ascii="Arial" w:eastAsia="Times New Roman" w:hAnsi="Arial" w:cs="Arial"/>
                <w:sz w:val="12"/>
                <w:szCs w:val="12"/>
                <w:lang w:val="es-US" w:eastAsia="es-US"/>
              </w:rPr>
              <w:t>.</w:t>
            </w:r>
            <w:r w:rsidRPr="006D6BA5">
              <w:rPr>
                <w:rFonts w:ascii="Arial" w:eastAsia="Times New Roman" w:hAnsi="Arial" w:cs="Arial"/>
                <w:sz w:val="12"/>
                <w:szCs w:val="12"/>
                <w:lang w:val="es-US" w:eastAsia="es-US"/>
              </w:rPr>
              <w:t xml:space="preserve"> SOBRE PRESTAMOS AL SECTOR PRIVADO</w:t>
            </w:r>
          </w:p>
        </w:tc>
        <w:tc>
          <w:tcPr>
            <w:tcW w:w="1278" w:type="dxa"/>
            <w:tcBorders>
              <w:top w:val="nil"/>
              <w:left w:val="nil"/>
              <w:bottom w:val="nil"/>
              <w:right w:val="single" w:sz="8" w:space="0" w:color="auto"/>
            </w:tcBorders>
            <w:shd w:val="clear" w:color="000000" w:fill="FFFFFF"/>
            <w:noWrap/>
            <w:vAlign w:val="bottom"/>
            <w:hideMark/>
          </w:tcPr>
          <w:p w14:paraId="5B740159"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346,773,828 </w:t>
            </w:r>
          </w:p>
        </w:tc>
        <w:tc>
          <w:tcPr>
            <w:tcW w:w="1249" w:type="dxa"/>
            <w:tcBorders>
              <w:top w:val="nil"/>
              <w:left w:val="nil"/>
              <w:bottom w:val="nil"/>
              <w:right w:val="single" w:sz="8" w:space="0" w:color="auto"/>
            </w:tcBorders>
            <w:shd w:val="clear" w:color="000000" w:fill="FFFFFF"/>
            <w:noWrap/>
            <w:vAlign w:val="bottom"/>
            <w:hideMark/>
          </w:tcPr>
          <w:p w14:paraId="0C649F15"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0B37A3C0"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346,773,828 </w:t>
            </w:r>
          </w:p>
        </w:tc>
        <w:tc>
          <w:tcPr>
            <w:tcW w:w="1186" w:type="dxa"/>
            <w:tcBorders>
              <w:top w:val="nil"/>
              <w:left w:val="nil"/>
              <w:bottom w:val="nil"/>
              <w:right w:val="single" w:sz="8" w:space="0" w:color="auto"/>
            </w:tcBorders>
            <w:shd w:val="clear" w:color="000000" w:fill="FFFFFF"/>
            <w:noWrap/>
            <w:vAlign w:val="bottom"/>
            <w:hideMark/>
          </w:tcPr>
          <w:p w14:paraId="7091BC49"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65,996,732 </w:t>
            </w:r>
          </w:p>
        </w:tc>
        <w:tc>
          <w:tcPr>
            <w:tcW w:w="1186" w:type="dxa"/>
            <w:tcBorders>
              <w:top w:val="nil"/>
              <w:left w:val="nil"/>
              <w:bottom w:val="nil"/>
              <w:right w:val="single" w:sz="8" w:space="0" w:color="auto"/>
            </w:tcBorders>
            <w:shd w:val="clear" w:color="000000" w:fill="FFFFFF"/>
            <w:noWrap/>
            <w:vAlign w:val="bottom"/>
            <w:hideMark/>
          </w:tcPr>
          <w:p w14:paraId="21F13DEC"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79,476,985 </w:t>
            </w:r>
          </w:p>
        </w:tc>
        <w:tc>
          <w:tcPr>
            <w:tcW w:w="1180" w:type="dxa"/>
            <w:tcBorders>
              <w:top w:val="nil"/>
              <w:left w:val="nil"/>
              <w:bottom w:val="nil"/>
              <w:right w:val="single" w:sz="8" w:space="0" w:color="auto"/>
            </w:tcBorders>
            <w:shd w:val="clear" w:color="000000" w:fill="FFFFFF"/>
            <w:noWrap/>
            <w:vAlign w:val="bottom"/>
            <w:hideMark/>
          </w:tcPr>
          <w:p w14:paraId="3EE154E3"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145,473,717 </w:t>
            </w:r>
          </w:p>
        </w:tc>
        <w:tc>
          <w:tcPr>
            <w:tcW w:w="1251" w:type="dxa"/>
            <w:tcBorders>
              <w:top w:val="nil"/>
              <w:left w:val="nil"/>
              <w:bottom w:val="nil"/>
              <w:right w:val="nil"/>
            </w:tcBorders>
            <w:shd w:val="clear" w:color="000000" w:fill="FFFFFF"/>
            <w:noWrap/>
            <w:vAlign w:val="bottom"/>
            <w:hideMark/>
          </w:tcPr>
          <w:p w14:paraId="65824D3F"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201,300,111 </w:t>
            </w:r>
          </w:p>
        </w:tc>
        <w:tc>
          <w:tcPr>
            <w:tcW w:w="955" w:type="dxa"/>
            <w:tcBorders>
              <w:top w:val="nil"/>
              <w:left w:val="single" w:sz="8" w:space="0" w:color="auto"/>
              <w:bottom w:val="nil"/>
              <w:right w:val="single" w:sz="8" w:space="0" w:color="auto"/>
            </w:tcBorders>
            <w:shd w:val="clear" w:color="000000" w:fill="FFFFFF"/>
            <w:noWrap/>
            <w:vAlign w:val="bottom"/>
            <w:hideMark/>
          </w:tcPr>
          <w:p w14:paraId="52DA6059" w14:textId="77777777" w:rsidR="006D6BA5" w:rsidRPr="006D6BA5" w:rsidRDefault="006D6BA5" w:rsidP="006D6BA5">
            <w:pPr>
              <w:spacing w:after="0" w:line="240" w:lineRule="auto"/>
              <w:jc w:val="right"/>
              <w:rPr>
                <w:rFonts w:ascii="Arial" w:eastAsia="Times New Roman" w:hAnsi="Arial" w:cs="Arial"/>
                <w:color w:val="000000"/>
                <w:sz w:val="12"/>
                <w:szCs w:val="12"/>
                <w:lang w:val="es-US" w:eastAsia="es-US"/>
              </w:rPr>
            </w:pPr>
            <w:r w:rsidRPr="006D6BA5">
              <w:rPr>
                <w:rFonts w:ascii="Arial" w:eastAsia="Times New Roman" w:hAnsi="Arial" w:cs="Arial"/>
                <w:color w:val="000000"/>
                <w:sz w:val="12"/>
                <w:szCs w:val="12"/>
                <w:lang w:val="es-US" w:eastAsia="es-US"/>
              </w:rPr>
              <w:t>42%</w:t>
            </w:r>
          </w:p>
        </w:tc>
      </w:tr>
      <w:tr w:rsidR="002810D0" w:rsidRPr="00C070CB" w14:paraId="56A7DFF2" w14:textId="77777777" w:rsidTr="002810D0">
        <w:trPr>
          <w:trHeight w:val="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3E0C0E26"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1.3.2.3.03.04.0.0.000</w:t>
            </w:r>
          </w:p>
        </w:tc>
        <w:tc>
          <w:tcPr>
            <w:tcW w:w="4155" w:type="dxa"/>
            <w:tcBorders>
              <w:top w:val="nil"/>
              <w:left w:val="nil"/>
              <w:bottom w:val="nil"/>
              <w:right w:val="single" w:sz="8" w:space="0" w:color="auto"/>
            </w:tcBorders>
            <w:shd w:val="clear" w:color="000000" w:fill="FFFFFF"/>
            <w:noWrap/>
            <w:vAlign w:val="bottom"/>
            <w:hideMark/>
          </w:tcPr>
          <w:p w14:paraId="6F878BB0"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DIFERENCIAS POR TIPO DE CAMBIO</w:t>
            </w:r>
          </w:p>
        </w:tc>
        <w:tc>
          <w:tcPr>
            <w:tcW w:w="1278" w:type="dxa"/>
            <w:tcBorders>
              <w:top w:val="nil"/>
              <w:left w:val="nil"/>
              <w:bottom w:val="nil"/>
              <w:right w:val="single" w:sz="8" w:space="0" w:color="auto"/>
            </w:tcBorders>
            <w:shd w:val="clear" w:color="000000" w:fill="FFFFFF"/>
            <w:noWrap/>
            <w:vAlign w:val="bottom"/>
            <w:hideMark/>
          </w:tcPr>
          <w:p w14:paraId="3E06CE82"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49" w:type="dxa"/>
            <w:tcBorders>
              <w:top w:val="nil"/>
              <w:left w:val="nil"/>
              <w:bottom w:val="nil"/>
              <w:right w:val="single" w:sz="8" w:space="0" w:color="auto"/>
            </w:tcBorders>
            <w:shd w:val="clear" w:color="000000" w:fill="FFFFFF"/>
            <w:noWrap/>
            <w:vAlign w:val="bottom"/>
            <w:hideMark/>
          </w:tcPr>
          <w:p w14:paraId="262D168A"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2AC66049"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186" w:type="dxa"/>
            <w:tcBorders>
              <w:top w:val="nil"/>
              <w:left w:val="nil"/>
              <w:bottom w:val="nil"/>
              <w:right w:val="single" w:sz="8" w:space="0" w:color="auto"/>
            </w:tcBorders>
            <w:shd w:val="clear" w:color="000000" w:fill="FFFFFF"/>
            <w:noWrap/>
            <w:vAlign w:val="bottom"/>
            <w:hideMark/>
          </w:tcPr>
          <w:p w14:paraId="1768942F"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1,286,551 </w:t>
            </w:r>
          </w:p>
        </w:tc>
        <w:tc>
          <w:tcPr>
            <w:tcW w:w="1186" w:type="dxa"/>
            <w:tcBorders>
              <w:top w:val="nil"/>
              <w:left w:val="nil"/>
              <w:bottom w:val="nil"/>
              <w:right w:val="single" w:sz="8" w:space="0" w:color="auto"/>
            </w:tcBorders>
            <w:shd w:val="clear" w:color="000000" w:fill="FFFFFF"/>
            <w:noWrap/>
            <w:vAlign w:val="bottom"/>
            <w:hideMark/>
          </w:tcPr>
          <w:p w14:paraId="22098360"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315,328,381 </w:t>
            </w:r>
          </w:p>
        </w:tc>
        <w:tc>
          <w:tcPr>
            <w:tcW w:w="1180" w:type="dxa"/>
            <w:tcBorders>
              <w:top w:val="nil"/>
              <w:left w:val="nil"/>
              <w:bottom w:val="nil"/>
              <w:right w:val="single" w:sz="8" w:space="0" w:color="auto"/>
            </w:tcBorders>
            <w:shd w:val="clear" w:color="000000" w:fill="FFFFFF"/>
            <w:noWrap/>
            <w:vAlign w:val="bottom"/>
            <w:hideMark/>
          </w:tcPr>
          <w:p w14:paraId="6201CB78"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316,614,932 </w:t>
            </w:r>
          </w:p>
        </w:tc>
        <w:tc>
          <w:tcPr>
            <w:tcW w:w="1251" w:type="dxa"/>
            <w:tcBorders>
              <w:top w:val="nil"/>
              <w:left w:val="nil"/>
              <w:bottom w:val="nil"/>
              <w:right w:val="nil"/>
            </w:tcBorders>
            <w:shd w:val="clear" w:color="000000" w:fill="FFFFFF"/>
            <w:noWrap/>
            <w:vAlign w:val="bottom"/>
            <w:hideMark/>
          </w:tcPr>
          <w:p w14:paraId="79E7B360"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316,614,932 </w:t>
            </w:r>
          </w:p>
        </w:tc>
        <w:tc>
          <w:tcPr>
            <w:tcW w:w="955" w:type="dxa"/>
            <w:tcBorders>
              <w:top w:val="nil"/>
              <w:left w:val="single" w:sz="8" w:space="0" w:color="auto"/>
              <w:bottom w:val="nil"/>
              <w:right w:val="single" w:sz="8" w:space="0" w:color="auto"/>
            </w:tcBorders>
            <w:shd w:val="clear" w:color="000000" w:fill="FFFFFF"/>
            <w:noWrap/>
            <w:vAlign w:val="bottom"/>
            <w:hideMark/>
          </w:tcPr>
          <w:p w14:paraId="48D96296" w14:textId="77777777" w:rsidR="006D6BA5" w:rsidRPr="006D6BA5" w:rsidRDefault="006D6BA5" w:rsidP="006D6BA5">
            <w:pPr>
              <w:spacing w:after="0" w:line="240" w:lineRule="auto"/>
              <w:jc w:val="right"/>
              <w:rPr>
                <w:rFonts w:ascii="Arial" w:eastAsia="Times New Roman" w:hAnsi="Arial" w:cs="Arial"/>
                <w:color w:val="000000"/>
                <w:sz w:val="12"/>
                <w:szCs w:val="12"/>
                <w:lang w:val="es-US" w:eastAsia="es-US"/>
              </w:rPr>
            </w:pPr>
            <w:r w:rsidRPr="006D6BA5">
              <w:rPr>
                <w:rFonts w:ascii="Arial" w:eastAsia="Times New Roman" w:hAnsi="Arial" w:cs="Arial"/>
                <w:color w:val="000000"/>
                <w:sz w:val="12"/>
                <w:szCs w:val="12"/>
                <w:lang w:val="es-US" w:eastAsia="es-US"/>
              </w:rPr>
              <w:t>0%</w:t>
            </w:r>
          </w:p>
        </w:tc>
      </w:tr>
      <w:tr w:rsidR="002810D0" w:rsidRPr="00C070CB" w14:paraId="7BBE100E" w14:textId="77777777" w:rsidTr="002810D0">
        <w:trPr>
          <w:trHeight w:val="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01471D63"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1.3.3.0.00.00.0.0.000</w:t>
            </w:r>
          </w:p>
        </w:tc>
        <w:tc>
          <w:tcPr>
            <w:tcW w:w="4155" w:type="dxa"/>
            <w:tcBorders>
              <w:top w:val="nil"/>
              <w:left w:val="nil"/>
              <w:bottom w:val="nil"/>
              <w:right w:val="single" w:sz="8" w:space="0" w:color="auto"/>
            </w:tcBorders>
            <w:shd w:val="clear" w:color="000000" w:fill="FFFFFF"/>
            <w:noWrap/>
            <w:vAlign w:val="bottom"/>
            <w:hideMark/>
          </w:tcPr>
          <w:p w14:paraId="203F039B"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MULTAS, SANCIONES, REMATES Y CONFISCACIONES </w:t>
            </w:r>
          </w:p>
        </w:tc>
        <w:tc>
          <w:tcPr>
            <w:tcW w:w="1278" w:type="dxa"/>
            <w:tcBorders>
              <w:top w:val="nil"/>
              <w:left w:val="nil"/>
              <w:bottom w:val="nil"/>
              <w:right w:val="single" w:sz="8" w:space="0" w:color="auto"/>
            </w:tcBorders>
            <w:shd w:val="clear" w:color="000000" w:fill="FFFFFF"/>
            <w:noWrap/>
            <w:vAlign w:val="bottom"/>
            <w:hideMark/>
          </w:tcPr>
          <w:p w14:paraId="2C7A2455"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49" w:type="dxa"/>
            <w:tcBorders>
              <w:top w:val="nil"/>
              <w:left w:val="nil"/>
              <w:bottom w:val="nil"/>
              <w:right w:val="single" w:sz="8" w:space="0" w:color="auto"/>
            </w:tcBorders>
            <w:shd w:val="clear" w:color="000000" w:fill="FFFFFF"/>
            <w:noWrap/>
            <w:vAlign w:val="bottom"/>
            <w:hideMark/>
          </w:tcPr>
          <w:p w14:paraId="64D099BF"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31A713CF"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186" w:type="dxa"/>
            <w:tcBorders>
              <w:top w:val="nil"/>
              <w:left w:val="nil"/>
              <w:bottom w:val="nil"/>
              <w:right w:val="single" w:sz="8" w:space="0" w:color="auto"/>
            </w:tcBorders>
            <w:shd w:val="clear" w:color="000000" w:fill="FFFFFF"/>
            <w:noWrap/>
            <w:vAlign w:val="bottom"/>
            <w:hideMark/>
          </w:tcPr>
          <w:p w14:paraId="71AFBF11"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639,695 </w:t>
            </w:r>
          </w:p>
        </w:tc>
        <w:tc>
          <w:tcPr>
            <w:tcW w:w="1186" w:type="dxa"/>
            <w:tcBorders>
              <w:top w:val="nil"/>
              <w:left w:val="nil"/>
              <w:bottom w:val="nil"/>
              <w:right w:val="single" w:sz="8" w:space="0" w:color="auto"/>
            </w:tcBorders>
            <w:shd w:val="clear" w:color="000000" w:fill="FFFFFF"/>
            <w:noWrap/>
            <w:vAlign w:val="bottom"/>
            <w:hideMark/>
          </w:tcPr>
          <w:p w14:paraId="7E41EB54"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410,455 </w:t>
            </w:r>
          </w:p>
        </w:tc>
        <w:tc>
          <w:tcPr>
            <w:tcW w:w="1180" w:type="dxa"/>
            <w:tcBorders>
              <w:top w:val="nil"/>
              <w:left w:val="nil"/>
              <w:bottom w:val="nil"/>
              <w:right w:val="single" w:sz="8" w:space="0" w:color="auto"/>
            </w:tcBorders>
            <w:shd w:val="clear" w:color="000000" w:fill="FFFFFF"/>
            <w:noWrap/>
            <w:vAlign w:val="bottom"/>
            <w:hideMark/>
          </w:tcPr>
          <w:p w14:paraId="41EDF4F8"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1,050,150 </w:t>
            </w:r>
          </w:p>
        </w:tc>
        <w:tc>
          <w:tcPr>
            <w:tcW w:w="1251" w:type="dxa"/>
            <w:tcBorders>
              <w:top w:val="nil"/>
              <w:left w:val="nil"/>
              <w:bottom w:val="nil"/>
              <w:right w:val="nil"/>
            </w:tcBorders>
            <w:shd w:val="clear" w:color="000000" w:fill="FFFFFF"/>
            <w:noWrap/>
            <w:vAlign w:val="bottom"/>
            <w:hideMark/>
          </w:tcPr>
          <w:p w14:paraId="60DBA6E2"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1,050,150 </w:t>
            </w:r>
          </w:p>
        </w:tc>
        <w:tc>
          <w:tcPr>
            <w:tcW w:w="955" w:type="dxa"/>
            <w:tcBorders>
              <w:top w:val="nil"/>
              <w:left w:val="single" w:sz="8" w:space="0" w:color="auto"/>
              <w:bottom w:val="nil"/>
              <w:right w:val="single" w:sz="8" w:space="0" w:color="auto"/>
            </w:tcBorders>
            <w:shd w:val="clear" w:color="000000" w:fill="FFFFFF"/>
            <w:noWrap/>
            <w:vAlign w:val="bottom"/>
            <w:hideMark/>
          </w:tcPr>
          <w:p w14:paraId="659E0F4E" w14:textId="77777777" w:rsidR="006D6BA5" w:rsidRPr="006D6BA5" w:rsidRDefault="006D6BA5" w:rsidP="006D6BA5">
            <w:pPr>
              <w:spacing w:after="0" w:line="240" w:lineRule="auto"/>
              <w:jc w:val="right"/>
              <w:rPr>
                <w:rFonts w:ascii="Arial" w:eastAsia="Times New Roman" w:hAnsi="Arial" w:cs="Arial"/>
                <w:b/>
                <w:bCs/>
                <w:color w:val="000000"/>
                <w:sz w:val="12"/>
                <w:szCs w:val="12"/>
                <w:lang w:val="es-US" w:eastAsia="es-US"/>
              </w:rPr>
            </w:pPr>
            <w:r w:rsidRPr="006D6BA5">
              <w:rPr>
                <w:rFonts w:ascii="Arial" w:eastAsia="Times New Roman" w:hAnsi="Arial" w:cs="Arial"/>
                <w:b/>
                <w:bCs/>
                <w:color w:val="000000"/>
                <w:sz w:val="12"/>
                <w:szCs w:val="12"/>
                <w:lang w:val="es-US" w:eastAsia="es-US"/>
              </w:rPr>
              <w:t>0%</w:t>
            </w:r>
          </w:p>
        </w:tc>
      </w:tr>
      <w:tr w:rsidR="002810D0" w:rsidRPr="00C070CB" w14:paraId="450496C2" w14:textId="77777777" w:rsidTr="002810D0">
        <w:trPr>
          <w:trHeight w:val="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457AD86E"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1.3.3.1.00.00.0.0.000</w:t>
            </w:r>
          </w:p>
        </w:tc>
        <w:tc>
          <w:tcPr>
            <w:tcW w:w="4155" w:type="dxa"/>
            <w:tcBorders>
              <w:top w:val="nil"/>
              <w:left w:val="nil"/>
              <w:bottom w:val="nil"/>
              <w:right w:val="single" w:sz="8" w:space="0" w:color="auto"/>
            </w:tcBorders>
            <w:shd w:val="clear" w:color="000000" w:fill="FFFFFF"/>
            <w:noWrap/>
            <w:vAlign w:val="bottom"/>
            <w:hideMark/>
          </w:tcPr>
          <w:p w14:paraId="14CDCACE"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MULTAS Y SANCIONES</w:t>
            </w:r>
          </w:p>
        </w:tc>
        <w:tc>
          <w:tcPr>
            <w:tcW w:w="1278" w:type="dxa"/>
            <w:tcBorders>
              <w:top w:val="nil"/>
              <w:left w:val="nil"/>
              <w:bottom w:val="nil"/>
              <w:right w:val="single" w:sz="8" w:space="0" w:color="auto"/>
            </w:tcBorders>
            <w:shd w:val="clear" w:color="000000" w:fill="FFFFFF"/>
            <w:noWrap/>
            <w:vAlign w:val="bottom"/>
            <w:hideMark/>
          </w:tcPr>
          <w:p w14:paraId="35EA0852"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49" w:type="dxa"/>
            <w:tcBorders>
              <w:top w:val="nil"/>
              <w:left w:val="nil"/>
              <w:bottom w:val="nil"/>
              <w:right w:val="single" w:sz="8" w:space="0" w:color="auto"/>
            </w:tcBorders>
            <w:shd w:val="clear" w:color="000000" w:fill="FFFFFF"/>
            <w:noWrap/>
            <w:vAlign w:val="bottom"/>
            <w:hideMark/>
          </w:tcPr>
          <w:p w14:paraId="6E4DF034"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3F04E07E"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186" w:type="dxa"/>
            <w:tcBorders>
              <w:top w:val="nil"/>
              <w:left w:val="nil"/>
              <w:bottom w:val="nil"/>
              <w:right w:val="single" w:sz="8" w:space="0" w:color="auto"/>
            </w:tcBorders>
            <w:shd w:val="clear" w:color="000000" w:fill="FFFFFF"/>
            <w:noWrap/>
            <w:vAlign w:val="bottom"/>
            <w:hideMark/>
          </w:tcPr>
          <w:p w14:paraId="3925274D"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420,510 </w:t>
            </w:r>
          </w:p>
        </w:tc>
        <w:tc>
          <w:tcPr>
            <w:tcW w:w="1186" w:type="dxa"/>
            <w:tcBorders>
              <w:top w:val="nil"/>
              <w:left w:val="nil"/>
              <w:bottom w:val="nil"/>
              <w:right w:val="single" w:sz="8" w:space="0" w:color="auto"/>
            </w:tcBorders>
            <w:shd w:val="clear" w:color="000000" w:fill="FFFFFF"/>
            <w:noWrap/>
            <w:vAlign w:val="bottom"/>
            <w:hideMark/>
          </w:tcPr>
          <w:p w14:paraId="61619388"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191,275 </w:t>
            </w:r>
          </w:p>
        </w:tc>
        <w:tc>
          <w:tcPr>
            <w:tcW w:w="1180" w:type="dxa"/>
            <w:tcBorders>
              <w:top w:val="nil"/>
              <w:left w:val="nil"/>
              <w:bottom w:val="nil"/>
              <w:right w:val="single" w:sz="8" w:space="0" w:color="auto"/>
            </w:tcBorders>
            <w:shd w:val="clear" w:color="000000" w:fill="FFFFFF"/>
            <w:noWrap/>
            <w:vAlign w:val="bottom"/>
            <w:hideMark/>
          </w:tcPr>
          <w:p w14:paraId="7765AB15"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611,785 </w:t>
            </w:r>
          </w:p>
        </w:tc>
        <w:tc>
          <w:tcPr>
            <w:tcW w:w="1251" w:type="dxa"/>
            <w:tcBorders>
              <w:top w:val="nil"/>
              <w:left w:val="nil"/>
              <w:bottom w:val="nil"/>
              <w:right w:val="nil"/>
            </w:tcBorders>
            <w:shd w:val="clear" w:color="000000" w:fill="FFFFFF"/>
            <w:noWrap/>
            <w:vAlign w:val="bottom"/>
            <w:hideMark/>
          </w:tcPr>
          <w:p w14:paraId="12614D4D"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611,785 </w:t>
            </w:r>
          </w:p>
        </w:tc>
        <w:tc>
          <w:tcPr>
            <w:tcW w:w="955" w:type="dxa"/>
            <w:tcBorders>
              <w:top w:val="nil"/>
              <w:left w:val="single" w:sz="8" w:space="0" w:color="auto"/>
              <w:bottom w:val="nil"/>
              <w:right w:val="single" w:sz="8" w:space="0" w:color="auto"/>
            </w:tcBorders>
            <w:shd w:val="clear" w:color="000000" w:fill="FFFFFF"/>
            <w:noWrap/>
            <w:vAlign w:val="bottom"/>
            <w:hideMark/>
          </w:tcPr>
          <w:p w14:paraId="39DF4270" w14:textId="77777777" w:rsidR="006D6BA5" w:rsidRPr="006D6BA5" w:rsidRDefault="006D6BA5" w:rsidP="006D6BA5">
            <w:pPr>
              <w:spacing w:after="0" w:line="240" w:lineRule="auto"/>
              <w:jc w:val="right"/>
              <w:rPr>
                <w:rFonts w:ascii="Arial" w:eastAsia="Times New Roman" w:hAnsi="Arial" w:cs="Arial"/>
                <w:b/>
                <w:bCs/>
                <w:color w:val="000000"/>
                <w:sz w:val="12"/>
                <w:szCs w:val="12"/>
                <w:lang w:val="es-US" w:eastAsia="es-US"/>
              </w:rPr>
            </w:pPr>
            <w:r w:rsidRPr="006D6BA5">
              <w:rPr>
                <w:rFonts w:ascii="Arial" w:eastAsia="Times New Roman" w:hAnsi="Arial" w:cs="Arial"/>
                <w:b/>
                <w:bCs/>
                <w:color w:val="000000"/>
                <w:sz w:val="12"/>
                <w:szCs w:val="12"/>
                <w:lang w:val="es-US" w:eastAsia="es-US"/>
              </w:rPr>
              <w:t>0%</w:t>
            </w:r>
          </w:p>
        </w:tc>
      </w:tr>
      <w:tr w:rsidR="002810D0" w:rsidRPr="00C070CB" w14:paraId="38345270" w14:textId="77777777" w:rsidTr="002810D0">
        <w:trPr>
          <w:trHeight w:val="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5C1862AC"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1.3.3.1.09.00.0.0.000</w:t>
            </w:r>
          </w:p>
        </w:tc>
        <w:tc>
          <w:tcPr>
            <w:tcW w:w="4155" w:type="dxa"/>
            <w:tcBorders>
              <w:top w:val="nil"/>
              <w:left w:val="nil"/>
              <w:bottom w:val="nil"/>
              <w:right w:val="single" w:sz="8" w:space="0" w:color="auto"/>
            </w:tcBorders>
            <w:shd w:val="clear" w:color="000000" w:fill="FFFFFF"/>
            <w:noWrap/>
            <w:vAlign w:val="bottom"/>
            <w:hideMark/>
          </w:tcPr>
          <w:p w14:paraId="2E8E444A"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OTRAS MULTAS Y SANCIONES</w:t>
            </w:r>
          </w:p>
        </w:tc>
        <w:tc>
          <w:tcPr>
            <w:tcW w:w="1278" w:type="dxa"/>
            <w:tcBorders>
              <w:top w:val="nil"/>
              <w:left w:val="nil"/>
              <w:bottom w:val="nil"/>
              <w:right w:val="single" w:sz="8" w:space="0" w:color="auto"/>
            </w:tcBorders>
            <w:shd w:val="clear" w:color="000000" w:fill="FFFFFF"/>
            <w:noWrap/>
            <w:vAlign w:val="bottom"/>
            <w:hideMark/>
          </w:tcPr>
          <w:p w14:paraId="22DEA2A0"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49" w:type="dxa"/>
            <w:tcBorders>
              <w:top w:val="nil"/>
              <w:left w:val="nil"/>
              <w:bottom w:val="nil"/>
              <w:right w:val="single" w:sz="8" w:space="0" w:color="auto"/>
            </w:tcBorders>
            <w:shd w:val="clear" w:color="000000" w:fill="FFFFFF"/>
            <w:noWrap/>
            <w:vAlign w:val="bottom"/>
            <w:hideMark/>
          </w:tcPr>
          <w:p w14:paraId="5211A280"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0993E231"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186" w:type="dxa"/>
            <w:tcBorders>
              <w:top w:val="nil"/>
              <w:left w:val="nil"/>
              <w:bottom w:val="nil"/>
              <w:right w:val="single" w:sz="8" w:space="0" w:color="auto"/>
            </w:tcBorders>
            <w:shd w:val="clear" w:color="000000" w:fill="FFFFFF"/>
            <w:noWrap/>
            <w:vAlign w:val="bottom"/>
            <w:hideMark/>
          </w:tcPr>
          <w:p w14:paraId="0959358A"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420,510 </w:t>
            </w:r>
          </w:p>
        </w:tc>
        <w:tc>
          <w:tcPr>
            <w:tcW w:w="1186" w:type="dxa"/>
            <w:tcBorders>
              <w:top w:val="nil"/>
              <w:left w:val="nil"/>
              <w:bottom w:val="nil"/>
              <w:right w:val="single" w:sz="8" w:space="0" w:color="auto"/>
            </w:tcBorders>
            <w:shd w:val="clear" w:color="000000" w:fill="FFFFFF"/>
            <w:noWrap/>
            <w:vAlign w:val="bottom"/>
            <w:hideMark/>
          </w:tcPr>
          <w:p w14:paraId="3E67AA67"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191,275 </w:t>
            </w:r>
          </w:p>
        </w:tc>
        <w:tc>
          <w:tcPr>
            <w:tcW w:w="1180" w:type="dxa"/>
            <w:tcBorders>
              <w:top w:val="nil"/>
              <w:left w:val="nil"/>
              <w:bottom w:val="nil"/>
              <w:right w:val="single" w:sz="8" w:space="0" w:color="auto"/>
            </w:tcBorders>
            <w:shd w:val="clear" w:color="000000" w:fill="FFFFFF"/>
            <w:noWrap/>
            <w:vAlign w:val="bottom"/>
            <w:hideMark/>
          </w:tcPr>
          <w:p w14:paraId="2A00FEE5"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611,785 </w:t>
            </w:r>
          </w:p>
        </w:tc>
        <w:tc>
          <w:tcPr>
            <w:tcW w:w="1251" w:type="dxa"/>
            <w:tcBorders>
              <w:top w:val="nil"/>
              <w:left w:val="nil"/>
              <w:bottom w:val="nil"/>
              <w:right w:val="nil"/>
            </w:tcBorders>
            <w:shd w:val="clear" w:color="000000" w:fill="FFFFFF"/>
            <w:noWrap/>
            <w:vAlign w:val="bottom"/>
            <w:hideMark/>
          </w:tcPr>
          <w:p w14:paraId="033F69FE"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611,785 </w:t>
            </w:r>
          </w:p>
        </w:tc>
        <w:tc>
          <w:tcPr>
            <w:tcW w:w="955" w:type="dxa"/>
            <w:tcBorders>
              <w:top w:val="nil"/>
              <w:left w:val="single" w:sz="8" w:space="0" w:color="auto"/>
              <w:bottom w:val="nil"/>
              <w:right w:val="single" w:sz="8" w:space="0" w:color="auto"/>
            </w:tcBorders>
            <w:shd w:val="clear" w:color="000000" w:fill="FFFFFF"/>
            <w:noWrap/>
            <w:vAlign w:val="bottom"/>
            <w:hideMark/>
          </w:tcPr>
          <w:p w14:paraId="32D1DDBC" w14:textId="77777777" w:rsidR="006D6BA5" w:rsidRPr="006D6BA5" w:rsidRDefault="006D6BA5" w:rsidP="006D6BA5">
            <w:pPr>
              <w:spacing w:after="0" w:line="240" w:lineRule="auto"/>
              <w:jc w:val="right"/>
              <w:rPr>
                <w:rFonts w:ascii="Arial" w:eastAsia="Times New Roman" w:hAnsi="Arial" w:cs="Arial"/>
                <w:color w:val="000000"/>
                <w:sz w:val="12"/>
                <w:szCs w:val="12"/>
                <w:lang w:val="es-US" w:eastAsia="es-US"/>
              </w:rPr>
            </w:pPr>
            <w:r w:rsidRPr="006D6BA5">
              <w:rPr>
                <w:rFonts w:ascii="Arial" w:eastAsia="Times New Roman" w:hAnsi="Arial" w:cs="Arial"/>
                <w:color w:val="000000"/>
                <w:sz w:val="12"/>
                <w:szCs w:val="12"/>
                <w:lang w:val="es-US" w:eastAsia="es-US"/>
              </w:rPr>
              <w:t>0%</w:t>
            </w:r>
          </w:p>
        </w:tc>
      </w:tr>
      <w:tr w:rsidR="002810D0" w:rsidRPr="00C070CB" w14:paraId="231FE391" w14:textId="77777777" w:rsidTr="002810D0">
        <w:trPr>
          <w:trHeight w:val="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4A4B54B3"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1.3.4.0.00.00.0.0.000</w:t>
            </w:r>
          </w:p>
        </w:tc>
        <w:tc>
          <w:tcPr>
            <w:tcW w:w="4155" w:type="dxa"/>
            <w:tcBorders>
              <w:top w:val="nil"/>
              <w:left w:val="nil"/>
              <w:bottom w:val="nil"/>
              <w:right w:val="single" w:sz="8" w:space="0" w:color="auto"/>
            </w:tcBorders>
            <w:shd w:val="clear" w:color="000000" w:fill="FFFFFF"/>
            <w:noWrap/>
            <w:vAlign w:val="bottom"/>
            <w:hideMark/>
          </w:tcPr>
          <w:p w14:paraId="46FD31D7"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INTERESES MORATORIOS</w:t>
            </w:r>
          </w:p>
        </w:tc>
        <w:tc>
          <w:tcPr>
            <w:tcW w:w="1278" w:type="dxa"/>
            <w:tcBorders>
              <w:top w:val="nil"/>
              <w:left w:val="nil"/>
              <w:bottom w:val="nil"/>
              <w:right w:val="single" w:sz="8" w:space="0" w:color="auto"/>
            </w:tcBorders>
            <w:shd w:val="clear" w:color="000000" w:fill="FFFFFF"/>
            <w:noWrap/>
            <w:vAlign w:val="bottom"/>
            <w:hideMark/>
          </w:tcPr>
          <w:p w14:paraId="7A6DE4A3"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49" w:type="dxa"/>
            <w:tcBorders>
              <w:top w:val="nil"/>
              <w:left w:val="nil"/>
              <w:bottom w:val="nil"/>
              <w:right w:val="single" w:sz="8" w:space="0" w:color="auto"/>
            </w:tcBorders>
            <w:shd w:val="clear" w:color="000000" w:fill="FFFFFF"/>
            <w:noWrap/>
            <w:vAlign w:val="bottom"/>
            <w:hideMark/>
          </w:tcPr>
          <w:p w14:paraId="64E931C1"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6126B2B8"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186" w:type="dxa"/>
            <w:tcBorders>
              <w:top w:val="nil"/>
              <w:left w:val="nil"/>
              <w:bottom w:val="nil"/>
              <w:right w:val="single" w:sz="8" w:space="0" w:color="auto"/>
            </w:tcBorders>
            <w:shd w:val="clear" w:color="000000" w:fill="FFFFFF"/>
            <w:noWrap/>
            <w:vAlign w:val="bottom"/>
            <w:hideMark/>
          </w:tcPr>
          <w:p w14:paraId="24A3357B"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219,185 </w:t>
            </w:r>
          </w:p>
        </w:tc>
        <w:tc>
          <w:tcPr>
            <w:tcW w:w="1186" w:type="dxa"/>
            <w:tcBorders>
              <w:top w:val="nil"/>
              <w:left w:val="nil"/>
              <w:bottom w:val="nil"/>
              <w:right w:val="single" w:sz="8" w:space="0" w:color="auto"/>
            </w:tcBorders>
            <w:shd w:val="clear" w:color="000000" w:fill="FFFFFF"/>
            <w:noWrap/>
            <w:vAlign w:val="bottom"/>
            <w:hideMark/>
          </w:tcPr>
          <w:p w14:paraId="24477418"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219,180 </w:t>
            </w:r>
          </w:p>
        </w:tc>
        <w:tc>
          <w:tcPr>
            <w:tcW w:w="1180" w:type="dxa"/>
            <w:tcBorders>
              <w:top w:val="nil"/>
              <w:left w:val="nil"/>
              <w:bottom w:val="nil"/>
              <w:right w:val="single" w:sz="8" w:space="0" w:color="auto"/>
            </w:tcBorders>
            <w:shd w:val="clear" w:color="000000" w:fill="FFFFFF"/>
            <w:noWrap/>
            <w:vAlign w:val="bottom"/>
            <w:hideMark/>
          </w:tcPr>
          <w:p w14:paraId="643D9056"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438,365 </w:t>
            </w:r>
          </w:p>
        </w:tc>
        <w:tc>
          <w:tcPr>
            <w:tcW w:w="1251" w:type="dxa"/>
            <w:tcBorders>
              <w:top w:val="nil"/>
              <w:left w:val="nil"/>
              <w:bottom w:val="nil"/>
              <w:right w:val="nil"/>
            </w:tcBorders>
            <w:shd w:val="clear" w:color="000000" w:fill="FFFFFF"/>
            <w:noWrap/>
            <w:vAlign w:val="bottom"/>
            <w:hideMark/>
          </w:tcPr>
          <w:p w14:paraId="28D7285B"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438,365 </w:t>
            </w:r>
          </w:p>
        </w:tc>
        <w:tc>
          <w:tcPr>
            <w:tcW w:w="955" w:type="dxa"/>
            <w:tcBorders>
              <w:top w:val="nil"/>
              <w:left w:val="single" w:sz="8" w:space="0" w:color="auto"/>
              <w:bottom w:val="nil"/>
              <w:right w:val="single" w:sz="8" w:space="0" w:color="auto"/>
            </w:tcBorders>
            <w:shd w:val="clear" w:color="000000" w:fill="FFFFFF"/>
            <w:noWrap/>
            <w:vAlign w:val="bottom"/>
            <w:hideMark/>
          </w:tcPr>
          <w:p w14:paraId="61340139" w14:textId="77777777" w:rsidR="006D6BA5" w:rsidRPr="006D6BA5" w:rsidRDefault="006D6BA5" w:rsidP="006D6BA5">
            <w:pPr>
              <w:spacing w:after="0" w:line="240" w:lineRule="auto"/>
              <w:jc w:val="right"/>
              <w:rPr>
                <w:rFonts w:ascii="Arial" w:eastAsia="Times New Roman" w:hAnsi="Arial" w:cs="Arial"/>
                <w:b/>
                <w:bCs/>
                <w:color w:val="000000"/>
                <w:sz w:val="12"/>
                <w:szCs w:val="12"/>
                <w:lang w:val="es-US" w:eastAsia="es-US"/>
              </w:rPr>
            </w:pPr>
            <w:r w:rsidRPr="006D6BA5">
              <w:rPr>
                <w:rFonts w:ascii="Arial" w:eastAsia="Times New Roman" w:hAnsi="Arial" w:cs="Arial"/>
                <w:b/>
                <w:bCs/>
                <w:color w:val="000000"/>
                <w:sz w:val="12"/>
                <w:szCs w:val="12"/>
                <w:lang w:val="es-US" w:eastAsia="es-US"/>
              </w:rPr>
              <w:t>0%</w:t>
            </w:r>
          </w:p>
        </w:tc>
      </w:tr>
      <w:tr w:rsidR="002810D0" w:rsidRPr="00C070CB" w14:paraId="7E9E26B2" w14:textId="77777777" w:rsidTr="002810D0">
        <w:trPr>
          <w:trHeight w:val="57"/>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1969EED2"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1.3.4.9.00.00.0.0.000</w:t>
            </w:r>
          </w:p>
        </w:tc>
        <w:tc>
          <w:tcPr>
            <w:tcW w:w="4155" w:type="dxa"/>
            <w:tcBorders>
              <w:top w:val="nil"/>
              <w:left w:val="nil"/>
              <w:bottom w:val="nil"/>
              <w:right w:val="single" w:sz="8" w:space="0" w:color="auto"/>
            </w:tcBorders>
            <w:shd w:val="clear" w:color="000000" w:fill="FFFFFF"/>
            <w:noWrap/>
            <w:vAlign w:val="bottom"/>
            <w:hideMark/>
          </w:tcPr>
          <w:p w14:paraId="0FFBAA29"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OTROS INTERESES MORATORIOS</w:t>
            </w:r>
          </w:p>
        </w:tc>
        <w:tc>
          <w:tcPr>
            <w:tcW w:w="1278" w:type="dxa"/>
            <w:tcBorders>
              <w:top w:val="nil"/>
              <w:left w:val="nil"/>
              <w:bottom w:val="nil"/>
              <w:right w:val="single" w:sz="8" w:space="0" w:color="auto"/>
            </w:tcBorders>
            <w:shd w:val="clear" w:color="000000" w:fill="FFFFFF"/>
            <w:noWrap/>
            <w:vAlign w:val="bottom"/>
            <w:hideMark/>
          </w:tcPr>
          <w:p w14:paraId="44BB9F64"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49" w:type="dxa"/>
            <w:tcBorders>
              <w:top w:val="nil"/>
              <w:left w:val="nil"/>
              <w:bottom w:val="nil"/>
              <w:right w:val="single" w:sz="8" w:space="0" w:color="auto"/>
            </w:tcBorders>
            <w:shd w:val="clear" w:color="000000" w:fill="FFFFFF"/>
            <w:noWrap/>
            <w:vAlign w:val="bottom"/>
            <w:hideMark/>
          </w:tcPr>
          <w:p w14:paraId="6CDE9784"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32679B24"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186" w:type="dxa"/>
            <w:tcBorders>
              <w:top w:val="nil"/>
              <w:left w:val="nil"/>
              <w:bottom w:val="nil"/>
              <w:right w:val="single" w:sz="8" w:space="0" w:color="auto"/>
            </w:tcBorders>
            <w:shd w:val="clear" w:color="000000" w:fill="FFFFFF"/>
            <w:noWrap/>
            <w:vAlign w:val="bottom"/>
            <w:hideMark/>
          </w:tcPr>
          <w:p w14:paraId="4BB7750A"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219,185 </w:t>
            </w:r>
          </w:p>
        </w:tc>
        <w:tc>
          <w:tcPr>
            <w:tcW w:w="1186" w:type="dxa"/>
            <w:tcBorders>
              <w:top w:val="nil"/>
              <w:left w:val="nil"/>
              <w:bottom w:val="nil"/>
              <w:right w:val="single" w:sz="8" w:space="0" w:color="auto"/>
            </w:tcBorders>
            <w:shd w:val="clear" w:color="000000" w:fill="FFFFFF"/>
            <w:noWrap/>
            <w:vAlign w:val="bottom"/>
            <w:hideMark/>
          </w:tcPr>
          <w:p w14:paraId="5811ECFA"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219,180 </w:t>
            </w:r>
          </w:p>
        </w:tc>
        <w:tc>
          <w:tcPr>
            <w:tcW w:w="1180" w:type="dxa"/>
            <w:tcBorders>
              <w:top w:val="nil"/>
              <w:left w:val="nil"/>
              <w:bottom w:val="nil"/>
              <w:right w:val="single" w:sz="8" w:space="0" w:color="auto"/>
            </w:tcBorders>
            <w:shd w:val="clear" w:color="000000" w:fill="FFFFFF"/>
            <w:noWrap/>
            <w:vAlign w:val="bottom"/>
            <w:hideMark/>
          </w:tcPr>
          <w:p w14:paraId="42BD25AF"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438,365 </w:t>
            </w:r>
          </w:p>
        </w:tc>
        <w:tc>
          <w:tcPr>
            <w:tcW w:w="1251" w:type="dxa"/>
            <w:tcBorders>
              <w:top w:val="nil"/>
              <w:left w:val="nil"/>
              <w:bottom w:val="nil"/>
              <w:right w:val="nil"/>
            </w:tcBorders>
            <w:shd w:val="clear" w:color="000000" w:fill="FFFFFF"/>
            <w:noWrap/>
            <w:vAlign w:val="bottom"/>
            <w:hideMark/>
          </w:tcPr>
          <w:p w14:paraId="6D5B95DE"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438,365 </w:t>
            </w:r>
          </w:p>
        </w:tc>
        <w:tc>
          <w:tcPr>
            <w:tcW w:w="955" w:type="dxa"/>
            <w:tcBorders>
              <w:top w:val="nil"/>
              <w:left w:val="single" w:sz="8" w:space="0" w:color="auto"/>
              <w:bottom w:val="nil"/>
              <w:right w:val="single" w:sz="8" w:space="0" w:color="auto"/>
            </w:tcBorders>
            <w:shd w:val="clear" w:color="000000" w:fill="FFFFFF"/>
            <w:noWrap/>
            <w:vAlign w:val="bottom"/>
            <w:hideMark/>
          </w:tcPr>
          <w:p w14:paraId="6D916A0B" w14:textId="77777777" w:rsidR="006D6BA5" w:rsidRPr="006D6BA5" w:rsidRDefault="006D6BA5" w:rsidP="006D6BA5">
            <w:pPr>
              <w:spacing w:after="0" w:line="240" w:lineRule="auto"/>
              <w:jc w:val="right"/>
              <w:rPr>
                <w:rFonts w:ascii="Arial" w:eastAsia="Times New Roman" w:hAnsi="Arial" w:cs="Arial"/>
                <w:color w:val="000000"/>
                <w:sz w:val="12"/>
                <w:szCs w:val="12"/>
                <w:lang w:val="es-US" w:eastAsia="es-US"/>
              </w:rPr>
            </w:pPr>
            <w:r w:rsidRPr="006D6BA5">
              <w:rPr>
                <w:rFonts w:ascii="Arial" w:eastAsia="Times New Roman" w:hAnsi="Arial" w:cs="Arial"/>
                <w:color w:val="000000"/>
                <w:sz w:val="12"/>
                <w:szCs w:val="12"/>
                <w:lang w:val="es-US" w:eastAsia="es-US"/>
              </w:rPr>
              <w:t>0%</w:t>
            </w:r>
          </w:p>
        </w:tc>
      </w:tr>
      <w:tr w:rsidR="002810D0" w:rsidRPr="00C070CB" w14:paraId="760506DB" w14:textId="77777777" w:rsidTr="002810D0">
        <w:trPr>
          <w:trHeight w:val="57"/>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143F80DD"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1.3.9.0.00.00.0.0.000</w:t>
            </w:r>
          </w:p>
        </w:tc>
        <w:tc>
          <w:tcPr>
            <w:tcW w:w="4155" w:type="dxa"/>
            <w:tcBorders>
              <w:top w:val="nil"/>
              <w:left w:val="nil"/>
              <w:bottom w:val="nil"/>
              <w:right w:val="single" w:sz="8" w:space="0" w:color="auto"/>
            </w:tcBorders>
            <w:shd w:val="clear" w:color="000000" w:fill="FFFFFF"/>
            <w:noWrap/>
            <w:vAlign w:val="bottom"/>
            <w:hideMark/>
          </w:tcPr>
          <w:p w14:paraId="633F5E0C"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OTROS INGRESOS NO TRIBUTARIOS</w:t>
            </w:r>
          </w:p>
        </w:tc>
        <w:tc>
          <w:tcPr>
            <w:tcW w:w="1278" w:type="dxa"/>
            <w:tcBorders>
              <w:top w:val="nil"/>
              <w:left w:val="nil"/>
              <w:bottom w:val="nil"/>
              <w:right w:val="single" w:sz="8" w:space="0" w:color="auto"/>
            </w:tcBorders>
            <w:shd w:val="clear" w:color="000000" w:fill="FFFFFF"/>
            <w:noWrap/>
            <w:vAlign w:val="bottom"/>
            <w:hideMark/>
          </w:tcPr>
          <w:p w14:paraId="1107E24E"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49" w:type="dxa"/>
            <w:tcBorders>
              <w:top w:val="nil"/>
              <w:left w:val="nil"/>
              <w:bottom w:val="nil"/>
              <w:right w:val="single" w:sz="8" w:space="0" w:color="auto"/>
            </w:tcBorders>
            <w:shd w:val="clear" w:color="000000" w:fill="FFFFFF"/>
            <w:noWrap/>
            <w:vAlign w:val="bottom"/>
            <w:hideMark/>
          </w:tcPr>
          <w:p w14:paraId="76818C0C"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62E68DA9"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186" w:type="dxa"/>
            <w:tcBorders>
              <w:top w:val="nil"/>
              <w:left w:val="nil"/>
              <w:bottom w:val="nil"/>
              <w:right w:val="single" w:sz="8" w:space="0" w:color="auto"/>
            </w:tcBorders>
            <w:shd w:val="clear" w:color="000000" w:fill="FFFFFF"/>
            <w:noWrap/>
            <w:vAlign w:val="bottom"/>
            <w:hideMark/>
          </w:tcPr>
          <w:p w14:paraId="41D57C6A"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2,642,950 </w:t>
            </w:r>
          </w:p>
        </w:tc>
        <w:tc>
          <w:tcPr>
            <w:tcW w:w="1186" w:type="dxa"/>
            <w:tcBorders>
              <w:top w:val="nil"/>
              <w:left w:val="nil"/>
              <w:bottom w:val="nil"/>
              <w:right w:val="single" w:sz="8" w:space="0" w:color="auto"/>
            </w:tcBorders>
            <w:shd w:val="clear" w:color="000000" w:fill="FFFFFF"/>
            <w:noWrap/>
            <w:vAlign w:val="bottom"/>
            <w:hideMark/>
          </w:tcPr>
          <w:p w14:paraId="3612B730"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448,381 </w:t>
            </w:r>
          </w:p>
        </w:tc>
        <w:tc>
          <w:tcPr>
            <w:tcW w:w="1180" w:type="dxa"/>
            <w:tcBorders>
              <w:top w:val="nil"/>
              <w:left w:val="nil"/>
              <w:bottom w:val="nil"/>
              <w:right w:val="single" w:sz="8" w:space="0" w:color="auto"/>
            </w:tcBorders>
            <w:shd w:val="clear" w:color="000000" w:fill="FFFFFF"/>
            <w:noWrap/>
            <w:vAlign w:val="bottom"/>
            <w:hideMark/>
          </w:tcPr>
          <w:p w14:paraId="070A8DA0"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3,091,331 </w:t>
            </w:r>
          </w:p>
        </w:tc>
        <w:tc>
          <w:tcPr>
            <w:tcW w:w="1251" w:type="dxa"/>
            <w:tcBorders>
              <w:top w:val="nil"/>
              <w:left w:val="nil"/>
              <w:bottom w:val="nil"/>
              <w:right w:val="nil"/>
            </w:tcBorders>
            <w:shd w:val="clear" w:color="000000" w:fill="FFFFFF"/>
            <w:noWrap/>
            <w:vAlign w:val="bottom"/>
            <w:hideMark/>
          </w:tcPr>
          <w:p w14:paraId="3AE7D6CB"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3,091,331 </w:t>
            </w:r>
          </w:p>
        </w:tc>
        <w:tc>
          <w:tcPr>
            <w:tcW w:w="955" w:type="dxa"/>
            <w:tcBorders>
              <w:top w:val="nil"/>
              <w:left w:val="single" w:sz="8" w:space="0" w:color="auto"/>
              <w:bottom w:val="nil"/>
              <w:right w:val="single" w:sz="8" w:space="0" w:color="auto"/>
            </w:tcBorders>
            <w:shd w:val="clear" w:color="000000" w:fill="FFFFFF"/>
            <w:noWrap/>
            <w:vAlign w:val="bottom"/>
            <w:hideMark/>
          </w:tcPr>
          <w:p w14:paraId="6B27EEE7" w14:textId="77777777" w:rsidR="006D6BA5" w:rsidRPr="006D6BA5" w:rsidRDefault="006D6BA5" w:rsidP="006D6BA5">
            <w:pPr>
              <w:spacing w:after="0" w:line="240" w:lineRule="auto"/>
              <w:jc w:val="right"/>
              <w:rPr>
                <w:rFonts w:ascii="Arial" w:eastAsia="Times New Roman" w:hAnsi="Arial" w:cs="Arial"/>
                <w:b/>
                <w:bCs/>
                <w:color w:val="000000"/>
                <w:sz w:val="12"/>
                <w:szCs w:val="12"/>
                <w:lang w:val="es-US" w:eastAsia="es-US"/>
              </w:rPr>
            </w:pPr>
            <w:r w:rsidRPr="006D6BA5">
              <w:rPr>
                <w:rFonts w:ascii="Arial" w:eastAsia="Times New Roman" w:hAnsi="Arial" w:cs="Arial"/>
                <w:b/>
                <w:bCs/>
                <w:color w:val="000000"/>
                <w:sz w:val="12"/>
                <w:szCs w:val="12"/>
                <w:lang w:val="es-US" w:eastAsia="es-US"/>
              </w:rPr>
              <w:t>0%</w:t>
            </w:r>
          </w:p>
        </w:tc>
      </w:tr>
      <w:tr w:rsidR="002810D0" w:rsidRPr="00C070CB" w14:paraId="26F12876" w14:textId="77777777" w:rsidTr="002810D0">
        <w:trPr>
          <w:trHeight w:val="57"/>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39E4F1FA"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1.3.9.1.00.00.0.0.000</w:t>
            </w:r>
          </w:p>
        </w:tc>
        <w:tc>
          <w:tcPr>
            <w:tcW w:w="4155" w:type="dxa"/>
            <w:tcBorders>
              <w:top w:val="nil"/>
              <w:left w:val="nil"/>
              <w:bottom w:val="nil"/>
              <w:right w:val="single" w:sz="8" w:space="0" w:color="auto"/>
            </w:tcBorders>
            <w:shd w:val="clear" w:color="000000" w:fill="FFFFFF"/>
            <w:noWrap/>
            <w:vAlign w:val="bottom"/>
            <w:hideMark/>
          </w:tcPr>
          <w:p w14:paraId="1F23C563"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REINTEGROS Y DEVOLUCIONES</w:t>
            </w:r>
          </w:p>
        </w:tc>
        <w:tc>
          <w:tcPr>
            <w:tcW w:w="1278" w:type="dxa"/>
            <w:tcBorders>
              <w:top w:val="nil"/>
              <w:left w:val="nil"/>
              <w:bottom w:val="nil"/>
              <w:right w:val="single" w:sz="8" w:space="0" w:color="auto"/>
            </w:tcBorders>
            <w:shd w:val="clear" w:color="000000" w:fill="FFFFFF"/>
            <w:noWrap/>
            <w:vAlign w:val="bottom"/>
            <w:hideMark/>
          </w:tcPr>
          <w:p w14:paraId="3A5817F8"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49" w:type="dxa"/>
            <w:tcBorders>
              <w:top w:val="nil"/>
              <w:left w:val="nil"/>
              <w:bottom w:val="nil"/>
              <w:right w:val="single" w:sz="8" w:space="0" w:color="auto"/>
            </w:tcBorders>
            <w:shd w:val="clear" w:color="000000" w:fill="FFFFFF"/>
            <w:noWrap/>
            <w:vAlign w:val="bottom"/>
            <w:hideMark/>
          </w:tcPr>
          <w:p w14:paraId="609C56FD"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68C21634"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186" w:type="dxa"/>
            <w:tcBorders>
              <w:top w:val="nil"/>
              <w:left w:val="nil"/>
              <w:bottom w:val="nil"/>
              <w:right w:val="single" w:sz="8" w:space="0" w:color="auto"/>
            </w:tcBorders>
            <w:shd w:val="clear" w:color="000000" w:fill="FFFFFF"/>
            <w:noWrap/>
            <w:vAlign w:val="bottom"/>
            <w:hideMark/>
          </w:tcPr>
          <w:p w14:paraId="78DAB11D"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2,495,950 </w:t>
            </w:r>
          </w:p>
        </w:tc>
        <w:tc>
          <w:tcPr>
            <w:tcW w:w="1186" w:type="dxa"/>
            <w:tcBorders>
              <w:top w:val="nil"/>
              <w:left w:val="nil"/>
              <w:bottom w:val="nil"/>
              <w:right w:val="single" w:sz="8" w:space="0" w:color="auto"/>
            </w:tcBorders>
            <w:shd w:val="clear" w:color="000000" w:fill="FFFFFF"/>
            <w:noWrap/>
            <w:vAlign w:val="bottom"/>
            <w:hideMark/>
          </w:tcPr>
          <w:p w14:paraId="78C998C6"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448,381 </w:t>
            </w:r>
          </w:p>
        </w:tc>
        <w:tc>
          <w:tcPr>
            <w:tcW w:w="1180" w:type="dxa"/>
            <w:tcBorders>
              <w:top w:val="nil"/>
              <w:left w:val="nil"/>
              <w:bottom w:val="nil"/>
              <w:right w:val="single" w:sz="8" w:space="0" w:color="auto"/>
            </w:tcBorders>
            <w:shd w:val="clear" w:color="000000" w:fill="FFFFFF"/>
            <w:noWrap/>
            <w:vAlign w:val="bottom"/>
            <w:hideMark/>
          </w:tcPr>
          <w:p w14:paraId="68F6CBDA"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2,944,331 </w:t>
            </w:r>
          </w:p>
        </w:tc>
        <w:tc>
          <w:tcPr>
            <w:tcW w:w="1251" w:type="dxa"/>
            <w:tcBorders>
              <w:top w:val="nil"/>
              <w:left w:val="nil"/>
              <w:bottom w:val="nil"/>
              <w:right w:val="nil"/>
            </w:tcBorders>
            <w:shd w:val="clear" w:color="000000" w:fill="FFFFFF"/>
            <w:noWrap/>
            <w:vAlign w:val="bottom"/>
            <w:hideMark/>
          </w:tcPr>
          <w:p w14:paraId="5EF76800"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2,944,331 </w:t>
            </w:r>
          </w:p>
        </w:tc>
        <w:tc>
          <w:tcPr>
            <w:tcW w:w="955" w:type="dxa"/>
            <w:tcBorders>
              <w:top w:val="nil"/>
              <w:left w:val="single" w:sz="8" w:space="0" w:color="auto"/>
              <w:bottom w:val="nil"/>
              <w:right w:val="single" w:sz="8" w:space="0" w:color="auto"/>
            </w:tcBorders>
            <w:shd w:val="clear" w:color="000000" w:fill="FFFFFF"/>
            <w:noWrap/>
            <w:vAlign w:val="bottom"/>
            <w:hideMark/>
          </w:tcPr>
          <w:p w14:paraId="545DA0DD" w14:textId="77777777" w:rsidR="006D6BA5" w:rsidRPr="006D6BA5" w:rsidRDefault="006D6BA5" w:rsidP="006D6BA5">
            <w:pPr>
              <w:spacing w:after="0" w:line="240" w:lineRule="auto"/>
              <w:jc w:val="right"/>
              <w:rPr>
                <w:rFonts w:ascii="Arial" w:eastAsia="Times New Roman" w:hAnsi="Arial" w:cs="Arial"/>
                <w:color w:val="000000"/>
                <w:sz w:val="12"/>
                <w:szCs w:val="12"/>
                <w:lang w:val="es-US" w:eastAsia="es-US"/>
              </w:rPr>
            </w:pPr>
            <w:r w:rsidRPr="006D6BA5">
              <w:rPr>
                <w:rFonts w:ascii="Arial" w:eastAsia="Times New Roman" w:hAnsi="Arial" w:cs="Arial"/>
                <w:color w:val="000000"/>
                <w:sz w:val="12"/>
                <w:szCs w:val="12"/>
                <w:lang w:val="es-US" w:eastAsia="es-US"/>
              </w:rPr>
              <w:t>0%</w:t>
            </w:r>
          </w:p>
        </w:tc>
      </w:tr>
      <w:tr w:rsidR="002810D0" w:rsidRPr="00C070CB" w14:paraId="24A8C8FD" w14:textId="77777777" w:rsidTr="002810D0">
        <w:trPr>
          <w:trHeight w:val="57"/>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0CA9F91B"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1.3.9.9.00.00.0.0.000</w:t>
            </w:r>
          </w:p>
        </w:tc>
        <w:tc>
          <w:tcPr>
            <w:tcW w:w="4155" w:type="dxa"/>
            <w:tcBorders>
              <w:top w:val="nil"/>
              <w:left w:val="nil"/>
              <w:bottom w:val="nil"/>
              <w:right w:val="single" w:sz="8" w:space="0" w:color="auto"/>
            </w:tcBorders>
            <w:shd w:val="clear" w:color="000000" w:fill="FFFFFF"/>
            <w:noWrap/>
            <w:vAlign w:val="bottom"/>
            <w:hideMark/>
          </w:tcPr>
          <w:p w14:paraId="6FC64A29"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INGRESOS VARIOS NO ESPECIFICADOS</w:t>
            </w:r>
          </w:p>
        </w:tc>
        <w:tc>
          <w:tcPr>
            <w:tcW w:w="1278" w:type="dxa"/>
            <w:tcBorders>
              <w:top w:val="nil"/>
              <w:left w:val="nil"/>
              <w:bottom w:val="nil"/>
              <w:right w:val="single" w:sz="8" w:space="0" w:color="auto"/>
            </w:tcBorders>
            <w:shd w:val="clear" w:color="000000" w:fill="FFFFFF"/>
            <w:noWrap/>
            <w:vAlign w:val="bottom"/>
            <w:hideMark/>
          </w:tcPr>
          <w:p w14:paraId="2518006E"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49" w:type="dxa"/>
            <w:tcBorders>
              <w:top w:val="nil"/>
              <w:left w:val="nil"/>
              <w:bottom w:val="nil"/>
              <w:right w:val="single" w:sz="8" w:space="0" w:color="auto"/>
            </w:tcBorders>
            <w:shd w:val="clear" w:color="000000" w:fill="FFFFFF"/>
            <w:noWrap/>
            <w:vAlign w:val="bottom"/>
            <w:hideMark/>
          </w:tcPr>
          <w:p w14:paraId="24D5476A"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252183FA"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w:t>
            </w:r>
          </w:p>
        </w:tc>
        <w:tc>
          <w:tcPr>
            <w:tcW w:w="1186" w:type="dxa"/>
            <w:tcBorders>
              <w:top w:val="nil"/>
              <w:left w:val="nil"/>
              <w:bottom w:val="nil"/>
              <w:right w:val="single" w:sz="8" w:space="0" w:color="auto"/>
            </w:tcBorders>
            <w:shd w:val="clear" w:color="000000" w:fill="FFFFFF"/>
            <w:noWrap/>
            <w:vAlign w:val="bottom"/>
            <w:hideMark/>
          </w:tcPr>
          <w:p w14:paraId="11D0D8D4"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147,000 </w:t>
            </w:r>
          </w:p>
        </w:tc>
        <w:tc>
          <w:tcPr>
            <w:tcW w:w="1186" w:type="dxa"/>
            <w:tcBorders>
              <w:top w:val="nil"/>
              <w:left w:val="nil"/>
              <w:bottom w:val="nil"/>
              <w:right w:val="single" w:sz="8" w:space="0" w:color="auto"/>
            </w:tcBorders>
            <w:shd w:val="clear" w:color="000000" w:fill="FFFFFF"/>
            <w:noWrap/>
            <w:vAlign w:val="bottom"/>
            <w:hideMark/>
          </w:tcPr>
          <w:p w14:paraId="141AE9AD"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180" w:type="dxa"/>
            <w:tcBorders>
              <w:top w:val="nil"/>
              <w:left w:val="nil"/>
              <w:bottom w:val="nil"/>
              <w:right w:val="single" w:sz="8" w:space="0" w:color="auto"/>
            </w:tcBorders>
            <w:shd w:val="clear" w:color="000000" w:fill="FFFFFF"/>
            <w:noWrap/>
            <w:vAlign w:val="bottom"/>
            <w:hideMark/>
          </w:tcPr>
          <w:p w14:paraId="67834F36"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147,000 </w:t>
            </w:r>
          </w:p>
        </w:tc>
        <w:tc>
          <w:tcPr>
            <w:tcW w:w="1251" w:type="dxa"/>
            <w:tcBorders>
              <w:top w:val="nil"/>
              <w:left w:val="nil"/>
              <w:bottom w:val="nil"/>
              <w:right w:val="nil"/>
            </w:tcBorders>
            <w:shd w:val="clear" w:color="000000" w:fill="FFFFFF"/>
            <w:noWrap/>
            <w:vAlign w:val="bottom"/>
            <w:hideMark/>
          </w:tcPr>
          <w:p w14:paraId="3382C1C1"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147,000 </w:t>
            </w:r>
          </w:p>
        </w:tc>
        <w:tc>
          <w:tcPr>
            <w:tcW w:w="955" w:type="dxa"/>
            <w:tcBorders>
              <w:top w:val="nil"/>
              <w:left w:val="single" w:sz="8" w:space="0" w:color="auto"/>
              <w:bottom w:val="nil"/>
              <w:right w:val="single" w:sz="8" w:space="0" w:color="auto"/>
            </w:tcBorders>
            <w:shd w:val="clear" w:color="000000" w:fill="FFFFFF"/>
            <w:noWrap/>
            <w:vAlign w:val="bottom"/>
            <w:hideMark/>
          </w:tcPr>
          <w:p w14:paraId="3A4FDB9C" w14:textId="77777777" w:rsidR="006D6BA5" w:rsidRPr="006D6BA5" w:rsidRDefault="006D6BA5" w:rsidP="006D6BA5">
            <w:pPr>
              <w:spacing w:after="0" w:line="240" w:lineRule="auto"/>
              <w:jc w:val="right"/>
              <w:rPr>
                <w:rFonts w:ascii="Arial" w:eastAsia="Times New Roman" w:hAnsi="Arial" w:cs="Arial"/>
                <w:color w:val="000000"/>
                <w:sz w:val="12"/>
                <w:szCs w:val="12"/>
                <w:lang w:val="es-US" w:eastAsia="es-US"/>
              </w:rPr>
            </w:pPr>
            <w:r w:rsidRPr="006D6BA5">
              <w:rPr>
                <w:rFonts w:ascii="Arial" w:eastAsia="Times New Roman" w:hAnsi="Arial" w:cs="Arial"/>
                <w:color w:val="000000"/>
                <w:sz w:val="12"/>
                <w:szCs w:val="12"/>
                <w:lang w:val="es-US" w:eastAsia="es-US"/>
              </w:rPr>
              <w:t>0%</w:t>
            </w:r>
          </w:p>
        </w:tc>
      </w:tr>
      <w:tr w:rsidR="002810D0" w:rsidRPr="00C070CB" w14:paraId="2EDF9504" w14:textId="77777777" w:rsidTr="002810D0">
        <w:trPr>
          <w:trHeight w:val="74"/>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7A33592A"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1.4.0.0.00.00.0.0.000</w:t>
            </w:r>
          </w:p>
        </w:tc>
        <w:tc>
          <w:tcPr>
            <w:tcW w:w="4155" w:type="dxa"/>
            <w:tcBorders>
              <w:top w:val="nil"/>
              <w:left w:val="nil"/>
              <w:bottom w:val="nil"/>
              <w:right w:val="single" w:sz="8" w:space="0" w:color="auto"/>
            </w:tcBorders>
            <w:shd w:val="clear" w:color="000000" w:fill="FFFFFF"/>
            <w:noWrap/>
            <w:vAlign w:val="bottom"/>
            <w:hideMark/>
          </w:tcPr>
          <w:p w14:paraId="1EF0967F"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TRANSFERENCIAS CORRIENTES</w:t>
            </w:r>
          </w:p>
        </w:tc>
        <w:tc>
          <w:tcPr>
            <w:tcW w:w="1278" w:type="dxa"/>
            <w:tcBorders>
              <w:top w:val="nil"/>
              <w:left w:val="nil"/>
              <w:bottom w:val="nil"/>
              <w:right w:val="single" w:sz="8" w:space="0" w:color="auto"/>
            </w:tcBorders>
            <w:shd w:val="clear" w:color="000000" w:fill="FFFFFF"/>
            <w:noWrap/>
            <w:vAlign w:val="bottom"/>
            <w:hideMark/>
          </w:tcPr>
          <w:p w14:paraId="0ECA51E4"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30,000,000 </w:t>
            </w:r>
          </w:p>
        </w:tc>
        <w:tc>
          <w:tcPr>
            <w:tcW w:w="1249" w:type="dxa"/>
            <w:tcBorders>
              <w:top w:val="nil"/>
              <w:left w:val="nil"/>
              <w:bottom w:val="nil"/>
              <w:right w:val="single" w:sz="8" w:space="0" w:color="auto"/>
            </w:tcBorders>
            <w:shd w:val="clear" w:color="000000" w:fill="FFFFFF"/>
            <w:noWrap/>
            <w:vAlign w:val="bottom"/>
            <w:hideMark/>
          </w:tcPr>
          <w:p w14:paraId="02B463CF"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5D65B6B7"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30,000,000 </w:t>
            </w:r>
          </w:p>
        </w:tc>
        <w:tc>
          <w:tcPr>
            <w:tcW w:w="1186" w:type="dxa"/>
            <w:tcBorders>
              <w:top w:val="nil"/>
              <w:left w:val="nil"/>
              <w:bottom w:val="nil"/>
              <w:right w:val="single" w:sz="8" w:space="0" w:color="auto"/>
            </w:tcBorders>
            <w:shd w:val="clear" w:color="000000" w:fill="FFFFFF"/>
            <w:noWrap/>
            <w:vAlign w:val="bottom"/>
            <w:hideMark/>
          </w:tcPr>
          <w:p w14:paraId="221F855E"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30,000,000 </w:t>
            </w:r>
          </w:p>
        </w:tc>
        <w:tc>
          <w:tcPr>
            <w:tcW w:w="1186" w:type="dxa"/>
            <w:tcBorders>
              <w:top w:val="nil"/>
              <w:left w:val="nil"/>
              <w:bottom w:val="nil"/>
              <w:right w:val="single" w:sz="8" w:space="0" w:color="auto"/>
            </w:tcBorders>
            <w:shd w:val="clear" w:color="000000" w:fill="FFFFFF"/>
            <w:noWrap/>
            <w:vAlign w:val="bottom"/>
            <w:hideMark/>
          </w:tcPr>
          <w:p w14:paraId="2E4C2D6F"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15,130,455,225 </w:t>
            </w:r>
          </w:p>
        </w:tc>
        <w:tc>
          <w:tcPr>
            <w:tcW w:w="1180" w:type="dxa"/>
            <w:tcBorders>
              <w:top w:val="nil"/>
              <w:left w:val="nil"/>
              <w:bottom w:val="nil"/>
              <w:right w:val="single" w:sz="8" w:space="0" w:color="auto"/>
            </w:tcBorders>
            <w:shd w:val="clear" w:color="000000" w:fill="FFFFFF"/>
            <w:noWrap/>
            <w:vAlign w:val="bottom"/>
            <w:hideMark/>
          </w:tcPr>
          <w:p w14:paraId="3B77BD56"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15,160,455,225 </w:t>
            </w:r>
          </w:p>
        </w:tc>
        <w:tc>
          <w:tcPr>
            <w:tcW w:w="1251" w:type="dxa"/>
            <w:tcBorders>
              <w:top w:val="nil"/>
              <w:left w:val="nil"/>
              <w:bottom w:val="nil"/>
              <w:right w:val="nil"/>
            </w:tcBorders>
            <w:shd w:val="clear" w:color="000000" w:fill="FFFFFF"/>
            <w:noWrap/>
            <w:vAlign w:val="bottom"/>
            <w:hideMark/>
          </w:tcPr>
          <w:p w14:paraId="7BA7670D"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955" w:type="dxa"/>
            <w:tcBorders>
              <w:top w:val="nil"/>
              <w:left w:val="single" w:sz="8" w:space="0" w:color="auto"/>
              <w:bottom w:val="nil"/>
              <w:right w:val="single" w:sz="8" w:space="0" w:color="auto"/>
            </w:tcBorders>
            <w:shd w:val="clear" w:color="000000" w:fill="FFFFFF"/>
            <w:noWrap/>
            <w:vAlign w:val="bottom"/>
            <w:hideMark/>
          </w:tcPr>
          <w:p w14:paraId="6029639E" w14:textId="77777777" w:rsidR="006D6BA5" w:rsidRPr="006D6BA5" w:rsidRDefault="006D6BA5" w:rsidP="006D6BA5">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50535%</w:t>
            </w:r>
          </w:p>
        </w:tc>
      </w:tr>
      <w:tr w:rsidR="002810D0" w:rsidRPr="00C070CB" w14:paraId="3FC9599E" w14:textId="77777777" w:rsidTr="002810D0">
        <w:trPr>
          <w:trHeight w:val="74"/>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52649484"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1.4.1.0.00.00.0.0.000</w:t>
            </w:r>
          </w:p>
        </w:tc>
        <w:tc>
          <w:tcPr>
            <w:tcW w:w="4155" w:type="dxa"/>
            <w:tcBorders>
              <w:top w:val="nil"/>
              <w:left w:val="nil"/>
              <w:bottom w:val="nil"/>
              <w:right w:val="single" w:sz="8" w:space="0" w:color="auto"/>
            </w:tcBorders>
            <w:shd w:val="clear" w:color="000000" w:fill="FFFFFF"/>
            <w:noWrap/>
            <w:vAlign w:val="bottom"/>
            <w:hideMark/>
          </w:tcPr>
          <w:p w14:paraId="77A27287"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TRANSFERENCIAS CORRIENTES DEL SECTOR PUBLICO</w:t>
            </w:r>
          </w:p>
        </w:tc>
        <w:tc>
          <w:tcPr>
            <w:tcW w:w="1278" w:type="dxa"/>
            <w:tcBorders>
              <w:top w:val="nil"/>
              <w:left w:val="nil"/>
              <w:bottom w:val="nil"/>
              <w:right w:val="single" w:sz="8" w:space="0" w:color="auto"/>
            </w:tcBorders>
            <w:shd w:val="clear" w:color="000000" w:fill="FFFFFF"/>
            <w:noWrap/>
            <w:vAlign w:val="bottom"/>
            <w:hideMark/>
          </w:tcPr>
          <w:p w14:paraId="2E10986F"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30,000,000 </w:t>
            </w:r>
          </w:p>
        </w:tc>
        <w:tc>
          <w:tcPr>
            <w:tcW w:w="1249" w:type="dxa"/>
            <w:tcBorders>
              <w:top w:val="nil"/>
              <w:left w:val="nil"/>
              <w:bottom w:val="nil"/>
              <w:right w:val="single" w:sz="8" w:space="0" w:color="auto"/>
            </w:tcBorders>
            <w:shd w:val="clear" w:color="000000" w:fill="FFFFFF"/>
            <w:noWrap/>
            <w:vAlign w:val="bottom"/>
            <w:hideMark/>
          </w:tcPr>
          <w:p w14:paraId="4DB4A9AC"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26DE130A"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30,000,000 </w:t>
            </w:r>
          </w:p>
        </w:tc>
        <w:tc>
          <w:tcPr>
            <w:tcW w:w="1186" w:type="dxa"/>
            <w:tcBorders>
              <w:top w:val="nil"/>
              <w:left w:val="nil"/>
              <w:bottom w:val="nil"/>
              <w:right w:val="single" w:sz="8" w:space="0" w:color="auto"/>
            </w:tcBorders>
            <w:shd w:val="clear" w:color="000000" w:fill="FFFFFF"/>
            <w:noWrap/>
            <w:vAlign w:val="bottom"/>
            <w:hideMark/>
          </w:tcPr>
          <w:p w14:paraId="308D1B29"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30,000,000 </w:t>
            </w:r>
          </w:p>
        </w:tc>
        <w:tc>
          <w:tcPr>
            <w:tcW w:w="1186" w:type="dxa"/>
            <w:tcBorders>
              <w:top w:val="nil"/>
              <w:left w:val="nil"/>
              <w:bottom w:val="nil"/>
              <w:right w:val="single" w:sz="8" w:space="0" w:color="auto"/>
            </w:tcBorders>
            <w:shd w:val="clear" w:color="000000" w:fill="FFFFFF"/>
            <w:noWrap/>
            <w:vAlign w:val="bottom"/>
            <w:hideMark/>
          </w:tcPr>
          <w:p w14:paraId="3057B409"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15,130,455,225 </w:t>
            </w:r>
          </w:p>
        </w:tc>
        <w:tc>
          <w:tcPr>
            <w:tcW w:w="1180" w:type="dxa"/>
            <w:tcBorders>
              <w:top w:val="nil"/>
              <w:left w:val="nil"/>
              <w:bottom w:val="nil"/>
              <w:right w:val="single" w:sz="8" w:space="0" w:color="auto"/>
            </w:tcBorders>
            <w:shd w:val="clear" w:color="000000" w:fill="FFFFFF"/>
            <w:noWrap/>
            <w:vAlign w:val="bottom"/>
            <w:hideMark/>
          </w:tcPr>
          <w:p w14:paraId="2FA28354"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15,160,455,225 </w:t>
            </w:r>
          </w:p>
        </w:tc>
        <w:tc>
          <w:tcPr>
            <w:tcW w:w="1251" w:type="dxa"/>
            <w:tcBorders>
              <w:top w:val="nil"/>
              <w:left w:val="nil"/>
              <w:bottom w:val="nil"/>
              <w:right w:val="nil"/>
            </w:tcBorders>
            <w:shd w:val="clear" w:color="000000" w:fill="FFFFFF"/>
            <w:noWrap/>
            <w:vAlign w:val="bottom"/>
            <w:hideMark/>
          </w:tcPr>
          <w:p w14:paraId="089500FD"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955" w:type="dxa"/>
            <w:tcBorders>
              <w:top w:val="nil"/>
              <w:left w:val="single" w:sz="8" w:space="0" w:color="auto"/>
              <w:bottom w:val="nil"/>
              <w:right w:val="single" w:sz="8" w:space="0" w:color="auto"/>
            </w:tcBorders>
            <w:shd w:val="clear" w:color="000000" w:fill="FFFFFF"/>
            <w:noWrap/>
            <w:vAlign w:val="bottom"/>
            <w:hideMark/>
          </w:tcPr>
          <w:p w14:paraId="5753AAB9" w14:textId="77777777" w:rsidR="006D6BA5" w:rsidRPr="006D6BA5" w:rsidRDefault="006D6BA5" w:rsidP="006D6BA5">
            <w:pPr>
              <w:spacing w:after="0" w:line="240" w:lineRule="auto"/>
              <w:jc w:val="right"/>
              <w:rPr>
                <w:rFonts w:ascii="Arial" w:eastAsia="Times New Roman" w:hAnsi="Arial" w:cs="Arial"/>
                <w:b/>
                <w:bCs/>
                <w:color w:val="000000"/>
                <w:sz w:val="12"/>
                <w:szCs w:val="12"/>
                <w:lang w:val="es-US" w:eastAsia="es-US"/>
              </w:rPr>
            </w:pPr>
            <w:r w:rsidRPr="006D6BA5">
              <w:rPr>
                <w:rFonts w:ascii="Arial" w:eastAsia="Times New Roman" w:hAnsi="Arial" w:cs="Arial"/>
                <w:b/>
                <w:bCs/>
                <w:color w:val="000000"/>
                <w:sz w:val="12"/>
                <w:szCs w:val="12"/>
                <w:lang w:val="es-US" w:eastAsia="es-US"/>
              </w:rPr>
              <w:t>50535%</w:t>
            </w:r>
          </w:p>
        </w:tc>
      </w:tr>
      <w:tr w:rsidR="002810D0" w:rsidRPr="00C070CB" w14:paraId="1EB6E271" w14:textId="77777777" w:rsidTr="002810D0">
        <w:trPr>
          <w:trHeight w:val="57"/>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2A7FD725"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1.4.1.1.00.00.0.0.000</w:t>
            </w:r>
          </w:p>
        </w:tc>
        <w:tc>
          <w:tcPr>
            <w:tcW w:w="4155" w:type="dxa"/>
            <w:tcBorders>
              <w:top w:val="nil"/>
              <w:left w:val="nil"/>
              <w:bottom w:val="nil"/>
              <w:right w:val="single" w:sz="8" w:space="0" w:color="auto"/>
            </w:tcBorders>
            <w:shd w:val="clear" w:color="000000" w:fill="FFFFFF"/>
            <w:noWrap/>
            <w:vAlign w:val="bottom"/>
            <w:hideMark/>
          </w:tcPr>
          <w:p w14:paraId="056D6AA1"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TRANSFERENCIAS CORRIENTES DEL GOBIERNO CENTRAL</w:t>
            </w:r>
          </w:p>
        </w:tc>
        <w:tc>
          <w:tcPr>
            <w:tcW w:w="1278" w:type="dxa"/>
            <w:tcBorders>
              <w:top w:val="nil"/>
              <w:left w:val="nil"/>
              <w:bottom w:val="nil"/>
              <w:right w:val="single" w:sz="8" w:space="0" w:color="auto"/>
            </w:tcBorders>
            <w:shd w:val="clear" w:color="000000" w:fill="FFFFFF"/>
            <w:noWrap/>
            <w:vAlign w:val="bottom"/>
            <w:hideMark/>
          </w:tcPr>
          <w:p w14:paraId="51A06134"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30,000,000 </w:t>
            </w:r>
          </w:p>
        </w:tc>
        <w:tc>
          <w:tcPr>
            <w:tcW w:w="1249" w:type="dxa"/>
            <w:tcBorders>
              <w:top w:val="nil"/>
              <w:left w:val="nil"/>
              <w:bottom w:val="nil"/>
              <w:right w:val="single" w:sz="8" w:space="0" w:color="auto"/>
            </w:tcBorders>
            <w:shd w:val="clear" w:color="000000" w:fill="FFFFFF"/>
            <w:noWrap/>
            <w:vAlign w:val="bottom"/>
            <w:hideMark/>
          </w:tcPr>
          <w:p w14:paraId="10BDE302"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5FBA7268"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30,000,000 </w:t>
            </w:r>
          </w:p>
        </w:tc>
        <w:tc>
          <w:tcPr>
            <w:tcW w:w="1186" w:type="dxa"/>
            <w:tcBorders>
              <w:top w:val="nil"/>
              <w:left w:val="nil"/>
              <w:bottom w:val="nil"/>
              <w:right w:val="single" w:sz="8" w:space="0" w:color="auto"/>
            </w:tcBorders>
            <w:shd w:val="clear" w:color="000000" w:fill="FFFFFF"/>
            <w:noWrap/>
            <w:vAlign w:val="bottom"/>
            <w:hideMark/>
          </w:tcPr>
          <w:p w14:paraId="0EC3DFD8"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30,000,000 </w:t>
            </w:r>
          </w:p>
        </w:tc>
        <w:tc>
          <w:tcPr>
            <w:tcW w:w="1186" w:type="dxa"/>
            <w:tcBorders>
              <w:top w:val="nil"/>
              <w:left w:val="nil"/>
              <w:bottom w:val="nil"/>
              <w:right w:val="single" w:sz="8" w:space="0" w:color="auto"/>
            </w:tcBorders>
            <w:shd w:val="clear" w:color="000000" w:fill="FFFFFF"/>
            <w:noWrap/>
            <w:vAlign w:val="bottom"/>
            <w:hideMark/>
          </w:tcPr>
          <w:p w14:paraId="0B6F0FB4"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180" w:type="dxa"/>
            <w:tcBorders>
              <w:top w:val="nil"/>
              <w:left w:val="nil"/>
              <w:bottom w:val="nil"/>
              <w:right w:val="single" w:sz="8" w:space="0" w:color="auto"/>
            </w:tcBorders>
            <w:shd w:val="clear" w:color="000000" w:fill="FFFFFF"/>
            <w:noWrap/>
            <w:vAlign w:val="bottom"/>
            <w:hideMark/>
          </w:tcPr>
          <w:p w14:paraId="3EBA22A4"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30,000,000 </w:t>
            </w:r>
          </w:p>
        </w:tc>
        <w:tc>
          <w:tcPr>
            <w:tcW w:w="1251" w:type="dxa"/>
            <w:tcBorders>
              <w:top w:val="nil"/>
              <w:left w:val="nil"/>
              <w:bottom w:val="nil"/>
              <w:right w:val="nil"/>
            </w:tcBorders>
            <w:shd w:val="clear" w:color="000000" w:fill="FFFFFF"/>
            <w:noWrap/>
            <w:vAlign w:val="bottom"/>
            <w:hideMark/>
          </w:tcPr>
          <w:p w14:paraId="05CFB48A"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955" w:type="dxa"/>
            <w:tcBorders>
              <w:top w:val="nil"/>
              <w:left w:val="single" w:sz="8" w:space="0" w:color="auto"/>
              <w:bottom w:val="nil"/>
              <w:right w:val="single" w:sz="8" w:space="0" w:color="auto"/>
            </w:tcBorders>
            <w:shd w:val="clear" w:color="000000" w:fill="FFFFFF"/>
            <w:noWrap/>
            <w:vAlign w:val="bottom"/>
            <w:hideMark/>
          </w:tcPr>
          <w:p w14:paraId="0C4DC623" w14:textId="77777777" w:rsidR="006D6BA5" w:rsidRPr="006D6BA5" w:rsidRDefault="006D6BA5" w:rsidP="006D6BA5">
            <w:pPr>
              <w:spacing w:after="0" w:line="240" w:lineRule="auto"/>
              <w:jc w:val="right"/>
              <w:rPr>
                <w:rFonts w:ascii="Arial" w:eastAsia="Times New Roman" w:hAnsi="Arial" w:cs="Arial"/>
                <w:color w:val="000000"/>
                <w:sz w:val="12"/>
                <w:szCs w:val="12"/>
                <w:lang w:val="es-US" w:eastAsia="es-US"/>
              </w:rPr>
            </w:pPr>
            <w:r w:rsidRPr="006D6BA5">
              <w:rPr>
                <w:rFonts w:ascii="Arial" w:eastAsia="Times New Roman" w:hAnsi="Arial" w:cs="Arial"/>
                <w:color w:val="000000"/>
                <w:sz w:val="12"/>
                <w:szCs w:val="12"/>
                <w:lang w:val="es-US" w:eastAsia="es-US"/>
              </w:rPr>
              <w:t>100%</w:t>
            </w:r>
          </w:p>
        </w:tc>
      </w:tr>
      <w:tr w:rsidR="002810D0" w:rsidRPr="00C070CB" w14:paraId="5E92D4F3" w14:textId="77777777" w:rsidTr="002810D0">
        <w:trPr>
          <w:trHeight w:val="4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6919C597"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1.4.3.1.00.00.0.0.000</w:t>
            </w:r>
          </w:p>
        </w:tc>
        <w:tc>
          <w:tcPr>
            <w:tcW w:w="4155" w:type="dxa"/>
            <w:tcBorders>
              <w:top w:val="nil"/>
              <w:left w:val="nil"/>
              <w:bottom w:val="nil"/>
              <w:right w:val="single" w:sz="8" w:space="0" w:color="auto"/>
            </w:tcBorders>
            <w:shd w:val="clear" w:color="000000" w:fill="FFFFFF"/>
            <w:noWrap/>
            <w:vAlign w:val="bottom"/>
            <w:hideMark/>
          </w:tcPr>
          <w:p w14:paraId="1CBE2912" w14:textId="3405D6D4"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TRANS</w:t>
            </w:r>
            <w:r w:rsidR="00C070CB">
              <w:rPr>
                <w:rFonts w:ascii="Arial" w:eastAsia="Times New Roman" w:hAnsi="Arial" w:cs="Arial"/>
                <w:sz w:val="12"/>
                <w:szCs w:val="12"/>
                <w:lang w:val="es-US" w:eastAsia="es-US"/>
              </w:rPr>
              <w:t>.</w:t>
            </w:r>
            <w:r w:rsidRPr="006D6BA5">
              <w:rPr>
                <w:rFonts w:ascii="Arial" w:eastAsia="Times New Roman" w:hAnsi="Arial" w:cs="Arial"/>
                <w:sz w:val="12"/>
                <w:szCs w:val="12"/>
                <w:lang w:val="es-US" w:eastAsia="es-US"/>
              </w:rPr>
              <w:t xml:space="preserve"> CORRIENTES DE ORGANISMOS INTERNACIONALES</w:t>
            </w:r>
          </w:p>
        </w:tc>
        <w:tc>
          <w:tcPr>
            <w:tcW w:w="1278" w:type="dxa"/>
            <w:tcBorders>
              <w:top w:val="nil"/>
              <w:left w:val="nil"/>
              <w:bottom w:val="nil"/>
              <w:right w:val="single" w:sz="8" w:space="0" w:color="auto"/>
            </w:tcBorders>
            <w:shd w:val="clear" w:color="000000" w:fill="FFFFFF"/>
            <w:noWrap/>
            <w:vAlign w:val="bottom"/>
            <w:hideMark/>
          </w:tcPr>
          <w:p w14:paraId="463A4AA4"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49" w:type="dxa"/>
            <w:tcBorders>
              <w:top w:val="nil"/>
              <w:left w:val="nil"/>
              <w:bottom w:val="nil"/>
              <w:right w:val="single" w:sz="8" w:space="0" w:color="auto"/>
            </w:tcBorders>
            <w:shd w:val="clear" w:color="000000" w:fill="FFFFFF"/>
            <w:noWrap/>
            <w:vAlign w:val="bottom"/>
            <w:hideMark/>
          </w:tcPr>
          <w:p w14:paraId="454E4AC6"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6797558F"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186" w:type="dxa"/>
            <w:tcBorders>
              <w:top w:val="nil"/>
              <w:left w:val="nil"/>
              <w:bottom w:val="nil"/>
              <w:right w:val="single" w:sz="8" w:space="0" w:color="auto"/>
            </w:tcBorders>
            <w:shd w:val="clear" w:color="000000" w:fill="FFFFFF"/>
            <w:noWrap/>
            <w:vAlign w:val="bottom"/>
            <w:hideMark/>
          </w:tcPr>
          <w:p w14:paraId="33BA41AA"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186" w:type="dxa"/>
            <w:tcBorders>
              <w:top w:val="nil"/>
              <w:left w:val="nil"/>
              <w:bottom w:val="nil"/>
              <w:right w:val="single" w:sz="8" w:space="0" w:color="auto"/>
            </w:tcBorders>
            <w:shd w:val="clear" w:color="000000" w:fill="FFFFFF"/>
            <w:noWrap/>
            <w:vAlign w:val="bottom"/>
            <w:hideMark/>
          </w:tcPr>
          <w:p w14:paraId="0B75F41F"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15,130,455,225 </w:t>
            </w:r>
          </w:p>
        </w:tc>
        <w:tc>
          <w:tcPr>
            <w:tcW w:w="1180" w:type="dxa"/>
            <w:tcBorders>
              <w:top w:val="nil"/>
              <w:left w:val="nil"/>
              <w:bottom w:val="nil"/>
              <w:right w:val="single" w:sz="8" w:space="0" w:color="auto"/>
            </w:tcBorders>
            <w:shd w:val="clear" w:color="000000" w:fill="FFFFFF"/>
            <w:noWrap/>
            <w:vAlign w:val="bottom"/>
            <w:hideMark/>
          </w:tcPr>
          <w:p w14:paraId="4723092D"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15,130,455,225 </w:t>
            </w:r>
          </w:p>
        </w:tc>
        <w:tc>
          <w:tcPr>
            <w:tcW w:w="1251" w:type="dxa"/>
            <w:tcBorders>
              <w:top w:val="nil"/>
              <w:left w:val="nil"/>
              <w:bottom w:val="nil"/>
              <w:right w:val="nil"/>
            </w:tcBorders>
            <w:shd w:val="clear" w:color="000000" w:fill="FFFFFF"/>
            <w:noWrap/>
            <w:vAlign w:val="bottom"/>
            <w:hideMark/>
          </w:tcPr>
          <w:p w14:paraId="2623DADE"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15,130,455,225 </w:t>
            </w:r>
          </w:p>
        </w:tc>
        <w:tc>
          <w:tcPr>
            <w:tcW w:w="955" w:type="dxa"/>
            <w:tcBorders>
              <w:top w:val="nil"/>
              <w:left w:val="single" w:sz="8" w:space="0" w:color="auto"/>
              <w:bottom w:val="nil"/>
              <w:right w:val="single" w:sz="8" w:space="0" w:color="auto"/>
            </w:tcBorders>
            <w:shd w:val="clear" w:color="000000" w:fill="FFFFFF"/>
            <w:noWrap/>
            <w:vAlign w:val="bottom"/>
            <w:hideMark/>
          </w:tcPr>
          <w:p w14:paraId="4890301E" w14:textId="77777777" w:rsidR="006D6BA5" w:rsidRPr="006D6BA5" w:rsidRDefault="006D6BA5" w:rsidP="006D6BA5">
            <w:pPr>
              <w:spacing w:after="0" w:line="240" w:lineRule="auto"/>
              <w:jc w:val="right"/>
              <w:rPr>
                <w:rFonts w:ascii="Arial" w:eastAsia="Times New Roman" w:hAnsi="Arial" w:cs="Arial"/>
                <w:color w:val="000000"/>
                <w:sz w:val="12"/>
                <w:szCs w:val="12"/>
                <w:lang w:val="es-US" w:eastAsia="es-US"/>
              </w:rPr>
            </w:pPr>
            <w:r w:rsidRPr="006D6BA5">
              <w:rPr>
                <w:rFonts w:ascii="Arial" w:eastAsia="Times New Roman" w:hAnsi="Arial" w:cs="Arial"/>
                <w:color w:val="000000"/>
                <w:sz w:val="12"/>
                <w:szCs w:val="12"/>
                <w:lang w:val="es-US" w:eastAsia="es-US"/>
              </w:rPr>
              <w:t>0%</w:t>
            </w:r>
          </w:p>
        </w:tc>
      </w:tr>
      <w:tr w:rsidR="002810D0" w:rsidRPr="00C070CB" w14:paraId="68DBA453" w14:textId="77777777" w:rsidTr="002810D0">
        <w:trPr>
          <w:trHeight w:val="4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42005741"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2.0.0.0.00.00.0.0.000</w:t>
            </w:r>
          </w:p>
        </w:tc>
        <w:tc>
          <w:tcPr>
            <w:tcW w:w="4155" w:type="dxa"/>
            <w:tcBorders>
              <w:top w:val="nil"/>
              <w:left w:val="nil"/>
              <w:bottom w:val="nil"/>
              <w:right w:val="single" w:sz="8" w:space="0" w:color="auto"/>
            </w:tcBorders>
            <w:shd w:val="clear" w:color="000000" w:fill="FFFFFF"/>
            <w:noWrap/>
            <w:vAlign w:val="bottom"/>
            <w:hideMark/>
          </w:tcPr>
          <w:p w14:paraId="22201E73"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INGRESOS DE CAPITAL</w:t>
            </w:r>
          </w:p>
        </w:tc>
        <w:tc>
          <w:tcPr>
            <w:tcW w:w="1278" w:type="dxa"/>
            <w:tcBorders>
              <w:top w:val="nil"/>
              <w:left w:val="nil"/>
              <w:bottom w:val="nil"/>
              <w:right w:val="single" w:sz="8" w:space="0" w:color="auto"/>
            </w:tcBorders>
            <w:shd w:val="clear" w:color="000000" w:fill="FFFFFF"/>
            <w:noWrap/>
            <w:vAlign w:val="bottom"/>
            <w:hideMark/>
          </w:tcPr>
          <w:p w14:paraId="453CE058"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11,389,561,457 </w:t>
            </w:r>
          </w:p>
        </w:tc>
        <w:tc>
          <w:tcPr>
            <w:tcW w:w="1249" w:type="dxa"/>
            <w:tcBorders>
              <w:top w:val="nil"/>
              <w:left w:val="nil"/>
              <w:bottom w:val="nil"/>
              <w:right w:val="single" w:sz="8" w:space="0" w:color="auto"/>
            </w:tcBorders>
            <w:shd w:val="clear" w:color="000000" w:fill="FFFFFF"/>
            <w:noWrap/>
            <w:vAlign w:val="bottom"/>
            <w:hideMark/>
          </w:tcPr>
          <w:p w14:paraId="4B775D25"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2,961,210,000 </w:t>
            </w:r>
          </w:p>
        </w:tc>
        <w:tc>
          <w:tcPr>
            <w:tcW w:w="1298" w:type="dxa"/>
            <w:tcBorders>
              <w:top w:val="nil"/>
              <w:left w:val="nil"/>
              <w:bottom w:val="nil"/>
              <w:right w:val="single" w:sz="8" w:space="0" w:color="auto"/>
            </w:tcBorders>
            <w:shd w:val="clear" w:color="000000" w:fill="FFFFFF"/>
            <w:noWrap/>
            <w:vAlign w:val="bottom"/>
            <w:hideMark/>
          </w:tcPr>
          <w:p w14:paraId="3D3D31BA"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14,350,771,457 </w:t>
            </w:r>
          </w:p>
        </w:tc>
        <w:tc>
          <w:tcPr>
            <w:tcW w:w="1186" w:type="dxa"/>
            <w:tcBorders>
              <w:top w:val="nil"/>
              <w:left w:val="nil"/>
              <w:bottom w:val="nil"/>
              <w:right w:val="single" w:sz="8" w:space="0" w:color="auto"/>
            </w:tcBorders>
            <w:shd w:val="clear" w:color="000000" w:fill="FFFFFF"/>
            <w:noWrap/>
            <w:vAlign w:val="bottom"/>
            <w:hideMark/>
          </w:tcPr>
          <w:p w14:paraId="6FA98BE0"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5,912,308,459 </w:t>
            </w:r>
          </w:p>
        </w:tc>
        <w:tc>
          <w:tcPr>
            <w:tcW w:w="1186" w:type="dxa"/>
            <w:tcBorders>
              <w:top w:val="nil"/>
              <w:left w:val="nil"/>
              <w:bottom w:val="nil"/>
              <w:right w:val="single" w:sz="8" w:space="0" w:color="auto"/>
            </w:tcBorders>
            <w:shd w:val="clear" w:color="000000" w:fill="FFFFFF"/>
            <w:noWrap/>
            <w:vAlign w:val="bottom"/>
            <w:hideMark/>
          </w:tcPr>
          <w:p w14:paraId="56681260"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8,449,659,105 </w:t>
            </w:r>
          </w:p>
        </w:tc>
        <w:tc>
          <w:tcPr>
            <w:tcW w:w="1180" w:type="dxa"/>
            <w:tcBorders>
              <w:top w:val="nil"/>
              <w:left w:val="nil"/>
              <w:bottom w:val="nil"/>
              <w:right w:val="single" w:sz="8" w:space="0" w:color="auto"/>
            </w:tcBorders>
            <w:shd w:val="clear" w:color="000000" w:fill="FFFFFF"/>
            <w:noWrap/>
            <w:vAlign w:val="bottom"/>
            <w:hideMark/>
          </w:tcPr>
          <w:p w14:paraId="7195CC68"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14,361,967,564 </w:t>
            </w:r>
          </w:p>
        </w:tc>
        <w:tc>
          <w:tcPr>
            <w:tcW w:w="1251" w:type="dxa"/>
            <w:tcBorders>
              <w:top w:val="nil"/>
              <w:left w:val="nil"/>
              <w:bottom w:val="nil"/>
              <w:right w:val="nil"/>
            </w:tcBorders>
            <w:shd w:val="clear" w:color="000000" w:fill="FFFFFF"/>
            <w:noWrap/>
            <w:vAlign w:val="bottom"/>
            <w:hideMark/>
          </w:tcPr>
          <w:p w14:paraId="1ACFA253"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11,196,107 </w:t>
            </w:r>
          </w:p>
        </w:tc>
        <w:tc>
          <w:tcPr>
            <w:tcW w:w="955" w:type="dxa"/>
            <w:tcBorders>
              <w:top w:val="nil"/>
              <w:left w:val="single" w:sz="8" w:space="0" w:color="auto"/>
              <w:bottom w:val="nil"/>
              <w:right w:val="single" w:sz="8" w:space="0" w:color="auto"/>
            </w:tcBorders>
            <w:shd w:val="clear" w:color="000000" w:fill="FFFFFF"/>
            <w:noWrap/>
            <w:vAlign w:val="bottom"/>
            <w:hideMark/>
          </w:tcPr>
          <w:p w14:paraId="2A931D66" w14:textId="77777777" w:rsidR="006D6BA5" w:rsidRPr="006D6BA5" w:rsidRDefault="006D6BA5" w:rsidP="006D6BA5">
            <w:pPr>
              <w:spacing w:after="0" w:line="240" w:lineRule="auto"/>
              <w:jc w:val="right"/>
              <w:rPr>
                <w:rFonts w:ascii="Arial" w:eastAsia="Times New Roman" w:hAnsi="Arial" w:cs="Arial"/>
                <w:b/>
                <w:bCs/>
                <w:color w:val="000000"/>
                <w:sz w:val="12"/>
                <w:szCs w:val="12"/>
                <w:lang w:val="es-US" w:eastAsia="es-US"/>
              </w:rPr>
            </w:pPr>
            <w:r w:rsidRPr="006D6BA5">
              <w:rPr>
                <w:rFonts w:ascii="Arial" w:eastAsia="Times New Roman" w:hAnsi="Arial" w:cs="Arial"/>
                <w:b/>
                <w:bCs/>
                <w:color w:val="000000"/>
                <w:sz w:val="12"/>
                <w:szCs w:val="12"/>
                <w:lang w:val="es-US" w:eastAsia="es-US"/>
              </w:rPr>
              <w:t>100%</w:t>
            </w:r>
          </w:p>
        </w:tc>
      </w:tr>
      <w:tr w:rsidR="002810D0" w:rsidRPr="00C070CB" w14:paraId="5A0E0567" w14:textId="77777777" w:rsidTr="002810D0">
        <w:trPr>
          <w:trHeight w:val="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4D3BEEED"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2.3.0.0.00.00.0.0.000</w:t>
            </w:r>
          </w:p>
        </w:tc>
        <w:tc>
          <w:tcPr>
            <w:tcW w:w="4155" w:type="dxa"/>
            <w:tcBorders>
              <w:top w:val="nil"/>
              <w:left w:val="nil"/>
              <w:bottom w:val="nil"/>
              <w:right w:val="single" w:sz="8" w:space="0" w:color="auto"/>
            </w:tcBorders>
            <w:shd w:val="clear" w:color="000000" w:fill="FFFFFF"/>
            <w:noWrap/>
            <w:vAlign w:val="bottom"/>
            <w:hideMark/>
          </w:tcPr>
          <w:p w14:paraId="0F49CDB9"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RECUPERACION DE PRESTAMOS E INVERSIONES FINANCIERAS</w:t>
            </w:r>
          </w:p>
        </w:tc>
        <w:tc>
          <w:tcPr>
            <w:tcW w:w="1278" w:type="dxa"/>
            <w:tcBorders>
              <w:top w:val="nil"/>
              <w:left w:val="nil"/>
              <w:bottom w:val="nil"/>
              <w:right w:val="single" w:sz="8" w:space="0" w:color="auto"/>
            </w:tcBorders>
            <w:shd w:val="clear" w:color="000000" w:fill="FFFFFF"/>
            <w:noWrap/>
            <w:vAlign w:val="bottom"/>
            <w:hideMark/>
          </w:tcPr>
          <w:p w14:paraId="1D65DA99"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384,472,057 </w:t>
            </w:r>
          </w:p>
        </w:tc>
        <w:tc>
          <w:tcPr>
            <w:tcW w:w="1249" w:type="dxa"/>
            <w:tcBorders>
              <w:top w:val="nil"/>
              <w:left w:val="nil"/>
              <w:bottom w:val="nil"/>
              <w:right w:val="single" w:sz="8" w:space="0" w:color="auto"/>
            </w:tcBorders>
            <w:shd w:val="clear" w:color="000000" w:fill="FFFFFF"/>
            <w:noWrap/>
            <w:vAlign w:val="bottom"/>
            <w:hideMark/>
          </w:tcPr>
          <w:p w14:paraId="677FCF62"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2D43DE76"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384,472,057 </w:t>
            </w:r>
          </w:p>
        </w:tc>
        <w:tc>
          <w:tcPr>
            <w:tcW w:w="1186" w:type="dxa"/>
            <w:tcBorders>
              <w:top w:val="nil"/>
              <w:left w:val="nil"/>
              <w:bottom w:val="nil"/>
              <w:right w:val="single" w:sz="8" w:space="0" w:color="auto"/>
            </w:tcBorders>
            <w:shd w:val="clear" w:color="000000" w:fill="FFFFFF"/>
            <w:noWrap/>
            <w:vAlign w:val="bottom"/>
            <w:hideMark/>
          </w:tcPr>
          <w:p w14:paraId="1FBA1203"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212,306,498 </w:t>
            </w:r>
          </w:p>
        </w:tc>
        <w:tc>
          <w:tcPr>
            <w:tcW w:w="1186" w:type="dxa"/>
            <w:tcBorders>
              <w:top w:val="nil"/>
              <w:left w:val="nil"/>
              <w:bottom w:val="nil"/>
              <w:right w:val="single" w:sz="8" w:space="0" w:color="auto"/>
            </w:tcBorders>
            <w:shd w:val="clear" w:color="000000" w:fill="FFFFFF"/>
            <w:noWrap/>
            <w:vAlign w:val="bottom"/>
            <w:hideMark/>
          </w:tcPr>
          <w:p w14:paraId="4051B8F5"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191,981,168 </w:t>
            </w:r>
          </w:p>
        </w:tc>
        <w:tc>
          <w:tcPr>
            <w:tcW w:w="1180" w:type="dxa"/>
            <w:tcBorders>
              <w:top w:val="nil"/>
              <w:left w:val="nil"/>
              <w:bottom w:val="nil"/>
              <w:right w:val="single" w:sz="8" w:space="0" w:color="auto"/>
            </w:tcBorders>
            <w:shd w:val="clear" w:color="000000" w:fill="FFFFFF"/>
            <w:noWrap/>
            <w:vAlign w:val="bottom"/>
            <w:hideMark/>
          </w:tcPr>
          <w:p w14:paraId="1A316DDE"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404,287,666 </w:t>
            </w:r>
          </w:p>
        </w:tc>
        <w:tc>
          <w:tcPr>
            <w:tcW w:w="1251" w:type="dxa"/>
            <w:tcBorders>
              <w:top w:val="nil"/>
              <w:left w:val="nil"/>
              <w:bottom w:val="nil"/>
              <w:right w:val="nil"/>
            </w:tcBorders>
            <w:shd w:val="clear" w:color="000000" w:fill="FFFFFF"/>
            <w:noWrap/>
            <w:vAlign w:val="bottom"/>
            <w:hideMark/>
          </w:tcPr>
          <w:p w14:paraId="75508F79"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19,815,609 </w:t>
            </w:r>
          </w:p>
        </w:tc>
        <w:tc>
          <w:tcPr>
            <w:tcW w:w="955" w:type="dxa"/>
            <w:tcBorders>
              <w:top w:val="nil"/>
              <w:left w:val="single" w:sz="8" w:space="0" w:color="auto"/>
              <w:bottom w:val="nil"/>
              <w:right w:val="single" w:sz="8" w:space="0" w:color="auto"/>
            </w:tcBorders>
            <w:shd w:val="clear" w:color="000000" w:fill="FFFFFF"/>
            <w:noWrap/>
            <w:vAlign w:val="bottom"/>
            <w:hideMark/>
          </w:tcPr>
          <w:p w14:paraId="2E9D0D25" w14:textId="77777777" w:rsidR="006D6BA5" w:rsidRPr="006D6BA5" w:rsidRDefault="006D6BA5" w:rsidP="006D6BA5">
            <w:pPr>
              <w:spacing w:after="0" w:line="240" w:lineRule="auto"/>
              <w:jc w:val="right"/>
              <w:rPr>
                <w:rFonts w:ascii="Arial" w:eastAsia="Times New Roman" w:hAnsi="Arial" w:cs="Arial"/>
                <w:b/>
                <w:bCs/>
                <w:color w:val="000000"/>
                <w:sz w:val="12"/>
                <w:szCs w:val="12"/>
                <w:lang w:val="es-US" w:eastAsia="es-US"/>
              </w:rPr>
            </w:pPr>
            <w:r w:rsidRPr="006D6BA5">
              <w:rPr>
                <w:rFonts w:ascii="Arial" w:eastAsia="Times New Roman" w:hAnsi="Arial" w:cs="Arial"/>
                <w:b/>
                <w:bCs/>
                <w:color w:val="000000"/>
                <w:sz w:val="12"/>
                <w:szCs w:val="12"/>
                <w:lang w:val="es-US" w:eastAsia="es-US"/>
              </w:rPr>
              <w:t>105%</w:t>
            </w:r>
          </w:p>
        </w:tc>
      </w:tr>
      <w:tr w:rsidR="002810D0" w:rsidRPr="00C070CB" w14:paraId="6ADE0050" w14:textId="77777777" w:rsidTr="002810D0">
        <w:trPr>
          <w:trHeight w:val="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66F22CC3"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2.3.2.0.00.00.0.0.000</w:t>
            </w:r>
          </w:p>
        </w:tc>
        <w:tc>
          <w:tcPr>
            <w:tcW w:w="4155" w:type="dxa"/>
            <w:tcBorders>
              <w:top w:val="nil"/>
              <w:left w:val="nil"/>
              <w:bottom w:val="nil"/>
              <w:right w:val="single" w:sz="8" w:space="0" w:color="auto"/>
            </w:tcBorders>
            <w:shd w:val="clear" w:color="000000" w:fill="FFFFFF"/>
            <w:noWrap/>
            <w:vAlign w:val="bottom"/>
            <w:hideMark/>
          </w:tcPr>
          <w:p w14:paraId="73AC27B4"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RECUPERACION DE PRESTAMOS AL SECTOR PRIVADO</w:t>
            </w:r>
          </w:p>
        </w:tc>
        <w:tc>
          <w:tcPr>
            <w:tcW w:w="1278" w:type="dxa"/>
            <w:tcBorders>
              <w:top w:val="nil"/>
              <w:left w:val="nil"/>
              <w:bottom w:val="nil"/>
              <w:right w:val="single" w:sz="8" w:space="0" w:color="auto"/>
            </w:tcBorders>
            <w:shd w:val="clear" w:color="000000" w:fill="FFFFFF"/>
            <w:noWrap/>
            <w:vAlign w:val="bottom"/>
            <w:hideMark/>
          </w:tcPr>
          <w:p w14:paraId="2E7C0FB0"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384,472,057 </w:t>
            </w:r>
          </w:p>
        </w:tc>
        <w:tc>
          <w:tcPr>
            <w:tcW w:w="1249" w:type="dxa"/>
            <w:tcBorders>
              <w:top w:val="nil"/>
              <w:left w:val="nil"/>
              <w:bottom w:val="nil"/>
              <w:right w:val="single" w:sz="8" w:space="0" w:color="auto"/>
            </w:tcBorders>
            <w:shd w:val="clear" w:color="000000" w:fill="FFFFFF"/>
            <w:noWrap/>
            <w:vAlign w:val="bottom"/>
            <w:hideMark/>
          </w:tcPr>
          <w:p w14:paraId="6872B0F8"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12FC18BA"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384,472,057 </w:t>
            </w:r>
          </w:p>
        </w:tc>
        <w:tc>
          <w:tcPr>
            <w:tcW w:w="1186" w:type="dxa"/>
            <w:tcBorders>
              <w:top w:val="nil"/>
              <w:left w:val="nil"/>
              <w:bottom w:val="nil"/>
              <w:right w:val="single" w:sz="8" w:space="0" w:color="auto"/>
            </w:tcBorders>
            <w:shd w:val="clear" w:color="000000" w:fill="FFFFFF"/>
            <w:noWrap/>
            <w:vAlign w:val="bottom"/>
            <w:hideMark/>
          </w:tcPr>
          <w:p w14:paraId="6C4D49FF"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212,306,498 </w:t>
            </w:r>
          </w:p>
        </w:tc>
        <w:tc>
          <w:tcPr>
            <w:tcW w:w="1186" w:type="dxa"/>
            <w:tcBorders>
              <w:top w:val="nil"/>
              <w:left w:val="nil"/>
              <w:bottom w:val="nil"/>
              <w:right w:val="single" w:sz="8" w:space="0" w:color="auto"/>
            </w:tcBorders>
            <w:shd w:val="clear" w:color="000000" w:fill="FFFFFF"/>
            <w:noWrap/>
            <w:vAlign w:val="bottom"/>
            <w:hideMark/>
          </w:tcPr>
          <w:p w14:paraId="6C1C9ED7"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191,981,168 </w:t>
            </w:r>
          </w:p>
        </w:tc>
        <w:tc>
          <w:tcPr>
            <w:tcW w:w="1180" w:type="dxa"/>
            <w:tcBorders>
              <w:top w:val="nil"/>
              <w:left w:val="nil"/>
              <w:bottom w:val="nil"/>
              <w:right w:val="single" w:sz="8" w:space="0" w:color="auto"/>
            </w:tcBorders>
            <w:shd w:val="clear" w:color="000000" w:fill="FFFFFF"/>
            <w:noWrap/>
            <w:vAlign w:val="bottom"/>
            <w:hideMark/>
          </w:tcPr>
          <w:p w14:paraId="21068AD4"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404,287,666 </w:t>
            </w:r>
          </w:p>
        </w:tc>
        <w:tc>
          <w:tcPr>
            <w:tcW w:w="1251" w:type="dxa"/>
            <w:tcBorders>
              <w:top w:val="nil"/>
              <w:left w:val="nil"/>
              <w:bottom w:val="nil"/>
              <w:right w:val="nil"/>
            </w:tcBorders>
            <w:shd w:val="clear" w:color="000000" w:fill="FFFFFF"/>
            <w:noWrap/>
            <w:vAlign w:val="bottom"/>
            <w:hideMark/>
          </w:tcPr>
          <w:p w14:paraId="1308B013"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19,815,609 </w:t>
            </w:r>
          </w:p>
        </w:tc>
        <w:tc>
          <w:tcPr>
            <w:tcW w:w="955" w:type="dxa"/>
            <w:tcBorders>
              <w:top w:val="nil"/>
              <w:left w:val="single" w:sz="8" w:space="0" w:color="auto"/>
              <w:bottom w:val="nil"/>
              <w:right w:val="single" w:sz="8" w:space="0" w:color="auto"/>
            </w:tcBorders>
            <w:shd w:val="clear" w:color="000000" w:fill="FFFFFF"/>
            <w:noWrap/>
            <w:vAlign w:val="bottom"/>
            <w:hideMark/>
          </w:tcPr>
          <w:p w14:paraId="4F578033" w14:textId="77777777" w:rsidR="006D6BA5" w:rsidRPr="006D6BA5" w:rsidRDefault="006D6BA5" w:rsidP="006D6BA5">
            <w:pPr>
              <w:spacing w:after="0" w:line="240" w:lineRule="auto"/>
              <w:jc w:val="right"/>
              <w:rPr>
                <w:rFonts w:ascii="Arial" w:eastAsia="Times New Roman" w:hAnsi="Arial" w:cs="Arial"/>
                <w:color w:val="000000"/>
                <w:sz w:val="12"/>
                <w:szCs w:val="12"/>
                <w:lang w:val="es-US" w:eastAsia="es-US"/>
              </w:rPr>
            </w:pPr>
            <w:r w:rsidRPr="006D6BA5">
              <w:rPr>
                <w:rFonts w:ascii="Arial" w:eastAsia="Times New Roman" w:hAnsi="Arial" w:cs="Arial"/>
                <w:color w:val="000000"/>
                <w:sz w:val="12"/>
                <w:szCs w:val="12"/>
                <w:lang w:val="es-US" w:eastAsia="es-US"/>
              </w:rPr>
              <w:t>105%</w:t>
            </w:r>
          </w:p>
        </w:tc>
      </w:tr>
      <w:tr w:rsidR="002810D0" w:rsidRPr="00C070CB" w14:paraId="6B9B1CC5" w14:textId="77777777" w:rsidTr="002810D0">
        <w:trPr>
          <w:trHeight w:val="74"/>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61BEEA75" w14:textId="77777777" w:rsidR="006D6BA5" w:rsidRPr="006D6BA5" w:rsidRDefault="006D6BA5" w:rsidP="006D6BA5">
            <w:pPr>
              <w:spacing w:after="0" w:line="240" w:lineRule="auto"/>
              <w:rPr>
                <w:rFonts w:ascii="Century Gothic" w:eastAsia="Times New Roman" w:hAnsi="Century Gothic" w:cs="Calibri"/>
                <w:b/>
                <w:bCs/>
                <w:color w:val="000000"/>
                <w:sz w:val="12"/>
                <w:szCs w:val="12"/>
                <w:lang w:val="es-US" w:eastAsia="es-US"/>
              </w:rPr>
            </w:pPr>
            <w:r w:rsidRPr="006D6BA5">
              <w:rPr>
                <w:rFonts w:ascii="Century Gothic" w:eastAsia="Times New Roman" w:hAnsi="Century Gothic" w:cs="Calibri"/>
                <w:b/>
                <w:bCs/>
                <w:color w:val="000000"/>
                <w:sz w:val="12"/>
                <w:szCs w:val="12"/>
                <w:lang w:val="es-US" w:eastAsia="es-US"/>
              </w:rPr>
              <w:t>2.4.0.0.00.00.0.0.000</w:t>
            </w:r>
          </w:p>
        </w:tc>
        <w:tc>
          <w:tcPr>
            <w:tcW w:w="4155" w:type="dxa"/>
            <w:tcBorders>
              <w:top w:val="nil"/>
              <w:left w:val="nil"/>
              <w:bottom w:val="nil"/>
              <w:right w:val="single" w:sz="8" w:space="0" w:color="auto"/>
            </w:tcBorders>
            <w:shd w:val="clear" w:color="000000" w:fill="FFFFFF"/>
            <w:noWrap/>
            <w:vAlign w:val="bottom"/>
            <w:hideMark/>
          </w:tcPr>
          <w:p w14:paraId="74356BD5" w14:textId="77777777" w:rsidR="006D6BA5" w:rsidRPr="006D6BA5" w:rsidRDefault="006D6BA5" w:rsidP="006D6BA5">
            <w:pPr>
              <w:spacing w:after="0" w:line="240" w:lineRule="auto"/>
              <w:rPr>
                <w:rFonts w:ascii="Century Gothic" w:eastAsia="Times New Roman" w:hAnsi="Century Gothic" w:cs="Calibri"/>
                <w:b/>
                <w:bCs/>
                <w:color w:val="000000"/>
                <w:sz w:val="12"/>
                <w:szCs w:val="12"/>
                <w:lang w:val="es-US" w:eastAsia="es-US"/>
              </w:rPr>
            </w:pPr>
            <w:r w:rsidRPr="006D6BA5">
              <w:rPr>
                <w:rFonts w:ascii="Century Gothic" w:eastAsia="Times New Roman" w:hAnsi="Century Gothic" w:cs="Calibri"/>
                <w:b/>
                <w:bCs/>
                <w:color w:val="000000"/>
                <w:sz w:val="12"/>
                <w:szCs w:val="12"/>
                <w:lang w:val="es-US" w:eastAsia="es-US"/>
              </w:rPr>
              <w:t>TRANSFERENCIAS DE CAPITAL</w:t>
            </w:r>
          </w:p>
        </w:tc>
        <w:tc>
          <w:tcPr>
            <w:tcW w:w="1278" w:type="dxa"/>
            <w:tcBorders>
              <w:top w:val="nil"/>
              <w:left w:val="nil"/>
              <w:bottom w:val="nil"/>
              <w:right w:val="single" w:sz="8" w:space="0" w:color="auto"/>
            </w:tcBorders>
            <w:shd w:val="clear" w:color="000000" w:fill="FFFFFF"/>
            <w:noWrap/>
            <w:vAlign w:val="bottom"/>
            <w:hideMark/>
          </w:tcPr>
          <w:p w14:paraId="4076C8B5"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11,005,089,400 </w:t>
            </w:r>
          </w:p>
        </w:tc>
        <w:tc>
          <w:tcPr>
            <w:tcW w:w="1249" w:type="dxa"/>
            <w:tcBorders>
              <w:top w:val="nil"/>
              <w:left w:val="nil"/>
              <w:bottom w:val="nil"/>
              <w:right w:val="single" w:sz="8" w:space="0" w:color="auto"/>
            </w:tcBorders>
            <w:shd w:val="clear" w:color="000000" w:fill="FFFFFF"/>
            <w:noWrap/>
            <w:vAlign w:val="bottom"/>
            <w:hideMark/>
          </w:tcPr>
          <w:p w14:paraId="27FEAB2F"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2,961,210,000 </w:t>
            </w:r>
          </w:p>
        </w:tc>
        <w:tc>
          <w:tcPr>
            <w:tcW w:w="1298" w:type="dxa"/>
            <w:tcBorders>
              <w:top w:val="nil"/>
              <w:left w:val="nil"/>
              <w:bottom w:val="nil"/>
              <w:right w:val="single" w:sz="8" w:space="0" w:color="auto"/>
            </w:tcBorders>
            <w:shd w:val="clear" w:color="000000" w:fill="FFFFFF"/>
            <w:noWrap/>
            <w:vAlign w:val="bottom"/>
            <w:hideMark/>
          </w:tcPr>
          <w:p w14:paraId="6FFA0556"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13,966,299,400 </w:t>
            </w:r>
          </w:p>
        </w:tc>
        <w:tc>
          <w:tcPr>
            <w:tcW w:w="1186" w:type="dxa"/>
            <w:tcBorders>
              <w:top w:val="nil"/>
              <w:left w:val="nil"/>
              <w:bottom w:val="nil"/>
              <w:right w:val="single" w:sz="8" w:space="0" w:color="auto"/>
            </w:tcBorders>
            <w:shd w:val="clear" w:color="000000" w:fill="FFFFFF"/>
            <w:noWrap/>
            <w:vAlign w:val="bottom"/>
            <w:hideMark/>
          </w:tcPr>
          <w:p w14:paraId="65AB9738"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5,700,001,962 </w:t>
            </w:r>
          </w:p>
        </w:tc>
        <w:tc>
          <w:tcPr>
            <w:tcW w:w="1186" w:type="dxa"/>
            <w:tcBorders>
              <w:top w:val="nil"/>
              <w:left w:val="nil"/>
              <w:bottom w:val="nil"/>
              <w:right w:val="single" w:sz="8" w:space="0" w:color="auto"/>
            </w:tcBorders>
            <w:shd w:val="clear" w:color="000000" w:fill="FFFFFF"/>
            <w:noWrap/>
            <w:vAlign w:val="bottom"/>
            <w:hideMark/>
          </w:tcPr>
          <w:p w14:paraId="02D53D9A"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8,257,677,937 </w:t>
            </w:r>
          </w:p>
        </w:tc>
        <w:tc>
          <w:tcPr>
            <w:tcW w:w="1180" w:type="dxa"/>
            <w:tcBorders>
              <w:top w:val="nil"/>
              <w:left w:val="nil"/>
              <w:bottom w:val="nil"/>
              <w:right w:val="single" w:sz="8" w:space="0" w:color="auto"/>
            </w:tcBorders>
            <w:shd w:val="clear" w:color="000000" w:fill="FFFFFF"/>
            <w:noWrap/>
            <w:vAlign w:val="bottom"/>
            <w:hideMark/>
          </w:tcPr>
          <w:p w14:paraId="49A8F2E5"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13,957,679,898 </w:t>
            </w:r>
          </w:p>
        </w:tc>
        <w:tc>
          <w:tcPr>
            <w:tcW w:w="1251" w:type="dxa"/>
            <w:tcBorders>
              <w:top w:val="nil"/>
              <w:left w:val="nil"/>
              <w:bottom w:val="nil"/>
              <w:right w:val="nil"/>
            </w:tcBorders>
            <w:shd w:val="clear" w:color="000000" w:fill="FFFFFF"/>
            <w:noWrap/>
            <w:vAlign w:val="bottom"/>
            <w:hideMark/>
          </w:tcPr>
          <w:p w14:paraId="717B0CA3"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8,619,502 </w:t>
            </w:r>
          </w:p>
        </w:tc>
        <w:tc>
          <w:tcPr>
            <w:tcW w:w="955" w:type="dxa"/>
            <w:tcBorders>
              <w:top w:val="nil"/>
              <w:left w:val="single" w:sz="8" w:space="0" w:color="auto"/>
              <w:bottom w:val="nil"/>
              <w:right w:val="single" w:sz="8" w:space="0" w:color="auto"/>
            </w:tcBorders>
            <w:shd w:val="clear" w:color="000000" w:fill="FFFFFF"/>
            <w:noWrap/>
            <w:vAlign w:val="bottom"/>
            <w:hideMark/>
          </w:tcPr>
          <w:p w14:paraId="18A0CB11" w14:textId="77777777" w:rsidR="006D6BA5" w:rsidRPr="006D6BA5" w:rsidRDefault="006D6BA5" w:rsidP="006D6BA5">
            <w:pPr>
              <w:spacing w:after="0" w:line="240" w:lineRule="auto"/>
              <w:jc w:val="right"/>
              <w:rPr>
                <w:rFonts w:ascii="Arial" w:eastAsia="Times New Roman" w:hAnsi="Arial" w:cs="Arial"/>
                <w:b/>
                <w:bCs/>
                <w:color w:val="000000"/>
                <w:sz w:val="12"/>
                <w:szCs w:val="12"/>
                <w:lang w:val="es-US" w:eastAsia="es-US"/>
              </w:rPr>
            </w:pPr>
            <w:r w:rsidRPr="006D6BA5">
              <w:rPr>
                <w:rFonts w:ascii="Arial" w:eastAsia="Times New Roman" w:hAnsi="Arial" w:cs="Arial"/>
                <w:b/>
                <w:bCs/>
                <w:color w:val="000000"/>
                <w:sz w:val="12"/>
                <w:szCs w:val="12"/>
                <w:lang w:val="es-US" w:eastAsia="es-US"/>
              </w:rPr>
              <w:t>100%</w:t>
            </w:r>
          </w:p>
        </w:tc>
      </w:tr>
      <w:tr w:rsidR="002810D0" w:rsidRPr="00C070CB" w14:paraId="46FE882F" w14:textId="77777777" w:rsidTr="002810D0">
        <w:trPr>
          <w:trHeight w:val="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38ABAA5A"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2.4.1.1.00.00.0.0.000</w:t>
            </w:r>
          </w:p>
        </w:tc>
        <w:tc>
          <w:tcPr>
            <w:tcW w:w="4155" w:type="dxa"/>
            <w:tcBorders>
              <w:top w:val="nil"/>
              <w:left w:val="nil"/>
              <w:bottom w:val="nil"/>
              <w:right w:val="single" w:sz="8" w:space="0" w:color="auto"/>
            </w:tcBorders>
            <w:shd w:val="clear" w:color="000000" w:fill="FFFFFF"/>
            <w:noWrap/>
            <w:vAlign w:val="bottom"/>
            <w:hideMark/>
          </w:tcPr>
          <w:p w14:paraId="2CB3110B" w14:textId="77777777" w:rsidR="006D6BA5" w:rsidRPr="006D6BA5" w:rsidRDefault="006D6BA5" w:rsidP="006D6BA5">
            <w:pPr>
              <w:spacing w:after="0" w:line="240" w:lineRule="auto"/>
              <w:rPr>
                <w:rFonts w:ascii="Century Gothic" w:eastAsia="Times New Roman" w:hAnsi="Century Gothic" w:cs="Calibri"/>
                <w:color w:val="000000"/>
                <w:sz w:val="12"/>
                <w:szCs w:val="12"/>
                <w:lang w:val="es-US" w:eastAsia="es-US"/>
              </w:rPr>
            </w:pPr>
            <w:r w:rsidRPr="006D6BA5">
              <w:rPr>
                <w:rFonts w:ascii="Century Gothic" w:eastAsia="Times New Roman" w:hAnsi="Century Gothic" w:cs="Calibri"/>
                <w:color w:val="000000"/>
                <w:sz w:val="12"/>
                <w:szCs w:val="12"/>
                <w:lang w:val="es-US" w:eastAsia="es-US"/>
              </w:rPr>
              <w:t>TRANSFERENCIAS DE CAPITAL DEL GOBIERNO CENTRAL</w:t>
            </w:r>
          </w:p>
        </w:tc>
        <w:tc>
          <w:tcPr>
            <w:tcW w:w="1278" w:type="dxa"/>
            <w:tcBorders>
              <w:top w:val="nil"/>
              <w:left w:val="nil"/>
              <w:bottom w:val="nil"/>
              <w:right w:val="single" w:sz="8" w:space="0" w:color="auto"/>
            </w:tcBorders>
            <w:shd w:val="clear" w:color="000000" w:fill="FFFFFF"/>
            <w:noWrap/>
            <w:vAlign w:val="bottom"/>
            <w:hideMark/>
          </w:tcPr>
          <w:p w14:paraId="6CA19E5F"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11,005,089,400 </w:t>
            </w:r>
          </w:p>
        </w:tc>
        <w:tc>
          <w:tcPr>
            <w:tcW w:w="1249" w:type="dxa"/>
            <w:tcBorders>
              <w:top w:val="nil"/>
              <w:left w:val="nil"/>
              <w:bottom w:val="nil"/>
              <w:right w:val="single" w:sz="8" w:space="0" w:color="auto"/>
            </w:tcBorders>
            <w:shd w:val="clear" w:color="000000" w:fill="FFFFFF"/>
            <w:noWrap/>
            <w:vAlign w:val="bottom"/>
            <w:hideMark/>
          </w:tcPr>
          <w:p w14:paraId="0F459861"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2,961,210,000 </w:t>
            </w:r>
          </w:p>
        </w:tc>
        <w:tc>
          <w:tcPr>
            <w:tcW w:w="1298" w:type="dxa"/>
            <w:tcBorders>
              <w:top w:val="nil"/>
              <w:left w:val="nil"/>
              <w:bottom w:val="nil"/>
              <w:right w:val="single" w:sz="8" w:space="0" w:color="auto"/>
            </w:tcBorders>
            <w:shd w:val="clear" w:color="000000" w:fill="FFFFFF"/>
            <w:noWrap/>
            <w:vAlign w:val="bottom"/>
            <w:hideMark/>
          </w:tcPr>
          <w:p w14:paraId="7BF36A12"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13,966,299,400 </w:t>
            </w:r>
          </w:p>
        </w:tc>
        <w:tc>
          <w:tcPr>
            <w:tcW w:w="1186" w:type="dxa"/>
            <w:tcBorders>
              <w:top w:val="nil"/>
              <w:left w:val="nil"/>
              <w:bottom w:val="nil"/>
              <w:right w:val="single" w:sz="8" w:space="0" w:color="auto"/>
            </w:tcBorders>
            <w:shd w:val="clear" w:color="000000" w:fill="FFFFFF"/>
            <w:noWrap/>
            <w:vAlign w:val="bottom"/>
            <w:hideMark/>
          </w:tcPr>
          <w:p w14:paraId="44393484"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5,700,001,962 </w:t>
            </w:r>
          </w:p>
        </w:tc>
        <w:tc>
          <w:tcPr>
            <w:tcW w:w="1186" w:type="dxa"/>
            <w:tcBorders>
              <w:top w:val="nil"/>
              <w:left w:val="nil"/>
              <w:bottom w:val="nil"/>
              <w:right w:val="single" w:sz="8" w:space="0" w:color="auto"/>
            </w:tcBorders>
            <w:shd w:val="clear" w:color="000000" w:fill="FFFFFF"/>
            <w:noWrap/>
            <w:vAlign w:val="bottom"/>
            <w:hideMark/>
          </w:tcPr>
          <w:p w14:paraId="61A08F15"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8,257,677,937 </w:t>
            </w:r>
          </w:p>
        </w:tc>
        <w:tc>
          <w:tcPr>
            <w:tcW w:w="1180" w:type="dxa"/>
            <w:tcBorders>
              <w:top w:val="nil"/>
              <w:left w:val="nil"/>
              <w:bottom w:val="nil"/>
              <w:right w:val="single" w:sz="8" w:space="0" w:color="auto"/>
            </w:tcBorders>
            <w:shd w:val="clear" w:color="000000" w:fill="FFFFFF"/>
            <w:noWrap/>
            <w:vAlign w:val="bottom"/>
            <w:hideMark/>
          </w:tcPr>
          <w:p w14:paraId="679DFE61"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13,957,679,898 </w:t>
            </w:r>
          </w:p>
        </w:tc>
        <w:tc>
          <w:tcPr>
            <w:tcW w:w="1251" w:type="dxa"/>
            <w:tcBorders>
              <w:top w:val="nil"/>
              <w:left w:val="nil"/>
              <w:bottom w:val="nil"/>
              <w:right w:val="nil"/>
            </w:tcBorders>
            <w:shd w:val="clear" w:color="000000" w:fill="FFFFFF"/>
            <w:noWrap/>
            <w:vAlign w:val="bottom"/>
            <w:hideMark/>
          </w:tcPr>
          <w:p w14:paraId="3334C2B4"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8,619,502 </w:t>
            </w:r>
          </w:p>
        </w:tc>
        <w:tc>
          <w:tcPr>
            <w:tcW w:w="955" w:type="dxa"/>
            <w:tcBorders>
              <w:top w:val="nil"/>
              <w:left w:val="single" w:sz="8" w:space="0" w:color="auto"/>
              <w:bottom w:val="nil"/>
              <w:right w:val="single" w:sz="8" w:space="0" w:color="auto"/>
            </w:tcBorders>
            <w:shd w:val="clear" w:color="000000" w:fill="FFFFFF"/>
            <w:noWrap/>
            <w:vAlign w:val="bottom"/>
            <w:hideMark/>
          </w:tcPr>
          <w:p w14:paraId="0A1E49B6" w14:textId="77777777" w:rsidR="006D6BA5" w:rsidRPr="006D6BA5" w:rsidRDefault="006D6BA5" w:rsidP="006D6BA5">
            <w:pPr>
              <w:spacing w:after="0" w:line="240" w:lineRule="auto"/>
              <w:jc w:val="right"/>
              <w:rPr>
                <w:rFonts w:ascii="Arial" w:eastAsia="Times New Roman" w:hAnsi="Arial" w:cs="Arial"/>
                <w:color w:val="000000"/>
                <w:sz w:val="12"/>
                <w:szCs w:val="12"/>
                <w:lang w:val="es-US" w:eastAsia="es-US"/>
              </w:rPr>
            </w:pPr>
            <w:r w:rsidRPr="006D6BA5">
              <w:rPr>
                <w:rFonts w:ascii="Arial" w:eastAsia="Times New Roman" w:hAnsi="Arial" w:cs="Arial"/>
                <w:color w:val="000000"/>
                <w:sz w:val="12"/>
                <w:szCs w:val="12"/>
                <w:lang w:val="es-US" w:eastAsia="es-US"/>
              </w:rPr>
              <w:t>100%</w:t>
            </w:r>
          </w:p>
        </w:tc>
      </w:tr>
      <w:tr w:rsidR="002810D0" w:rsidRPr="00C070CB" w14:paraId="42378FEE" w14:textId="77777777" w:rsidTr="002810D0">
        <w:trPr>
          <w:trHeight w:val="5"/>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2DBB4E57"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3.0.0.0.00.00.0.0.000</w:t>
            </w:r>
          </w:p>
        </w:tc>
        <w:tc>
          <w:tcPr>
            <w:tcW w:w="4155" w:type="dxa"/>
            <w:tcBorders>
              <w:top w:val="nil"/>
              <w:left w:val="nil"/>
              <w:bottom w:val="nil"/>
              <w:right w:val="single" w:sz="8" w:space="0" w:color="auto"/>
            </w:tcBorders>
            <w:shd w:val="clear" w:color="000000" w:fill="FFFFFF"/>
            <w:noWrap/>
            <w:vAlign w:val="bottom"/>
            <w:hideMark/>
          </w:tcPr>
          <w:p w14:paraId="05B91C3A"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FINANCIAMIENTO</w:t>
            </w:r>
          </w:p>
        </w:tc>
        <w:tc>
          <w:tcPr>
            <w:tcW w:w="1278" w:type="dxa"/>
            <w:tcBorders>
              <w:top w:val="nil"/>
              <w:left w:val="nil"/>
              <w:bottom w:val="nil"/>
              <w:right w:val="single" w:sz="8" w:space="0" w:color="auto"/>
            </w:tcBorders>
            <w:shd w:val="clear" w:color="000000" w:fill="FFFFFF"/>
            <w:noWrap/>
            <w:vAlign w:val="bottom"/>
            <w:hideMark/>
          </w:tcPr>
          <w:p w14:paraId="297C8E86"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707,256,117 </w:t>
            </w:r>
          </w:p>
        </w:tc>
        <w:tc>
          <w:tcPr>
            <w:tcW w:w="1249" w:type="dxa"/>
            <w:tcBorders>
              <w:top w:val="nil"/>
              <w:left w:val="nil"/>
              <w:bottom w:val="nil"/>
              <w:right w:val="single" w:sz="8" w:space="0" w:color="auto"/>
            </w:tcBorders>
            <w:shd w:val="clear" w:color="000000" w:fill="FFFFFF"/>
            <w:noWrap/>
            <w:vAlign w:val="bottom"/>
            <w:hideMark/>
          </w:tcPr>
          <w:p w14:paraId="2A748006"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52603BBF"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707,256,117 </w:t>
            </w:r>
          </w:p>
        </w:tc>
        <w:tc>
          <w:tcPr>
            <w:tcW w:w="1186" w:type="dxa"/>
            <w:tcBorders>
              <w:top w:val="nil"/>
              <w:left w:val="nil"/>
              <w:bottom w:val="nil"/>
              <w:right w:val="single" w:sz="8" w:space="0" w:color="auto"/>
            </w:tcBorders>
            <w:shd w:val="clear" w:color="000000" w:fill="FFFFFF"/>
            <w:noWrap/>
            <w:vAlign w:val="bottom"/>
            <w:hideMark/>
          </w:tcPr>
          <w:p w14:paraId="50E0F8DC"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1,241,369,560 </w:t>
            </w:r>
          </w:p>
        </w:tc>
        <w:tc>
          <w:tcPr>
            <w:tcW w:w="1186" w:type="dxa"/>
            <w:tcBorders>
              <w:top w:val="nil"/>
              <w:left w:val="nil"/>
              <w:bottom w:val="nil"/>
              <w:right w:val="single" w:sz="8" w:space="0" w:color="auto"/>
            </w:tcBorders>
            <w:shd w:val="clear" w:color="000000" w:fill="FFFFFF"/>
            <w:noWrap/>
            <w:vAlign w:val="bottom"/>
            <w:hideMark/>
          </w:tcPr>
          <w:p w14:paraId="61B7EE08"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928,696 </w:t>
            </w:r>
          </w:p>
        </w:tc>
        <w:tc>
          <w:tcPr>
            <w:tcW w:w="1180" w:type="dxa"/>
            <w:tcBorders>
              <w:top w:val="nil"/>
              <w:left w:val="nil"/>
              <w:bottom w:val="nil"/>
              <w:right w:val="single" w:sz="8" w:space="0" w:color="auto"/>
            </w:tcBorders>
            <w:shd w:val="clear" w:color="000000" w:fill="FFFFFF"/>
            <w:noWrap/>
            <w:vAlign w:val="bottom"/>
            <w:hideMark/>
          </w:tcPr>
          <w:p w14:paraId="68338823"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1,240,440,864 </w:t>
            </w:r>
          </w:p>
        </w:tc>
        <w:tc>
          <w:tcPr>
            <w:tcW w:w="1251" w:type="dxa"/>
            <w:tcBorders>
              <w:top w:val="nil"/>
              <w:left w:val="nil"/>
              <w:bottom w:val="nil"/>
              <w:right w:val="nil"/>
            </w:tcBorders>
            <w:shd w:val="clear" w:color="000000" w:fill="FFFFFF"/>
            <w:noWrap/>
            <w:vAlign w:val="bottom"/>
            <w:hideMark/>
          </w:tcPr>
          <w:p w14:paraId="1BFAA1C0"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533,184,747 </w:t>
            </w:r>
          </w:p>
        </w:tc>
        <w:tc>
          <w:tcPr>
            <w:tcW w:w="955" w:type="dxa"/>
            <w:tcBorders>
              <w:top w:val="nil"/>
              <w:left w:val="single" w:sz="8" w:space="0" w:color="auto"/>
              <w:bottom w:val="nil"/>
              <w:right w:val="single" w:sz="8" w:space="0" w:color="auto"/>
            </w:tcBorders>
            <w:shd w:val="clear" w:color="000000" w:fill="FFFFFF"/>
            <w:noWrap/>
            <w:vAlign w:val="bottom"/>
            <w:hideMark/>
          </w:tcPr>
          <w:p w14:paraId="791BFFF7" w14:textId="77777777" w:rsidR="006D6BA5" w:rsidRPr="006D6BA5" w:rsidRDefault="006D6BA5" w:rsidP="006D6BA5">
            <w:pPr>
              <w:spacing w:after="0" w:line="240" w:lineRule="auto"/>
              <w:jc w:val="right"/>
              <w:rPr>
                <w:rFonts w:ascii="Arial" w:eastAsia="Times New Roman" w:hAnsi="Arial" w:cs="Arial"/>
                <w:b/>
                <w:bCs/>
                <w:color w:val="000000"/>
                <w:sz w:val="12"/>
                <w:szCs w:val="12"/>
                <w:lang w:val="es-US" w:eastAsia="es-US"/>
              </w:rPr>
            </w:pPr>
            <w:r w:rsidRPr="006D6BA5">
              <w:rPr>
                <w:rFonts w:ascii="Arial" w:eastAsia="Times New Roman" w:hAnsi="Arial" w:cs="Arial"/>
                <w:b/>
                <w:bCs/>
                <w:color w:val="000000"/>
                <w:sz w:val="12"/>
                <w:szCs w:val="12"/>
                <w:lang w:val="es-US" w:eastAsia="es-US"/>
              </w:rPr>
              <w:t>175%</w:t>
            </w:r>
          </w:p>
        </w:tc>
      </w:tr>
      <w:tr w:rsidR="002810D0" w:rsidRPr="00C070CB" w14:paraId="2A3FCCB2" w14:textId="77777777" w:rsidTr="002810D0">
        <w:trPr>
          <w:trHeight w:val="57"/>
          <w:jc w:val="center"/>
        </w:trPr>
        <w:tc>
          <w:tcPr>
            <w:tcW w:w="1513" w:type="dxa"/>
            <w:tcBorders>
              <w:top w:val="nil"/>
              <w:left w:val="single" w:sz="8" w:space="0" w:color="auto"/>
              <w:bottom w:val="nil"/>
              <w:right w:val="single" w:sz="8" w:space="0" w:color="auto"/>
            </w:tcBorders>
            <w:shd w:val="clear" w:color="000000" w:fill="FFFFFF"/>
            <w:noWrap/>
            <w:vAlign w:val="bottom"/>
            <w:hideMark/>
          </w:tcPr>
          <w:p w14:paraId="68997832"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3.3.0.0.00.00.0.0.000</w:t>
            </w:r>
          </w:p>
        </w:tc>
        <w:tc>
          <w:tcPr>
            <w:tcW w:w="4155" w:type="dxa"/>
            <w:tcBorders>
              <w:top w:val="nil"/>
              <w:left w:val="nil"/>
              <w:bottom w:val="nil"/>
              <w:right w:val="single" w:sz="8" w:space="0" w:color="auto"/>
            </w:tcBorders>
            <w:shd w:val="clear" w:color="000000" w:fill="FFFFFF"/>
            <w:noWrap/>
            <w:vAlign w:val="bottom"/>
            <w:hideMark/>
          </w:tcPr>
          <w:p w14:paraId="62A51517" w14:textId="77777777" w:rsidR="006D6BA5" w:rsidRPr="006D6BA5" w:rsidRDefault="006D6BA5" w:rsidP="006D6BA5">
            <w:pPr>
              <w:spacing w:after="0" w:line="240" w:lineRule="auto"/>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RECURSOS DE VIGENCIAS ANTERIORES</w:t>
            </w:r>
          </w:p>
        </w:tc>
        <w:tc>
          <w:tcPr>
            <w:tcW w:w="1278" w:type="dxa"/>
            <w:tcBorders>
              <w:top w:val="nil"/>
              <w:left w:val="nil"/>
              <w:bottom w:val="nil"/>
              <w:right w:val="single" w:sz="8" w:space="0" w:color="auto"/>
            </w:tcBorders>
            <w:shd w:val="clear" w:color="000000" w:fill="FFFFFF"/>
            <w:noWrap/>
            <w:vAlign w:val="bottom"/>
            <w:hideMark/>
          </w:tcPr>
          <w:p w14:paraId="72270804"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707,256,117 </w:t>
            </w:r>
          </w:p>
        </w:tc>
        <w:tc>
          <w:tcPr>
            <w:tcW w:w="1249" w:type="dxa"/>
            <w:tcBorders>
              <w:top w:val="nil"/>
              <w:left w:val="nil"/>
              <w:bottom w:val="nil"/>
              <w:right w:val="single" w:sz="8" w:space="0" w:color="auto"/>
            </w:tcBorders>
            <w:shd w:val="clear" w:color="000000" w:fill="FFFFFF"/>
            <w:noWrap/>
            <w:vAlign w:val="bottom"/>
            <w:hideMark/>
          </w:tcPr>
          <w:p w14:paraId="5E6B7A89"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5C48C7FD"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707,256,117 </w:t>
            </w:r>
          </w:p>
        </w:tc>
        <w:tc>
          <w:tcPr>
            <w:tcW w:w="1186" w:type="dxa"/>
            <w:tcBorders>
              <w:top w:val="nil"/>
              <w:left w:val="nil"/>
              <w:bottom w:val="nil"/>
              <w:right w:val="single" w:sz="8" w:space="0" w:color="auto"/>
            </w:tcBorders>
            <w:shd w:val="clear" w:color="000000" w:fill="FFFFFF"/>
            <w:noWrap/>
            <w:vAlign w:val="bottom"/>
            <w:hideMark/>
          </w:tcPr>
          <w:p w14:paraId="6F2D162A"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1,241,369,560 </w:t>
            </w:r>
          </w:p>
        </w:tc>
        <w:tc>
          <w:tcPr>
            <w:tcW w:w="1186" w:type="dxa"/>
            <w:tcBorders>
              <w:top w:val="nil"/>
              <w:left w:val="nil"/>
              <w:bottom w:val="nil"/>
              <w:right w:val="single" w:sz="8" w:space="0" w:color="auto"/>
            </w:tcBorders>
            <w:shd w:val="clear" w:color="000000" w:fill="FFFFFF"/>
            <w:noWrap/>
            <w:vAlign w:val="bottom"/>
            <w:hideMark/>
          </w:tcPr>
          <w:p w14:paraId="2FB8409F"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928,696 </w:t>
            </w:r>
          </w:p>
        </w:tc>
        <w:tc>
          <w:tcPr>
            <w:tcW w:w="1180" w:type="dxa"/>
            <w:tcBorders>
              <w:top w:val="nil"/>
              <w:left w:val="nil"/>
              <w:bottom w:val="nil"/>
              <w:right w:val="single" w:sz="8" w:space="0" w:color="auto"/>
            </w:tcBorders>
            <w:shd w:val="clear" w:color="000000" w:fill="FFFFFF"/>
            <w:noWrap/>
            <w:vAlign w:val="bottom"/>
            <w:hideMark/>
          </w:tcPr>
          <w:p w14:paraId="4A93D4E0"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1,240,440,864 </w:t>
            </w:r>
          </w:p>
        </w:tc>
        <w:tc>
          <w:tcPr>
            <w:tcW w:w="1251" w:type="dxa"/>
            <w:tcBorders>
              <w:top w:val="nil"/>
              <w:left w:val="nil"/>
              <w:bottom w:val="nil"/>
              <w:right w:val="nil"/>
            </w:tcBorders>
            <w:shd w:val="clear" w:color="000000" w:fill="FFFFFF"/>
            <w:noWrap/>
            <w:vAlign w:val="bottom"/>
            <w:hideMark/>
          </w:tcPr>
          <w:p w14:paraId="245A694C" w14:textId="77777777" w:rsidR="006D6BA5" w:rsidRPr="006D6BA5" w:rsidRDefault="006D6BA5" w:rsidP="00C070CB">
            <w:pPr>
              <w:spacing w:after="0" w:line="240" w:lineRule="auto"/>
              <w:jc w:val="right"/>
              <w:rPr>
                <w:rFonts w:ascii="Arial" w:eastAsia="Times New Roman" w:hAnsi="Arial" w:cs="Arial"/>
                <w:b/>
                <w:bCs/>
                <w:sz w:val="12"/>
                <w:szCs w:val="12"/>
                <w:lang w:val="es-US" w:eastAsia="es-US"/>
              </w:rPr>
            </w:pPr>
            <w:r w:rsidRPr="006D6BA5">
              <w:rPr>
                <w:rFonts w:ascii="Arial" w:eastAsia="Times New Roman" w:hAnsi="Arial" w:cs="Arial"/>
                <w:b/>
                <w:bCs/>
                <w:sz w:val="12"/>
                <w:szCs w:val="12"/>
                <w:lang w:val="es-US" w:eastAsia="es-US"/>
              </w:rPr>
              <w:t xml:space="preserve">          533,184,747 </w:t>
            </w:r>
          </w:p>
        </w:tc>
        <w:tc>
          <w:tcPr>
            <w:tcW w:w="955" w:type="dxa"/>
            <w:tcBorders>
              <w:top w:val="nil"/>
              <w:left w:val="single" w:sz="8" w:space="0" w:color="auto"/>
              <w:bottom w:val="nil"/>
              <w:right w:val="single" w:sz="8" w:space="0" w:color="auto"/>
            </w:tcBorders>
            <w:shd w:val="clear" w:color="000000" w:fill="FFFFFF"/>
            <w:noWrap/>
            <w:vAlign w:val="bottom"/>
            <w:hideMark/>
          </w:tcPr>
          <w:p w14:paraId="3B864CDF" w14:textId="77777777" w:rsidR="006D6BA5" w:rsidRPr="006D6BA5" w:rsidRDefault="006D6BA5" w:rsidP="006D6BA5">
            <w:pPr>
              <w:spacing w:after="0" w:line="240" w:lineRule="auto"/>
              <w:jc w:val="right"/>
              <w:rPr>
                <w:rFonts w:ascii="Arial" w:eastAsia="Times New Roman" w:hAnsi="Arial" w:cs="Arial"/>
                <w:b/>
                <w:bCs/>
                <w:color w:val="000000"/>
                <w:sz w:val="12"/>
                <w:szCs w:val="12"/>
                <w:lang w:val="es-US" w:eastAsia="es-US"/>
              </w:rPr>
            </w:pPr>
            <w:r w:rsidRPr="006D6BA5">
              <w:rPr>
                <w:rFonts w:ascii="Arial" w:eastAsia="Times New Roman" w:hAnsi="Arial" w:cs="Arial"/>
                <w:b/>
                <w:bCs/>
                <w:color w:val="000000"/>
                <w:sz w:val="12"/>
                <w:szCs w:val="12"/>
                <w:lang w:val="es-US" w:eastAsia="es-US"/>
              </w:rPr>
              <w:t>175%</w:t>
            </w:r>
          </w:p>
        </w:tc>
      </w:tr>
      <w:tr w:rsidR="002810D0" w:rsidRPr="00C070CB" w14:paraId="55A8024B" w14:textId="77777777" w:rsidTr="002810D0">
        <w:trPr>
          <w:trHeight w:val="57"/>
          <w:jc w:val="center"/>
        </w:trPr>
        <w:tc>
          <w:tcPr>
            <w:tcW w:w="1513" w:type="dxa"/>
            <w:tcBorders>
              <w:top w:val="nil"/>
              <w:left w:val="single" w:sz="8" w:space="0" w:color="auto"/>
              <w:bottom w:val="single" w:sz="8" w:space="0" w:color="auto"/>
              <w:right w:val="single" w:sz="8" w:space="0" w:color="auto"/>
            </w:tcBorders>
            <w:shd w:val="clear" w:color="000000" w:fill="FFFFFF"/>
            <w:noWrap/>
            <w:vAlign w:val="bottom"/>
            <w:hideMark/>
          </w:tcPr>
          <w:p w14:paraId="6C9C9FA7"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3.3.2.0.00.00.0.0.000</w:t>
            </w:r>
          </w:p>
        </w:tc>
        <w:tc>
          <w:tcPr>
            <w:tcW w:w="4155" w:type="dxa"/>
            <w:tcBorders>
              <w:top w:val="nil"/>
              <w:left w:val="nil"/>
              <w:bottom w:val="single" w:sz="8" w:space="0" w:color="auto"/>
              <w:right w:val="single" w:sz="8" w:space="0" w:color="auto"/>
            </w:tcBorders>
            <w:shd w:val="clear" w:color="000000" w:fill="FFFFFF"/>
            <w:noWrap/>
            <w:vAlign w:val="bottom"/>
            <w:hideMark/>
          </w:tcPr>
          <w:p w14:paraId="4FA5C573" w14:textId="77777777" w:rsidR="006D6BA5" w:rsidRPr="006D6BA5" w:rsidRDefault="006D6BA5" w:rsidP="006D6BA5">
            <w:pPr>
              <w:spacing w:after="0" w:line="240" w:lineRule="auto"/>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SUPERAVIT ESPECIFICO</w:t>
            </w:r>
          </w:p>
        </w:tc>
        <w:tc>
          <w:tcPr>
            <w:tcW w:w="1278" w:type="dxa"/>
            <w:tcBorders>
              <w:top w:val="nil"/>
              <w:left w:val="nil"/>
              <w:bottom w:val="nil"/>
              <w:right w:val="single" w:sz="8" w:space="0" w:color="auto"/>
            </w:tcBorders>
            <w:shd w:val="clear" w:color="000000" w:fill="FFFFFF"/>
            <w:noWrap/>
            <w:vAlign w:val="bottom"/>
            <w:hideMark/>
          </w:tcPr>
          <w:p w14:paraId="2594A951"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707,256,117 </w:t>
            </w:r>
          </w:p>
        </w:tc>
        <w:tc>
          <w:tcPr>
            <w:tcW w:w="1249" w:type="dxa"/>
            <w:tcBorders>
              <w:top w:val="nil"/>
              <w:left w:val="nil"/>
              <w:bottom w:val="nil"/>
              <w:right w:val="single" w:sz="8" w:space="0" w:color="auto"/>
            </w:tcBorders>
            <w:shd w:val="clear" w:color="000000" w:fill="FFFFFF"/>
            <w:noWrap/>
            <w:vAlign w:val="bottom"/>
            <w:hideMark/>
          </w:tcPr>
          <w:p w14:paraId="5330486A"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   </w:t>
            </w:r>
          </w:p>
        </w:tc>
        <w:tc>
          <w:tcPr>
            <w:tcW w:w="1298" w:type="dxa"/>
            <w:tcBorders>
              <w:top w:val="nil"/>
              <w:left w:val="nil"/>
              <w:bottom w:val="nil"/>
              <w:right w:val="single" w:sz="8" w:space="0" w:color="auto"/>
            </w:tcBorders>
            <w:shd w:val="clear" w:color="000000" w:fill="FFFFFF"/>
            <w:noWrap/>
            <w:vAlign w:val="bottom"/>
            <w:hideMark/>
          </w:tcPr>
          <w:p w14:paraId="7E56E8FD"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707,256,117 </w:t>
            </w:r>
          </w:p>
        </w:tc>
        <w:tc>
          <w:tcPr>
            <w:tcW w:w="1186" w:type="dxa"/>
            <w:tcBorders>
              <w:top w:val="nil"/>
              <w:left w:val="nil"/>
              <w:bottom w:val="nil"/>
              <w:right w:val="single" w:sz="8" w:space="0" w:color="auto"/>
            </w:tcBorders>
            <w:shd w:val="clear" w:color="000000" w:fill="FFFFFF"/>
            <w:noWrap/>
            <w:vAlign w:val="bottom"/>
            <w:hideMark/>
          </w:tcPr>
          <w:p w14:paraId="673533FC"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1,241,369,560 </w:t>
            </w:r>
          </w:p>
        </w:tc>
        <w:tc>
          <w:tcPr>
            <w:tcW w:w="1186" w:type="dxa"/>
            <w:tcBorders>
              <w:top w:val="nil"/>
              <w:left w:val="nil"/>
              <w:bottom w:val="nil"/>
              <w:right w:val="single" w:sz="8" w:space="0" w:color="auto"/>
            </w:tcBorders>
            <w:shd w:val="clear" w:color="000000" w:fill="FFFFFF"/>
            <w:noWrap/>
            <w:vAlign w:val="bottom"/>
            <w:hideMark/>
          </w:tcPr>
          <w:p w14:paraId="7F1830F8"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928,696 </w:t>
            </w:r>
          </w:p>
        </w:tc>
        <w:tc>
          <w:tcPr>
            <w:tcW w:w="1180" w:type="dxa"/>
            <w:tcBorders>
              <w:top w:val="nil"/>
              <w:left w:val="nil"/>
              <w:bottom w:val="nil"/>
              <w:right w:val="single" w:sz="8" w:space="0" w:color="auto"/>
            </w:tcBorders>
            <w:shd w:val="clear" w:color="000000" w:fill="FFFFFF"/>
            <w:noWrap/>
            <w:vAlign w:val="bottom"/>
            <w:hideMark/>
          </w:tcPr>
          <w:p w14:paraId="5E1BA5E9"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1,240,440,864 </w:t>
            </w:r>
          </w:p>
        </w:tc>
        <w:tc>
          <w:tcPr>
            <w:tcW w:w="1251" w:type="dxa"/>
            <w:tcBorders>
              <w:top w:val="nil"/>
              <w:left w:val="nil"/>
              <w:bottom w:val="nil"/>
              <w:right w:val="nil"/>
            </w:tcBorders>
            <w:shd w:val="clear" w:color="000000" w:fill="FFFFFF"/>
            <w:noWrap/>
            <w:vAlign w:val="bottom"/>
            <w:hideMark/>
          </w:tcPr>
          <w:p w14:paraId="65B8B362" w14:textId="77777777" w:rsidR="006D6BA5" w:rsidRPr="006D6BA5" w:rsidRDefault="006D6BA5" w:rsidP="00C070CB">
            <w:pPr>
              <w:spacing w:after="0" w:line="240" w:lineRule="auto"/>
              <w:jc w:val="right"/>
              <w:rPr>
                <w:rFonts w:ascii="Arial" w:eastAsia="Times New Roman" w:hAnsi="Arial" w:cs="Arial"/>
                <w:sz w:val="12"/>
                <w:szCs w:val="12"/>
                <w:lang w:val="es-US" w:eastAsia="es-US"/>
              </w:rPr>
            </w:pPr>
            <w:r w:rsidRPr="006D6BA5">
              <w:rPr>
                <w:rFonts w:ascii="Arial" w:eastAsia="Times New Roman" w:hAnsi="Arial" w:cs="Arial"/>
                <w:sz w:val="12"/>
                <w:szCs w:val="12"/>
                <w:lang w:val="es-US" w:eastAsia="es-US"/>
              </w:rPr>
              <w:t xml:space="preserve">          533,184,747 </w:t>
            </w:r>
          </w:p>
        </w:tc>
        <w:tc>
          <w:tcPr>
            <w:tcW w:w="955" w:type="dxa"/>
            <w:tcBorders>
              <w:top w:val="nil"/>
              <w:left w:val="single" w:sz="8" w:space="0" w:color="auto"/>
              <w:bottom w:val="single" w:sz="8" w:space="0" w:color="auto"/>
              <w:right w:val="single" w:sz="8" w:space="0" w:color="auto"/>
            </w:tcBorders>
            <w:shd w:val="clear" w:color="000000" w:fill="FFFFFF"/>
            <w:noWrap/>
            <w:vAlign w:val="bottom"/>
            <w:hideMark/>
          </w:tcPr>
          <w:p w14:paraId="79C6AB56" w14:textId="77777777" w:rsidR="006D6BA5" w:rsidRPr="006D6BA5" w:rsidRDefault="006D6BA5" w:rsidP="006D6BA5">
            <w:pPr>
              <w:spacing w:after="0" w:line="240" w:lineRule="auto"/>
              <w:jc w:val="right"/>
              <w:rPr>
                <w:rFonts w:ascii="Arial" w:eastAsia="Times New Roman" w:hAnsi="Arial" w:cs="Arial"/>
                <w:color w:val="000000"/>
                <w:sz w:val="12"/>
                <w:szCs w:val="12"/>
                <w:lang w:val="es-US" w:eastAsia="es-US"/>
              </w:rPr>
            </w:pPr>
            <w:r w:rsidRPr="006D6BA5">
              <w:rPr>
                <w:rFonts w:ascii="Arial" w:eastAsia="Times New Roman" w:hAnsi="Arial" w:cs="Arial"/>
                <w:color w:val="000000"/>
                <w:sz w:val="12"/>
                <w:szCs w:val="12"/>
                <w:lang w:val="es-US" w:eastAsia="es-US"/>
              </w:rPr>
              <w:t>175%</w:t>
            </w:r>
          </w:p>
        </w:tc>
      </w:tr>
      <w:tr w:rsidR="002810D0" w:rsidRPr="00C070CB" w14:paraId="68D30A66" w14:textId="77777777" w:rsidTr="009F5C41">
        <w:trPr>
          <w:trHeight w:val="160"/>
          <w:jc w:val="center"/>
        </w:trPr>
        <w:tc>
          <w:tcPr>
            <w:tcW w:w="1513"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14:paraId="296CE16C" w14:textId="77777777" w:rsidR="006D6BA5" w:rsidRPr="006D6BA5" w:rsidRDefault="006D6BA5" w:rsidP="006D6BA5">
            <w:pPr>
              <w:spacing w:after="0" w:line="240" w:lineRule="auto"/>
              <w:jc w:val="center"/>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 xml:space="preserve"> </w:t>
            </w:r>
          </w:p>
        </w:tc>
        <w:tc>
          <w:tcPr>
            <w:tcW w:w="4155" w:type="dxa"/>
            <w:tcBorders>
              <w:top w:val="nil"/>
              <w:left w:val="nil"/>
              <w:bottom w:val="single" w:sz="8" w:space="0" w:color="auto"/>
              <w:right w:val="single" w:sz="8" w:space="0" w:color="auto"/>
            </w:tcBorders>
            <w:shd w:val="clear" w:color="auto" w:fill="D6E3BC" w:themeFill="accent3" w:themeFillTint="66"/>
            <w:noWrap/>
            <w:vAlign w:val="bottom"/>
            <w:hideMark/>
          </w:tcPr>
          <w:p w14:paraId="5110AE78" w14:textId="77777777" w:rsidR="006D6BA5" w:rsidRPr="006D6BA5" w:rsidRDefault="006D6BA5" w:rsidP="006D6BA5">
            <w:pPr>
              <w:spacing w:after="0" w:line="240" w:lineRule="auto"/>
              <w:jc w:val="center"/>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TOTAL INGRESOS</w:t>
            </w:r>
          </w:p>
        </w:tc>
        <w:tc>
          <w:tcPr>
            <w:tcW w:w="1278" w:type="dxa"/>
            <w:tcBorders>
              <w:top w:val="single" w:sz="8" w:space="0" w:color="auto"/>
              <w:left w:val="nil"/>
              <w:bottom w:val="single" w:sz="8" w:space="0" w:color="auto"/>
              <w:right w:val="single" w:sz="8" w:space="0" w:color="auto"/>
            </w:tcBorders>
            <w:shd w:val="clear" w:color="auto" w:fill="D6E3BC" w:themeFill="accent3" w:themeFillTint="66"/>
            <w:noWrap/>
            <w:vAlign w:val="bottom"/>
            <w:hideMark/>
          </w:tcPr>
          <w:p w14:paraId="08022151" w14:textId="77777777" w:rsidR="006D6BA5" w:rsidRPr="006D6BA5" w:rsidRDefault="006D6BA5" w:rsidP="00C070CB">
            <w:pPr>
              <w:spacing w:after="0" w:line="240" w:lineRule="auto"/>
              <w:jc w:val="right"/>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12,510,072,524</w:t>
            </w:r>
          </w:p>
        </w:tc>
        <w:tc>
          <w:tcPr>
            <w:tcW w:w="1249" w:type="dxa"/>
            <w:tcBorders>
              <w:top w:val="single" w:sz="8" w:space="0" w:color="auto"/>
              <w:left w:val="nil"/>
              <w:bottom w:val="single" w:sz="8" w:space="0" w:color="auto"/>
              <w:right w:val="single" w:sz="8" w:space="0" w:color="auto"/>
            </w:tcBorders>
            <w:shd w:val="clear" w:color="auto" w:fill="D6E3BC" w:themeFill="accent3" w:themeFillTint="66"/>
            <w:noWrap/>
            <w:vAlign w:val="bottom"/>
            <w:hideMark/>
          </w:tcPr>
          <w:p w14:paraId="54C4CD3B" w14:textId="77777777" w:rsidR="006D6BA5" w:rsidRPr="006D6BA5" w:rsidRDefault="006D6BA5" w:rsidP="00C070CB">
            <w:pPr>
              <w:spacing w:after="0" w:line="240" w:lineRule="auto"/>
              <w:jc w:val="right"/>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2,961,210,000</w:t>
            </w:r>
          </w:p>
        </w:tc>
        <w:tc>
          <w:tcPr>
            <w:tcW w:w="1298" w:type="dxa"/>
            <w:tcBorders>
              <w:top w:val="single" w:sz="8" w:space="0" w:color="auto"/>
              <w:left w:val="nil"/>
              <w:bottom w:val="single" w:sz="8" w:space="0" w:color="auto"/>
              <w:right w:val="single" w:sz="8" w:space="0" w:color="auto"/>
            </w:tcBorders>
            <w:shd w:val="clear" w:color="auto" w:fill="D6E3BC" w:themeFill="accent3" w:themeFillTint="66"/>
            <w:noWrap/>
            <w:vAlign w:val="bottom"/>
            <w:hideMark/>
          </w:tcPr>
          <w:p w14:paraId="1D02421A" w14:textId="77777777" w:rsidR="006D6BA5" w:rsidRPr="006D6BA5" w:rsidRDefault="006D6BA5" w:rsidP="00C070CB">
            <w:pPr>
              <w:spacing w:after="0" w:line="240" w:lineRule="auto"/>
              <w:jc w:val="right"/>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15,471,282,524</w:t>
            </w:r>
          </w:p>
        </w:tc>
        <w:tc>
          <w:tcPr>
            <w:tcW w:w="1186" w:type="dxa"/>
            <w:tcBorders>
              <w:top w:val="single" w:sz="8" w:space="0" w:color="auto"/>
              <w:left w:val="nil"/>
              <w:bottom w:val="single" w:sz="8" w:space="0" w:color="auto"/>
              <w:right w:val="single" w:sz="8" w:space="0" w:color="auto"/>
            </w:tcBorders>
            <w:shd w:val="clear" w:color="auto" w:fill="D6E3BC" w:themeFill="accent3" w:themeFillTint="66"/>
            <w:noWrap/>
            <w:vAlign w:val="bottom"/>
            <w:hideMark/>
          </w:tcPr>
          <w:p w14:paraId="7AAEA7F9" w14:textId="77777777" w:rsidR="006D6BA5" w:rsidRPr="006D6BA5" w:rsidRDefault="006D6BA5" w:rsidP="00C070CB">
            <w:pPr>
              <w:spacing w:after="0" w:line="240" w:lineRule="auto"/>
              <w:jc w:val="right"/>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7,326,856,300</w:t>
            </w:r>
          </w:p>
        </w:tc>
        <w:tc>
          <w:tcPr>
            <w:tcW w:w="1186" w:type="dxa"/>
            <w:tcBorders>
              <w:top w:val="single" w:sz="8" w:space="0" w:color="auto"/>
              <w:left w:val="nil"/>
              <w:bottom w:val="single" w:sz="8" w:space="0" w:color="auto"/>
              <w:right w:val="single" w:sz="8" w:space="0" w:color="auto"/>
            </w:tcBorders>
            <w:shd w:val="clear" w:color="auto" w:fill="D6E3BC" w:themeFill="accent3" w:themeFillTint="66"/>
            <w:noWrap/>
            <w:vAlign w:val="bottom"/>
            <w:hideMark/>
          </w:tcPr>
          <w:p w14:paraId="196EF511" w14:textId="77777777" w:rsidR="006D6BA5" w:rsidRPr="006D6BA5" w:rsidRDefault="006D6BA5" w:rsidP="00C070CB">
            <w:pPr>
              <w:spacing w:after="0" w:line="240" w:lineRule="auto"/>
              <w:jc w:val="right"/>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24,016,784,444</w:t>
            </w:r>
          </w:p>
        </w:tc>
        <w:tc>
          <w:tcPr>
            <w:tcW w:w="1180" w:type="dxa"/>
            <w:tcBorders>
              <w:top w:val="single" w:sz="8" w:space="0" w:color="auto"/>
              <w:left w:val="nil"/>
              <w:bottom w:val="single" w:sz="8" w:space="0" w:color="auto"/>
              <w:right w:val="single" w:sz="8" w:space="0" w:color="auto"/>
            </w:tcBorders>
            <w:shd w:val="clear" w:color="auto" w:fill="D6E3BC" w:themeFill="accent3" w:themeFillTint="66"/>
            <w:noWrap/>
            <w:vAlign w:val="bottom"/>
            <w:hideMark/>
          </w:tcPr>
          <w:p w14:paraId="50BC5F85" w14:textId="77777777" w:rsidR="006D6BA5" w:rsidRPr="006D6BA5" w:rsidRDefault="006D6BA5" w:rsidP="00C070CB">
            <w:pPr>
              <w:spacing w:after="0" w:line="240" w:lineRule="auto"/>
              <w:jc w:val="right"/>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31,343,640,744</w:t>
            </w:r>
          </w:p>
        </w:tc>
        <w:tc>
          <w:tcPr>
            <w:tcW w:w="1251" w:type="dxa"/>
            <w:tcBorders>
              <w:top w:val="single" w:sz="8" w:space="0" w:color="auto"/>
              <w:left w:val="nil"/>
              <w:bottom w:val="single" w:sz="8" w:space="0" w:color="auto"/>
              <w:right w:val="single" w:sz="8" w:space="0" w:color="auto"/>
            </w:tcBorders>
            <w:shd w:val="clear" w:color="auto" w:fill="D6E3BC" w:themeFill="accent3" w:themeFillTint="66"/>
            <w:noWrap/>
            <w:vAlign w:val="bottom"/>
            <w:hideMark/>
          </w:tcPr>
          <w:p w14:paraId="65A9630E" w14:textId="77777777" w:rsidR="006D6BA5" w:rsidRPr="006D6BA5" w:rsidRDefault="006D6BA5" w:rsidP="00C070CB">
            <w:pPr>
              <w:spacing w:after="0" w:line="240" w:lineRule="auto"/>
              <w:jc w:val="right"/>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741,902,995</w:t>
            </w:r>
          </w:p>
        </w:tc>
        <w:tc>
          <w:tcPr>
            <w:tcW w:w="955" w:type="dxa"/>
            <w:tcBorders>
              <w:top w:val="nil"/>
              <w:left w:val="nil"/>
              <w:bottom w:val="single" w:sz="8" w:space="0" w:color="auto"/>
              <w:right w:val="single" w:sz="8" w:space="0" w:color="auto"/>
            </w:tcBorders>
            <w:shd w:val="clear" w:color="auto" w:fill="D6E3BC" w:themeFill="accent3" w:themeFillTint="66"/>
            <w:noWrap/>
            <w:vAlign w:val="bottom"/>
            <w:hideMark/>
          </w:tcPr>
          <w:p w14:paraId="2E4A05F3" w14:textId="77777777" w:rsidR="006D6BA5" w:rsidRPr="006D6BA5" w:rsidRDefault="006D6BA5" w:rsidP="006D6BA5">
            <w:pPr>
              <w:spacing w:after="0" w:line="240" w:lineRule="auto"/>
              <w:jc w:val="right"/>
              <w:rPr>
                <w:rFonts w:ascii="Century Gothic" w:eastAsia="Times New Roman" w:hAnsi="Century Gothic" w:cs="Calibri"/>
                <w:b/>
                <w:bCs/>
                <w:sz w:val="12"/>
                <w:szCs w:val="12"/>
                <w:lang w:val="es-US" w:eastAsia="es-US"/>
              </w:rPr>
            </w:pPr>
            <w:r w:rsidRPr="006D6BA5">
              <w:rPr>
                <w:rFonts w:ascii="Century Gothic" w:eastAsia="Times New Roman" w:hAnsi="Century Gothic" w:cs="Calibri"/>
                <w:b/>
                <w:bCs/>
                <w:sz w:val="12"/>
                <w:szCs w:val="12"/>
                <w:lang w:val="es-US" w:eastAsia="es-US"/>
              </w:rPr>
              <w:t>203%</w:t>
            </w:r>
          </w:p>
        </w:tc>
      </w:tr>
    </w:tbl>
    <w:p w14:paraId="1EA929B0" w14:textId="77777777" w:rsidR="00650A08" w:rsidRDefault="00650A08" w:rsidP="00183231">
      <w:pPr>
        <w:spacing w:line="240" w:lineRule="auto"/>
        <w:ind w:left="720"/>
        <w:jc w:val="center"/>
        <w:rPr>
          <w:rFonts w:ascii="Arial" w:hAnsi="Arial" w:cs="Arial"/>
          <w:b/>
          <w:sz w:val="16"/>
          <w:szCs w:val="16"/>
        </w:rPr>
      </w:pPr>
    </w:p>
    <w:p w14:paraId="5AB112C9" w14:textId="77777777" w:rsidR="00822926" w:rsidRPr="003C5C59" w:rsidRDefault="00822926" w:rsidP="00344F9A">
      <w:pPr>
        <w:spacing w:line="240" w:lineRule="auto"/>
        <w:rPr>
          <w:rFonts w:ascii="Arial" w:hAnsi="Arial" w:cs="Arial"/>
          <w:b/>
          <w:sz w:val="18"/>
          <w:szCs w:val="18"/>
        </w:rPr>
        <w:sectPr w:rsidR="00822926" w:rsidRPr="003C5C59" w:rsidSect="005C60DD">
          <w:pgSz w:w="15840" w:h="12240" w:orient="landscape"/>
          <w:pgMar w:top="3" w:right="1418" w:bottom="1701" w:left="1418" w:header="510" w:footer="454" w:gutter="0"/>
          <w:cols w:space="708"/>
          <w:docGrid w:linePitch="360"/>
        </w:sectPr>
      </w:pPr>
    </w:p>
    <w:p w14:paraId="562A9EA8" w14:textId="77777777" w:rsidR="001E1B19" w:rsidRDefault="001E1B19" w:rsidP="00551D21">
      <w:pPr>
        <w:pStyle w:val="Ttulo3"/>
        <w:rPr>
          <w:rFonts w:ascii="Arial" w:hAnsi="Arial" w:cs="Arial"/>
          <w:color w:val="auto"/>
          <w:sz w:val="24"/>
          <w:szCs w:val="24"/>
        </w:rPr>
      </w:pPr>
    </w:p>
    <w:p w14:paraId="3C15739D" w14:textId="77777777" w:rsidR="00025DED" w:rsidRPr="00551D21" w:rsidRDefault="00663D58" w:rsidP="00551D21">
      <w:pPr>
        <w:pStyle w:val="Ttulo3"/>
        <w:rPr>
          <w:rFonts w:ascii="Arial" w:hAnsi="Arial" w:cs="Arial"/>
          <w:color w:val="auto"/>
          <w:sz w:val="24"/>
          <w:szCs w:val="24"/>
        </w:rPr>
      </w:pPr>
      <w:bookmarkStart w:id="15" w:name="_Toc94522217"/>
      <w:r w:rsidRPr="00551D21">
        <w:rPr>
          <w:rFonts w:ascii="Arial" w:hAnsi="Arial" w:cs="Arial"/>
          <w:color w:val="auto"/>
          <w:sz w:val="24"/>
          <w:szCs w:val="24"/>
        </w:rPr>
        <w:t>3</w:t>
      </w:r>
      <w:r w:rsidR="00025DED" w:rsidRPr="00551D21">
        <w:rPr>
          <w:rFonts w:ascii="Arial" w:hAnsi="Arial" w:cs="Arial"/>
          <w:color w:val="auto"/>
          <w:sz w:val="24"/>
          <w:szCs w:val="24"/>
        </w:rPr>
        <w:t>.2 E</w:t>
      </w:r>
      <w:r w:rsidRPr="00551D21">
        <w:rPr>
          <w:rFonts w:ascii="Arial" w:hAnsi="Arial" w:cs="Arial"/>
          <w:color w:val="auto"/>
          <w:sz w:val="24"/>
          <w:szCs w:val="24"/>
        </w:rPr>
        <w:t>jecución</w:t>
      </w:r>
      <w:r w:rsidR="00025DED" w:rsidRPr="00551D21">
        <w:rPr>
          <w:rFonts w:ascii="Arial" w:hAnsi="Arial" w:cs="Arial"/>
          <w:color w:val="auto"/>
          <w:sz w:val="24"/>
          <w:szCs w:val="24"/>
        </w:rPr>
        <w:t xml:space="preserve"> </w:t>
      </w:r>
      <w:r w:rsidRPr="00551D21">
        <w:rPr>
          <w:rFonts w:ascii="Arial" w:hAnsi="Arial" w:cs="Arial"/>
          <w:color w:val="auto"/>
          <w:sz w:val="24"/>
          <w:szCs w:val="24"/>
        </w:rPr>
        <w:t>del</w:t>
      </w:r>
      <w:r w:rsidR="00025DED" w:rsidRPr="00551D21">
        <w:rPr>
          <w:rFonts w:ascii="Arial" w:hAnsi="Arial" w:cs="Arial"/>
          <w:color w:val="auto"/>
          <w:sz w:val="24"/>
          <w:szCs w:val="24"/>
        </w:rPr>
        <w:t xml:space="preserve"> P</w:t>
      </w:r>
      <w:r w:rsidRPr="00551D21">
        <w:rPr>
          <w:rFonts w:ascii="Arial" w:hAnsi="Arial" w:cs="Arial"/>
          <w:color w:val="auto"/>
          <w:sz w:val="24"/>
          <w:szCs w:val="24"/>
        </w:rPr>
        <w:t>resupuesto</w:t>
      </w:r>
      <w:r w:rsidR="00025DED" w:rsidRPr="00551D21">
        <w:rPr>
          <w:rFonts w:ascii="Arial" w:hAnsi="Arial" w:cs="Arial"/>
          <w:color w:val="auto"/>
          <w:sz w:val="24"/>
          <w:szCs w:val="24"/>
        </w:rPr>
        <w:t xml:space="preserve"> </w:t>
      </w:r>
      <w:r w:rsidRPr="00551D21">
        <w:rPr>
          <w:rFonts w:ascii="Arial" w:hAnsi="Arial" w:cs="Arial"/>
          <w:color w:val="auto"/>
          <w:sz w:val="24"/>
          <w:szCs w:val="24"/>
        </w:rPr>
        <w:t>de</w:t>
      </w:r>
      <w:r w:rsidR="00025DED" w:rsidRPr="00551D21">
        <w:rPr>
          <w:rFonts w:ascii="Arial" w:hAnsi="Arial" w:cs="Arial"/>
          <w:color w:val="auto"/>
          <w:sz w:val="24"/>
          <w:szCs w:val="24"/>
        </w:rPr>
        <w:t xml:space="preserve"> E</w:t>
      </w:r>
      <w:r w:rsidRPr="00551D21">
        <w:rPr>
          <w:rFonts w:ascii="Arial" w:hAnsi="Arial" w:cs="Arial"/>
          <w:color w:val="auto"/>
          <w:sz w:val="24"/>
          <w:szCs w:val="24"/>
        </w:rPr>
        <w:t>gresos</w:t>
      </w:r>
      <w:bookmarkEnd w:id="15"/>
      <w:r w:rsidR="00025DED" w:rsidRPr="00551D21">
        <w:rPr>
          <w:rFonts w:ascii="Arial" w:hAnsi="Arial" w:cs="Arial"/>
          <w:color w:val="auto"/>
          <w:sz w:val="24"/>
          <w:szCs w:val="24"/>
        </w:rPr>
        <w:t xml:space="preserve"> </w:t>
      </w:r>
    </w:p>
    <w:p w14:paraId="1E012D0C" w14:textId="77777777" w:rsidR="00025DED" w:rsidRDefault="00025DED" w:rsidP="00025DED">
      <w:pPr>
        <w:spacing w:after="0" w:line="240" w:lineRule="auto"/>
        <w:rPr>
          <w:rFonts w:ascii="Arial" w:hAnsi="Arial" w:cs="Arial"/>
          <w:b/>
          <w:sz w:val="24"/>
          <w:szCs w:val="24"/>
        </w:rPr>
      </w:pPr>
    </w:p>
    <w:p w14:paraId="2E29E520" w14:textId="77777777" w:rsidR="001E1B19" w:rsidRPr="00663D58" w:rsidRDefault="001E1B19" w:rsidP="00025DED">
      <w:pPr>
        <w:spacing w:after="0" w:line="240" w:lineRule="auto"/>
        <w:rPr>
          <w:rFonts w:ascii="Arial" w:hAnsi="Arial" w:cs="Arial"/>
          <w:b/>
          <w:sz w:val="24"/>
          <w:szCs w:val="24"/>
        </w:rPr>
      </w:pPr>
    </w:p>
    <w:p w14:paraId="1847C635" w14:textId="77777777" w:rsidR="00025DED" w:rsidRPr="00663D58" w:rsidRDefault="00025DED" w:rsidP="00025DED">
      <w:pPr>
        <w:spacing w:after="0" w:line="240" w:lineRule="auto"/>
        <w:jc w:val="center"/>
        <w:rPr>
          <w:rFonts w:ascii="Arial" w:hAnsi="Arial" w:cs="Arial"/>
          <w:b/>
          <w:sz w:val="24"/>
          <w:szCs w:val="24"/>
        </w:rPr>
      </w:pPr>
      <w:r w:rsidRPr="00663D58">
        <w:rPr>
          <w:rFonts w:ascii="Arial" w:hAnsi="Arial" w:cs="Arial"/>
          <w:b/>
          <w:sz w:val="24"/>
          <w:szCs w:val="24"/>
        </w:rPr>
        <w:t>FIDEICOMISO 544 FONAFIFO/BNCR</w:t>
      </w:r>
    </w:p>
    <w:p w14:paraId="148BA0F8" w14:textId="77777777" w:rsidR="00025DED" w:rsidRPr="00663D58" w:rsidRDefault="00025DED" w:rsidP="00025DED">
      <w:pPr>
        <w:spacing w:after="0" w:line="240" w:lineRule="auto"/>
        <w:jc w:val="center"/>
        <w:rPr>
          <w:rFonts w:ascii="Arial" w:hAnsi="Arial" w:cs="Arial"/>
          <w:b/>
          <w:sz w:val="24"/>
          <w:szCs w:val="24"/>
        </w:rPr>
      </w:pPr>
      <w:r w:rsidRPr="00663D58">
        <w:rPr>
          <w:rFonts w:ascii="Arial" w:hAnsi="Arial" w:cs="Arial"/>
          <w:b/>
          <w:sz w:val="24"/>
          <w:szCs w:val="24"/>
        </w:rPr>
        <w:t xml:space="preserve">EJECUCIÓN PRESUPUESTARIA DE EGRESOS </w:t>
      </w:r>
    </w:p>
    <w:p w14:paraId="4BAB0908" w14:textId="2D16B94C" w:rsidR="00025DED" w:rsidRPr="00663D58" w:rsidRDefault="00025DED" w:rsidP="00025DED">
      <w:pPr>
        <w:spacing w:after="0" w:line="240" w:lineRule="auto"/>
        <w:ind w:left="720"/>
        <w:jc w:val="center"/>
        <w:rPr>
          <w:rFonts w:ascii="Arial" w:hAnsi="Arial" w:cs="Arial"/>
          <w:b/>
          <w:sz w:val="24"/>
          <w:szCs w:val="24"/>
        </w:rPr>
      </w:pPr>
      <w:r w:rsidRPr="00663D58">
        <w:rPr>
          <w:rFonts w:ascii="Arial" w:hAnsi="Arial" w:cs="Arial"/>
          <w:b/>
          <w:sz w:val="24"/>
          <w:szCs w:val="24"/>
        </w:rPr>
        <w:t>AL 3</w:t>
      </w:r>
      <w:r w:rsidR="001E1B19">
        <w:rPr>
          <w:rFonts w:ascii="Arial" w:hAnsi="Arial" w:cs="Arial"/>
          <w:b/>
          <w:sz w:val="24"/>
          <w:szCs w:val="24"/>
        </w:rPr>
        <w:t>1</w:t>
      </w:r>
      <w:r w:rsidRPr="00663D58">
        <w:rPr>
          <w:rFonts w:ascii="Arial" w:hAnsi="Arial" w:cs="Arial"/>
          <w:b/>
          <w:sz w:val="24"/>
          <w:szCs w:val="24"/>
        </w:rPr>
        <w:t xml:space="preserve"> DE </w:t>
      </w:r>
      <w:r w:rsidR="001E1B19">
        <w:rPr>
          <w:rFonts w:ascii="Arial" w:hAnsi="Arial" w:cs="Arial"/>
          <w:b/>
          <w:sz w:val="24"/>
          <w:szCs w:val="24"/>
        </w:rPr>
        <w:t>DICIEMBRE</w:t>
      </w:r>
      <w:r w:rsidRPr="00663D58">
        <w:rPr>
          <w:rFonts w:ascii="Arial" w:hAnsi="Arial" w:cs="Arial"/>
          <w:b/>
          <w:sz w:val="24"/>
          <w:szCs w:val="24"/>
        </w:rPr>
        <w:t xml:space="preserve"> 20</w:t>
      </w:r>
      <w:r w:rsidR="00EA10B9">
        <w:rPr>
          <w:rFonts w:ascii="Arial" w:hAnsi="Arial" w:cs="Arial"/>
          <w:b/>
          <w:sz w:val="24"/>
          <w:szCs w:val="24"/>
        </w:rPr>
        <w:t>2</w:t>
      </w:r>
      <w:r w:rsidR="000C5578">
        <w:rPr>
          <w:rFonts w:ascii="Arial" w:hAnsi="Arial" w:cs="Arial"/>
          <w:b/>
          <w:sz w:val="24"/>
          <w:szCs w:val="24"/>
        </w:rPr>
        <w:t>1</w:t>
      </w:r>
    </w:p>
    <w:p w14:paraId="7B8667EC" w14:textId="77777777" w:rsidR="00AF1526" w:rsidRDefault="00025DED" w:rsidP="00025DED">
      <w:pPr>
        <w:spacing w:after="0" w:line="240" w:lineRule="auto"/>
        <w:jc w:val="center"/>
        <w:rPr>
          <w:rFonts w:ascii="Arial" w:hAnsi="Arial" w:cs="Arial"/>
          <w:b/>
          <w:sz w:val="24"/>
          <w:szCs w:val="24"/>
        </w:rPr>
      </w:pPr>
      <w:r w:rsidRPr="00663D58">
        <w:rPr>
          <w:rFonts w:ascii="Arial" w:hAnsi="Arial" w:cs="Arial"/>
          <w:b/>
          <w:sz w:val="24"/>
          <w:szCs w:val="24"/>
        </w:rPr>
        <w:t>(EXPRESAD</w:t>
      </w:r>
      <w:r w:rsidR="001E1B19">
        <w:rPr>
          <w:rFonts w:ascii="Arial" w:hAnsi="Arial" w:cs="Arial"/>
          <w:b/>
          <w:sz w:val="24"/>
          <w:szCs w:val="24"/>
        </w:rPr>
        <w:t>0</w:t>
      </w:r>
      <w:r w:rsidRPr="00663D58">
        <w:rPr>
          <w:rFonts w:ascii="Arial" w:hAnsi="Arial" w:cs="Arial"/>
          <w:b/>
          <w:sz w:val="24"/>
          <w:szCs w:val="24"/>
        </w:rPr>
        <w:t xml:space="preserve"> EN COLONES)</w:t>
      </w:r>
    </w:p>
    <w:p w14:paraId="6E4DB7C7" w14:textId="77777777" w:rsidR="00B56F38" w:rsidRDefault="00B56F38" w:rsidP="00355C90">
      <w:pPr>
        <w:spacing w:after="0" w:line="240" w:lineRule="auto"/>
        <w:jc w:val="center"/>
        <w:rPr>
          <w:rFonts w:ascii="Arial" w:hAnsi="Arial" w:cs="Arial"/>
          <w:b/>
          <w:sz w:val="24"/>
          <w:szCs w:val="24"/>
        </w:rPr>
      </w:pPr>
    </w:p>
    <w:tbl>
      <w:tblPr>
        <w:tblW w:w="9644"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417"/>
        <w:gridCol w:w="1709"/>
        <w:gridCol w:w="1709"/>
        <w:gridCol w:w="1949"/>
        <w:gridCol w:w="1159"/>
      </w:tblGrid>
      <w:tr w:rsidR="00CB64B5" w:rsidRPr="00CB64B5" w14:paraId="2246CD91" w14:textId="77777777" w:rsidTr="009F5C41">
        <w:trPr>
          <w:trHeight w:val="255"/>
        </w:trPr>
        <w:tc>
          <w:tcPr>
            <w:tcW w:w="1701" w:type="dxa"/>
            <w:vMerge w:val="restart"/>
            <w:shd w:val="clear" w:color="auto" w:fill="D6E3BC" w:themeFill="accent3" w:themeFillTint="66"/>
            <w:noWrap/>
            <w:vAlign w:val="center"/>
            <w:hideMark/>
          </w:tcPr>
          <w:p w14:paraId="7935B19C" w14:textId="77777777" w:rsidR="00CB64B5" w:rsidRPr="00CB64B5" w:rsidRDefault="00CB64B5" w:rsidP="00CB64B5">
            <w:pPr>
              <w:spacing w:after="0" w:line="240" w:lineRule="auto"/>
              <w:jc w:val="center"/>
              <w:rPr>
                <w:rFonts w:ascii="Arial" w:eastAsia="Times New Roman" w:hAnsi="Arial" w:cs="Arial"/>
                <w:b/>
                <w:bCs/>
                <w:color w:val="000000"/>
                <w:sz w:val="16"/>
                <w:szCs w:val="16"/>
                <w:lang w:val="es-US" w:eastAsia="es-US"/>
              </w:rPr>
            </w:pPr>
            <w:r w:rsidRPr="00CB64B5">
              <w:rPr>
                <w:rFonts w:ascii="Arial" w:eastAsia="Times New Roman" w:hAnsi="Arial" w:cs="Arial"/>
                <w:b/>
                <w:bCs/>
                <w:color w:val="000000"/>
                <w:sz w:val="16"/>
                <w:szCs w:val="16"/>
                <w:lang w:val="es-US" w:eastAsia="es-US"/>
              </w:rPr>
              <w:t>Nombre de la sub partida</w:t>
            </w:r>
          </w:p>
        </w:tc>
        <w:tc>
          <w:tcPr>
            <w:tcW w:w="1417" w:type="dxa"/>
            <w:vMerge w:val="restart"/>
            <w:shd w:val="clear" w:color="auto" w:fill="D6E3BC" w:themeFill="accent3" w:themeFillTint="66"/>
            <w:noWrap/>
            <w:vAlign w:val="center"/>
            <w:hideMark/>
          </w:tcPr>
          <w:p w14:paraId="1BEBB871" w14:textId="77777777" w:rsidR="00CB64B5" w:rsidRPr="00CB64B5" w:rsidRDefault="00CB64B5" w:rsidP="00CB64B5">
            <w:pPr>
              <w:spacing w:after="0" w:line="240" w:lineRule="auto"/>
              <w:jc w:val="center"/>
              <w:rPr>
                <w:rFonts w:ascii="Arial" w:eastAsia="Times New Roman" w:hAnsi="Arial" w:cs="Arial"/>
                <w:b/>
                <w:bCs/>
                <w:color w:val="000000"/>
                <w:sz w:val="16"/>
                <w:szCs w:val="16"/>
                <w:lang w:val="es-US" w:eastAsia="es-US"/>
              </w:rPr>
            </w:pPr>
            <w:r w:rsidRPr="00CB64B5">
              <w:rPr>
                <w:rFonts w:ascii="Arial" w:eastAsia="Times New Roman" w:hAnsi="Arial" w:cs="Arial"/>
                <w:b/>
                <w:bCs/>
                <w:color w:val="000000"/>
                <w:sz w:val="16"/>
                <w:szCs w:val="16"/>
                <w:lang w:val="es-US" w:eastAsia="es-US"/>
              </w:rPr>
              <w:t>Presupuesto aprobado</w:t>
            </w:r>
          </w:p>
        </w:tc>
        <w:tc>
          <w:tcPr>
            <w:tcW w:w="5367" w:type="dxa"/>
            <w:gridSpan w:val="3"/>
            <w:shd w:val="clear" w:color="auto" w:fill="D6E3BC" w:themeFill="accent3" w:themeFillTint="66"/>
            <w:noWrap/>
            <w:vAlign w:val="bottom"/>
            <w:hideMark/>
          </w:tcPr>
          <w:p w14:paraId="3D0F89D0" w14:textId="77777777" w:rsidR="00CB64B5" w:rsidRPr="00CB64B5" w:rsidRDefault="00CB64B5" w:rsidP="00CB64B5">
            <w:pPr>
              <w:spacing w:after="0" w:line="240" w:lineRule="auto"/>
              <w:jc w:val="center"/>
              <w:rPr>
                <w:rFonts w:eastAsia="Times New Roman" w:cs="Calibri"/>
                <w:color w:val="000000"/>
                <w:lang w:val="es-US" w:eastAsia="es-US"/>
              </w:rPr>
            </w:pPr>
            <w:r w:rsidRPr="00CB64B5">
              <w:rPr>
                <w:rFonts w:eastAsia="Times New Roman" w:cs="Calibri"/>
                <w:color w:val="000000"/>
                <w:lang w:val="es-US" w:eastAsia="es-US"/>
              </w:rPr>
              <w:t>Presupuesto Ejecutado</w:t>
            </w:r>
          </w:p>
        </w:tc>
        <w:tc>
          <w:tcPr>
            <w:tcW w:w="1159" w:type="dxa"/>
            <w:vMerge w:val="restart"/>
            <w:shd w:val="clear" w:color="auto" w:fill="D6E3BC" w:themeFill="accent3" w:themeFillTint="66"/>
            <w:noWrap/>
            <w:vAlign w:val="center"/>
            <w:hideMark/>
          </w:tcPr>
          <w:p w14:paraId="1826C456" w14:textId="77777777" w:rsidR="00CB64B5" w:rsidRPr="00CB64B5" w:rsidRDefault="00CB64B5" w:rsidP="00CB64B5">
            <w:pPr>
              <w:spacing w:after="0" w:line="240" w:lineRule="auto"/>
              <w:jc w:val="center"/>
              <w:rPr>
                <w:rFonts w:ascii="Arial" w:eastAsia="Times New Roman" w:hAnsi="Arial" w:cs="Arial"/>
                <w:b/>
                <w:bCs/>
                <w:color w:val="000000"/>
                <w:sz w:val="16"/>
                <w:szCs w:val="16"/>
                <w:lang w:val="es-US" w:eastAsia="es-US"/>
              </w:rPr>
            </w:pPr>
            <w:r w:rsidRPr="00CB64B5">
              <w:rPr>
                <w:rFonts w:ascii="Arial" w:eastAsia="Times New Roman" w:hAnsi="Arial" w:cs="Arial"/>
                <w:b/>
                <w:bCs/>
                <w:color w:val="000000"/>
                <w:sz w:val="16"/>
                <w:szCs w:val="16"/>
                <w:lang w:val="es-US" w:eastAsia="es-US"/>
              </w:rPr>
              <w:t>% Ejecución</w:t>
            </w:r>
          </w:p>
        </w:tc>
      </w:tr>
      <w:tr w:rsidR="00CB64B5" w:rsidRPr="00CB64B5" w14:paraId="7E135DDC" w14:textId="77777777" w:rsidTr="00101172">
        <w:trPr>
          <w:trHeight w:val="255"/>
        </w:trPr>
        <w:tc>
          <w:tcPr>
            <w:tcW w:w="1701" w:type="dxa"/>
            <w:vMerge/>
            <w:vAlign w:val="center"/>
            <w:hideMark/>
          </w:tcPr>
          <w:p w14:paraId="1149019B" w14:textId="77777777" w:rsidR="00CB64B5" w:rsidRPr="00CB64B5" w:rsidRDefault="00CB64B5" w:rsidP="00CB64B5">
            <w:pPr>
              <w:spacing w:after="0" w:line="240" w:lineRule="auto"/>
              <w:rPr>
                <w:rFonts w:ascii="Arial" w:eastAsia="Times New Roman" w:hAnsi="Arial" w:cs="Arial"/>
                <w:b/>
                <w:bCs/>
                <w:color w:val="000000"/>
                <w:sz w:val="16"/>
                <w:szCs w:val="16"/>
                <w:lang w:val="es-US" w:eastAsia="es-US"/>
              </w:rPr>
            </w:pPr>
          </w:p>
        </w:tc>
        <w:tc>
          <w:tcPr>
            <w:tcW w:w="1417" w:type="dxa"/>
            <w:vMerge/>
            <w:vAlign w:val="center"/>
            <w:hideMark/>
          </w:tcPr>
          <w:p w14:paraId="38CF4730" w14:textId="77777777" w:rsidR="00CB64B5" w:rsidRPr="00CB64B5" w:rsidRDefault="00CB64B5" w:rsidP="00CB64B5">
            <w:pPr>
              <w:spacing w:after="0" w:line="240" w:lineRule="auto"/>
              <w:rPr>
                <w:rFonts w:ascii="Arial" w:eastAsia="Times New Roman" w:hAnsi="Arial" w:cs="Arial"/>
                <w:b/>
                <w:bCs/>
                <w:color w:val="000000"/>
                <w:sz w:val="16"/>
                <w:szCs w:val="16"/>
                <w:lang w:val="es-US" w:eastAsia="es-US"/>
              </w:rPr>
            </w:pPr>
          </w:p>
        </w:tc>
        <w:tc>
          <w:tcPr>
            <w:tcW w:w="1709" w:type="dxa"/>
            <w:shd w:val="clear" w:color="auto" w:fill="D6E3BC" w:themeFill="accent3" w:themeFillTint="66"/>
            <w:noWrap/>
            <w:vAlign w:val="center"/>
            <w:hideMark/>
          </w:tcPr>
          <w:p w14:paraId="02EAD8E7" w14:textId="77777777" w:rsidR="00CB64B5" w:rsidRPr="00CB64B5" w:rsidRDefault="00CB64B5" w:rsidP="00CB64B5">
            <w:pPr>
              <w:spacing w:after="0" w:line="240" w:lineRule="auto"/>
              <w:jc w:val="center"/>
              <w:rPr>
                <w:rFonts w:ascii="Arial" w:eastAsia="Times New Roman" w:hAnsi="Arial" w:cs="Arial"/>
                <w:b/>
                <w:bCs/>
                <w:color w:val="000000"/>
                <w:sz w:val="16"/>
                <w:szCs w:val="16"/>
                <w:lang w:val="es-US" w:eastAsia="es-US"/>
              </w:rPr>
            </w:pPr>
            <w:r w:rsidRPr="00CB64B5">
              <w:rPr>
                <w:rFonts w:ascii="Arial" w:eastAsia="Times New Roman" w:hAnsi="Arial" w:cs="Arial"/>
                <w:b/>
                <w:bCs/>
                <w:color w:val="000000"/>
                <w:sz w:val="16"/>
                <w:szCs w:val="16"/>
                <w:lang w:val="es-US" w:eastAsia="es-US"/>
              </w:rPr>
              <w:t>I Semestre</w:t>
            </w:r>
          </w:p>
        </w:tc>
        <w:tc>
          <w:tcPr>
            <w:tcW w:w="1709" w:type="dxa"/>
            <w:shd w:val="clear" w:color="auto" w:fill="D6E3BC" w:themeFill="accent3" w:themeFillTint="66"/>
            <w:noWrap/>
            <w:vAlign w:val="center"/>
            <w:hideMark/>
          </w:tcPr>
          <w:p w14:paraId="068FCEF1" w14:textId="77777777" w:rsidR="00CB64B5" w:rsidRPr="00CB64B5" w:rsidRDefault="00CB64B5" w:rsidP="00CB64B5">
            <w:pPr>
              <w:spacing w:after="0" w:line="240" w:lineRule="auto"/>
              <w:jc w:val="center"/>
              <w:rPr>
                <w:rFonts w:ascii="Arial" w:eastAsia="Times New Roman" w:hAnsi="Arial" w:cs="Arial"/>
                <w:b/>
                <w:bCs/>
                <w:color w:val="000000"/>
                <w:sz w:val="16"/>
                <w:szCs w:val="16"/>
                <w:lang w:val="es-US" w:eastAsia="es-US"/>
              </w:rPr>
            </w:pPr>
            <w:r w:rsidRPr="00CB64B5">
              <w:rPr>
                <w:rFonts w:ascii="Arial" w:eastAsia="Times New Roman" w:hAnsi="Arial" w:cs="Arial"/>
                <w:b/>
                <w:bCs/>
                <w:color w:val="000000"/>
                <w:sz w:val="16"/>
                <w:szCs w:val="16"/>
                <w:lang w:val="es-US" w:eastAsia="es-US"/>
              </w:rPr>
              <w:t>II Semestre</w:t>
            </w:r>
          </w:p>
        </w:tc>
        <w:tc>
          <w:tcPr>
            <w:tcW w:w="1949" w:type="dxa"/>
            <w:shd w:val="clear" w:color="auto" w:fill="D6E3BC" w:themeFill="accent3" w:themeFillTint="66"/>
            <w:noWrap/>
            <w:vAlign w:val="center"/>
            <w:hideMark/>
          </w:tcPr>
          <w:p w14:paraId="5602AFCB" w14:textId="77777777" w:rsidR="00CB64B5" w:rsidRPr="00CB64B5" w:rsidRDefault="00CB64B5" w:rsidP="00CB64B5">
            <w:pPr>
              <w:spacing w:after="0" w:line="240" w:lineRule="auto"/>
              <w:jc w:val="center"/>
              <w:rPr>
                <w:rFonts w:ascii="Arial" w:eastAsia="Times New Roman" w:hAnsi="Arial" w:cs="Arial"/>
                <w:b/>
                <w:bCs/>
                <w:color w:val="000000"/>
                <w:sz w:val="16"/>
                <w:szCs w:val="16"/>
                <w:lang w:val="es-US" w:eastAsia="es-US"/>
              </w:rPr>
            </w:pPr>
            <w:r w:rsidRPr="00CB64B5">
              <w:rPr>
                <w:rFonts w:ascii="Arial" w:eastAsia="Times New Roman" w:hAnsi="Arial" w:cs="Arial"/>
                <w:b/>
                <w:bCs/>
                <w:color w:val="000000"/>
                <w:sz w:val="16"/>
                <w:szCs w:val="16"/>
                <w:lang w:val="es-US" w:eastAsia="es-US"/>
              </w:rPr>
              <w:t>Total Presupuesto Ejecutado</w:t>
            </w:r>
          </w:p>
        </w:tc>
        <w:tc>
          <w:tcPr>
            <w:tcW w:w="1159" w:type="dxa"/>
            <w:vMerge/>
            <w:vAlign w:val="center"/>
            <w:hideMark/>
          </w:tcPr>
          <w:p w14:paraId="401EF114" w14:textId="77777777" w:rsidR="00CB64B5" w:rsidRPr="00CB64B5" w:rsidRDefault="00CB64B5" w:rsidP="00CB64B5">
            <w:pPr>
              <w:spacing w:after="0" w:line="240" w:lineRule="auto"/>
              <w:rPr>
                <w:rFonts w:ascii="Arial" w:eastAsia="Times New Roman" w:hAnsi="Arial" w:cs="Arial"/>
                <w:b/>
                <w:bCs/>
                <w:color w:val="000000"/>
                <w:sz w:val="16"/>
                <w:szCs w:val="16"/>
                <w:lang w:val="es-US" w:eastAsia="es-US"/>
              </w:rPr>
            </w:pPr>
          </w:p>
        </w:tc>
      </w:tr>
      <w:tr w:rsidR="00CB64B5" w:rsidRPr="00CB64B5" w14:paraId="42AC9F87" w14:textId="77777777" w:rsidTr="00D60C6C">
        <w:trPr>
          <w:trHeight w:val="245"/>
        </w:trPr>
        <w:tc>
          <w:tcPr>
            <w:tcW w:w="1701" w:type="dxa"/>
            <w:shd w:val="clear" w:color="000000" w:fill="FFFFFF"/>
            <w:noWrap/>
            <w:vAlign w:val="center"/>
            <w:hideMark/>
          </w:tcPr>
          <w:p w14:paraId="4804B9B5" w14:textId="77777777" w:rsidR="00CB64B5" w:rsidRPr="00CB64B5" w:rsidRDefault="00CB64B5" w:rsidP="00CB64B5">
            <w:pPr>
              <w:spacing w:after="0" w:line="240" w:lineRule="auto"/>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0 Remuneraciones</w:t>
            </w:r>
          </w:p>
        </w:tc>
        <w:tc>
          <w:tcPr>
            <w:tcW w:w="1417" w:type="dxa"/>
            <w:shd w:val="clear" w:color="000000" w:fill="FFFFFF"/>
            <w:noWrap/>
            <w:vAlign w:val="center"/>
            <w:hideMark/>
          </w:tcPr>
          <w:p w14:paraId="78552719"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192,771,134 </w:t>
            </w:r>
          </w:p>
        </w:tc>
        <w:tc>
          <w:tcPr>
            <w:tcW w:w="1709" w:type="dxa"/>
            <w:shd w:val="clear" w:color="000000" w:fill="FFFFFF"/>
            <w:noWrap/>
            <w:vAlign w:val="center"/>
            <w:hideMark/>
          </w:tcPr>
          <w:p w14:paraId="75C9DBD2"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76,874,929 </w:t>
            </w:r>
          </w:p>
        </w:tc>
        <w:tc>
          <w:tcPr>
            <w:tcW w:w="1709" w:type="dxa"/>
            <w:shd w:val="clear" w:color="000000" w:fill="FFFFFF"/>
            <w:noWrap/>
            <w:vAlign w:val="center"/>
            <w:hideMark/>
          </w:tcPr>
          <w:p w14:paraId="5C02FD4D"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92,270,041 </w:t>
            </w:r>
          </w:p>
        </w:tc>
        <w:tc>
          <w:tcPr>
            <w:tcW w:w="1949" w:type="dxa"/>
            <w:shd w:val="clear" w:color="000000" w:fill="FFFFFF"/>
            <w:noWrap/>
            <w:vAlign w:val="center"/>
            <w:hideMark/>
          </w:tcPr>
          <w:p w14:paraId="79BC501B"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169,144,970 </w:t>
            </w:r>
          </w:p>
        </w:tc>
        <w:tc>
          <w:tcPr>
            <w:tcW w:w="1159" w:type="dxa"/>
            <w:shd w:val="clear" w:color="000000" w:fill="FFFFFF"/>
            <w:noWrap/>
            <w:vAlign w:val="center"/>
            <w:hideMark/>
          </w:tcPr>
          <w:p w14:paraId="485A138B"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87.74%</w:t>
            </w:r>
          </w:p>
        </w:tc>
      </w:tr>
      <w:tr w:rsidR="00CB64B5" w:rsidRPr="00CB64B5" w14:paraId="6C22AC5F" w14:textId="77777777" w:rsidTr="00D60C6C">
        <w:trPr>
          <w:trHeight w:val="245"/>
        </w:trPr>
        <w:tc>
          <w:tcPr>
            <w:tcW w:w="1701" w:type="dxa"/>
            <w:shd w:val="clear" w:color="000000" w:fill="FFFFFF"/>
            <w:noWrap/>
            <w:vAlign w:val="center"/>
            <w:hideMark/>
          </w:tcPr>
          <w:p w14:paraId="7370C453" w14:textId="77777777" w:rsidR="00CB64B5" w:rsidRPr="00CB64B5" w:rsidRDefault="00CB64B5" w:rsidP="00CB64B5">
            <w:pPr>
              <w:spacing w:after="0" w:line="240" w:lineRule="auto"/>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1 Servicios</w:t>
            </w:r>
          </w:p>
        </w:tc>
        <w:tc>
          <w:tcPr>
            <w:tcW w:w="1417" w:type="dxa"/>
            <w:shd w:val="clear" w:color="000000" w:fill="FFFFFF"/>
            <w:noWrap/>
            <w:vAlign w:val="center"/>
            <w:hideMark/>
          </w:tcPr>
          <w:p w14:paraId="48288C87"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190,431,679 </w:t>
            </w:r>
          </w:p>
        </w:tc>
        <w:tc>
          <w:tcPr>
            <w:tcW w:w="1709" w:type="dxa"/>
            <w:shd w:val="clear" w:color="000000" w:fill="FFFFFF"/>
            <w:noWrap/>
            <w:vAlign w:val="center"/>
            <w:hideMark/>
          </w:tcPr>
          <w:p w14:paraId="56A3F1EE"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70,795,115 </w:t>
            </w:r>
          </w:p>
        </w:tc>
        <w:tc>
          <w:tcPr>
            <w:tcW w:w="1709" w:type="dxa"/>
            <w:shd w:val="clear" w:color="000000" w:fill="FFFFFF"/>
            <w:noWrap/>
            <w:vAlign w:val="center"/>
            <w:hideMark/>
          </w:tcPr>
          <w:p w14:paraId="6A851DF6"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40,874,295 </w:t>
            </w:r>
          </w:p>
        </w:tc>
        <w:tc>
          <w:tcPr>
            <w:tcW w:w="1949" w:type="dxa"/>
            <w:shd w:val="clear" w:color="000000" w:fill="FFFFFF"/>
            <w:noWrap/>
            <w:vAlign w:val="center"/>
            <w:hideMark/>
          </w:tcPr>
          <w:p w14:paraId="0FDB52CB"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111,669,411 </w:t>
            </w:r>
          </w:p>
        </w:tc>
        <w:tc>
          <w:tcPr>
            <w:tcW w:w="1159" w:type="dxa"/>
            <w:shd w:val="clear" w:color="000000" w:fill="FFFFFF"/>
            <w:noWrap/>
            <w:vAlign w:val="center"/>
            <w:hideMark/>
          </w:tcPr>
          <w:p w14:paraId="6C03E2DA"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58.64%</w:t>
            </w:r>
          </w:p>
        </w:tc>
      </w:tr>
      <w:tr w:rsidR="00CB64B5" w:rsidRPr="00CB64B5" w14:paraId="51BC3F84" w14:textId="77777777" w:rsidTr="00D60C6C">
        <w:trPr>
          <w:trHeight w:val="245"/>
        </w:trPr>
        <w:tc>
          <w:tcPr>
            <w:tcW w:w="1701" w:type="dxa"/>
            <w:shd w:val="clear" w:color="000000" w:fill="FFFFFF"/>
            <w:noWrap/>
            <w:vAlign w:val="center"/>
            <w:hideMark/>
          </w:tcPr>
          <w:p w14:paraId="093B9700" w14:textId="77777777" w:rsidR="00CB64B5" w:rsidRPr="00CB64B5" w:rsidRDefault="00CB64B5" w:rsidP="00CB64B5">
            <w:pPr>
              <w:spacing w:after="0" w:line="240" w:lineRule="auto"/>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2 Materiales y suministros</w:t>
            </w:r>
          </w:p>
        </w:tc>
        <w:tc>
          <w:tcPr>
            <w:tcW w:w="1417" w:type="dxa"/>
            <w:shd w:val="clear" w:color="000000" w:fill="FFFFFF"/>
            <w:noWrap/>
            <w:vAlign w:val="center"/>
            <w:hideMark/>
          </w:tcPr>
          <w:p w14:paraId="4E1C906C"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758,460 </w:t>
            </w:r>
          </w:p>
        </w:tc>
        <w:tc>
          <w:tcPr>
            <w:tcW w:w="1709" w:type="dxa"/>
            <w:shd w:val="clear" w:color="000000" w:fill="FFFFFF"/>
            <w:noWrap/>
            <w:vAlign w:val="center"/>
            <w:hideMark/>
          </w:tcPr>
          <w:p w14:paraId="38DD6CA1"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96,585 </w:t>
            </w:r>
          </w:p>
        </w:tc>
        <w:tc>
          <w:tcPr>
            <w:tcW w:w="1709" w:type="dxa"/>
            <w:shd w:val="clear" w:color="000000" w:fill="FFFFFF"/>
            <w:noWrap/>
            <w:vAlign w:val="center"/>
            <w:hideMark/>
          </w:tcPr>
          <w:p w14:paraId="219D3DD3"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48,292 </w:t>
            </w:r>
          </w:p>
        </w:tc>
        <w:tc>
          <w:tcPr>
            <w:tcW w:w="1949" w:type="dxa"/>
            <w:shd w:val="clear" w:color="000000" w:fill="FFFFFF"/>
            <w:noWrap/>
            <w:vAlign w:val="center"/>
            <w:hideMark/>
          </w:tcPr>
          <w:p w14:paraId="28597942"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144,877 </w:t>
            </w:r>
          </w:p>
        </w:tc>
        <w:tc>
          <w:tcPr>
            <w:tcW w:w="1159" w:type="dxa"/>
            <w:shd w:val="clear" w:color="000000" w:fill="FFFFFF"/>
            <w:noWrap/>
            <w:vAlign w:val="center"/>
            <w:hideMark/>
          </w:tcPr>
          <w:p w14:paraId="0B8D95E6"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19.10%</w:t>
            </w:r>
          </w:p>
        </w:tc>
      </w:tr>
      <w:tr w:rsidR="00CB64B5" w:rsidRPr="00CB64B5" w14:paraId="7031CDFF" w14:textId="77777777" w:rsidTr="00D60C6C">
        <w:trPr>
          <w:trHeight w:val="245"/>
        </w:trPr>
        <w:tc>
          <w:tcPr>
            <w:tcW w:w="1701" w:type="dxa"/>
            <w:shd w:val="clear" w:color="000000" w:fill="FFFFFF"/>
            <w:noWrap/>
            <w:vAlign w:val="center"/>
            <w:hideMark/>
          </w:tcPr>
          <w:p w14:paraId="3DDD962D" w14:textId="77777777" w:rsidR="00CB64B5" w:rsidRPr="00CB64B5" w:rsidRDefault="00CB64B5" w:rsidP="00CB64B5">
            <w:pPr>
              <w:spacing w:after="0" w:line="240" w:lineRule="auto"/>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4 Activos Financieros</w:t>
            </w:r>
          </w:p>
        </w:tc>
        <w:tc>
          <w:tcPr>
            <w:tcW w:w="1417" w:type="dxa"/>
            <w:shd w:val="clear" w:color="000000" w:fill="FFFFFF"/>
            <w:noWrap/>
            <w:vAlign w:val="center"/>
            <w:hideMark/>
          </w:tcPr>
          <w:p w14:paraId="78D71369"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965,672,063 </w:t>
            </w:r>
          </w:p>
        </w:tc>
        <w:tc>
          <w:tcPr>
            <w:tcW w:w="1709" w:type="dxa"/>
            <w:shd w:val="clear" w:color="000000" w:fill="FFFFFF"/>
            <w:noWrap/>
            <w:vAlign w:val="center"/>
            <w:hideMark/>
          </w:tcPr>
          <w:p w14:paraId="6E10A5E4"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238,350,077 </w:t>
            </w:r>
          </w:p>
        </w:tc>
        <w:tc>
          <w:tcPr>
            <w:tcW w:w="1709" w:type="dxa"/>
            <w:shd w:val="clear" w:color="000000" w:fill="FFFFFF"/>
            <w:noWrap/>
            <w:vAlign w:val="center"/>
            <w:hideMark/>
          </w:tcPr>
          <w:p w14:paraId="0FB91AAF"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367,155,869 </w:t>
            </w:r>
          </w:p>
        </w:tc>
        <w:tc>
          <w:tcPr>
            <w:tcW w:w="1949" w:type="dxa"/>
            <w:shd w:val="clear" w:color="000000" w:fill="FFFFFF"/>
            <w:noWrap/>
            <w:vAlign w:val="center"/>
            <w:hideMark/>
          </w:tcPr>
          <w:p w14:paraId="4B4172FB"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605,505,947 </w:t>
            </w:r>
          </w:p>
        </w:tc>
        <w:tc>
          <w:tcPr>
            <w:tcW w:w="1159" w:type="dxa"/>
            <w:shd w:val="clear" w:color="000000" w:fill="FFFFFF"/>
            <w:noWrap/>
            <w:vAlign w:val="center"/>
            <w:hideMark/>
          </w:tcPr>
          <w:p w14:paraId="28E4E4FF"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62.70%</w:t>
            </w:r>
          </w:p>
        </w:tc>
      </w:tr>
      <w:tr w:rsidR="00CB64B5" w:rsidRPr="00CB64B5" w14:paraId="54F7724B" w14:textId="77777777" w:rsidTr="00D60C6C">
        <w:trPr>
          <w:trHeight w:val="245"/>
        </w:trPr>
        <w:tc>
          <w:tcPr>
            <w:tcW w:w="1701" w:type="dxa"/>
            <w:shd w:val="clear" w:color="000000" w:fill="FFFFFF"/>
            <w:noWrap/>
            <w:vAlign w:val="center"/>
            <w:hideMark/>
          </w:tcPr>
          <w:p w14:paraId="41B894CA" w14:textId="77777777" w:rsidR="00CB64B5" w:rsidRPr="00CB64B5" w:rsidRDefault="00CB64B5" w:rsidP="00CB64B5">
            <w:pPr>
              <w:spacing w:after="0" w:line="240" w:lineRule="auto"/>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6 Transferencias Corrientes</w:t>
            </w:r>
          </w:p>
        </w:tc>
        <w:tc>
          <w:tcPr>
            <w:tcW w:w="1417" w:type="dxa"/>
            <w:shd w:val="clear" w:color="000000" w:fill="FFFFFF"/>
            <w:noWrap/>
            <w:vAlign w:val="center"/>
            <w:hideMark/>
          </w:tcPr>
          <w:p w14:paraId="6130EB9D"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236,402,793 </w:t>
            </w:r>
          </w:p>
        </w:tc>
        <w:tc>
          <w:tcPr>
            <w:tcW w:w="1709" w:type="dxa"/>
            <w:shd w:val="clear" w:color="000000" w:fill="FFFFFF"/>
            <w:noWrap/>
            <w:vAlign w:val="center"/>
            <w:hideMark/>
          </w:tcPr>
          <w:p w14:paraId="2CCBC4E5"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174,471,089 </w:t>
            </w:r>
          </w:p>
        </w:tc>
        <w:tc>
          <w:tcPr>
            <w:tcW w:w="1709" w:type="dxa"/>
            <w:shd w:val="clear" w:color="000000" w:fill="FFFFFF"/>
            <w:noWrap/>
            <w:vAlign w:val="center"/>
            <w:hideMark/>
          </w:tcPr>
          <w:p w14:paraId="204D5D62"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1,947,177 </w:t>
            </w:r>
          </w:p>
        </w:tc>
        <w:tc>
          <w:tcPr>
            <w:tcW w:w="1949" w:type="dxa"/>
            <w:shd w:val="clear" w:color="000000" w:fill="FFFFFF"/>
            <w:noWrap/>
            <w:vAlign w:val="center"/>
            <w:hideMark/>
          </w:tcPr>
          <w:p w14:paraId="53044A6C"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176,418,266 </w:t>
            </w:r>
          </w:p>
        </w:tc>
        <w:tc>
          <w:tcPr>
            <w:tcW w:w="1159" w:type="dxa"/>
            <w:shd w:val="clear" w:color="000000" w:fill="FFFFFF"/>
            <w:noWrap/>
            <w:vAlign w:val="center"/>
            <w:hideMark/>
          </w:tcPr>
          <w:p w14:paraId="66A7F88F"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74.63%</w:t>
            </w:r>
          </w:p>
        </w:tc>
      </w:tr>
      <w:tr w:rsidR="00CB64B5" w:rsidRPr="00CB64B5" w14:paraId="57368742" w14:textId="77777777" w:rsidTr="00D60C6C">
        <w:trPr>
          <w:trHeight w:val="245"/>
        </w:trPr>
        <w:tc>
          <w:tcPr>
            <w:tcW w:w="1701" w:type="dxa"/>
            <w:shd w:val="clear" w:color="000000" w:fill="FFFFFF"/>
            <w:noWrap/>
            <w:vAlign w:val="center"/>
            <w:hideMark/>
          </w:tcPr>
          <w:p w14:paraId="33E89A1D" w14:textId="77777777" w:rsidR="00CB64B5" w:rsidRPr="00CB64B5" w:rsidRDefault="00CB64B5" w:rsidP="00CB64B5">
            <w:pPr>
              <w:spacing w:after="0" w:line="240" w:lineRule="auto"/>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7 Transferencias Corrientes</w:t>
            </w:r>
          </w:p>
        </w:tc>
        <w:tc>
          <w:tcPr>
            <w:tcW w:w="1417" w:type="dxa"/>
            <w:shd w:val="clear" w:color="000000" w:fill="FFFFFF"/>
            <w:noWrap/>
            <w:vAlign w:val="center"/>
            <w:hideMark/>
          </w:tcPr>
          <w:p w14:paraId="7D6D0F77"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13,865,879,400 </w:t>
            </w:r>
          </w:p>
        </w:tc>
        <w:tc>
          <w:tcPr>
            <w:tcW w:w="1709" w:type="dxa"/>
            <w:shd w:val="clear" w:color="000000" w:fill="FFFFFF"/>
            <w:noWrap/>
            <w:vAlign w:val="center"/>
            <w:hideMark/>
          </w:tcPr>
          <w:p w14:paraId="5BF74CA1"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5,343,693,689 </w:t>
            </w:r>
          </w:p>
        </w:tc>
        <w:tc>
          <w:tcPr>
            <w:tcW w:w="1709" w:type="dxa"/>
            <w:shd w:val="clear" w:color="000000" w:fill="FFFFFF"/>
            <w:noWrap/>
            <w:vAlign w:val="center"/>
            <w:hideMark/>
          </w:tcPr>
          <w:p w14:paraId="394394D4"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7,216,628,271 </w:t>
            </w:r>
          </w:p>
        </w:tc>
        <w:tc>
          <w:tcPr>
            <w:tcW w:w="1949" w:type="dxa"/>
            <w:shd w:val="clear" w:color="000000" w:fill="FFFFFF"/>
            <w:noWrap/>
            <w:vAlign w:val="center"/>
            <w:hideMark/>
          </w:tcPr>
          <w:p w14:paraId="70B168C5"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12,560,321,961 </w:t>
            </w:r>
          </w:p>
        </w:tc>
        <w:tc>
          <w:tcPr>
            <w:tcW w:w="1159" w:type="dxa"/>
            <w:shd w:val="clear" w:color="000000" w:fill="FFFFFF"/>
            <w:noWrap/>
            <w:vAlign w:val="center"/>
            <w:hideMark/>
          </w:tcPr>
          <w:p w14:paraId="610D5303"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90.58%</w:t>
            </w:r>
          </w:p>
        </w:tc>
      </w:tr>
      <w:tr w:rsidR="00CB64B5" w:rsidRPr="00CB64B5" w14:paraId="09FA6818" w14:textId="77777777" w:rsidTr="00D60C6C">
        <w:trPr>
          <w:trHeight w:val="255"/>
        </w:trPr>
        <w:tc>
          <w:tcPr>
            <w:tcW w:w="1701" w:type="dxa"/>
            <w:shd w:val="clear" w:color="000000" w:fill="FFFFFF"/>
            <w:noWrap/>
            <w:vAlign w:val="center"/>
            <w:hideMark/>
          </w:tcPr>
          <w:p w14:paraId="61EFE1C4" w14:textId="77777777" w:rsidR="00CB64B5" w:rsidRPr="00CB64B5" w:rsidRDefault="00CB64B5" w:rsidP="00CB64B5">
            <w:pPr>
              <w:spacing w:after="0" w:line="240" w:lineRule="auto"/>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9 Cuentas Especiales</w:t>
            </w:r>
          </w:p>
        </w:tc>
        <w:tc>
          <w:tcPr>
            <w:tcW w:w="1417" w:type="dxa"/>
            <w:shd w:val="clear" w:color="000000" w:fill="FFFFFF"/>
            <w:noWrap/>
            <w:vAlign w:val="center"/>
            <w:hideMark/>
          </w:tcPr>
          <w:p w14:paraId="4AB50088"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19,366,995 </w:t>
            </w:r>
          </w:p>
        </w:tc>
        <w:tc>
          <w:tcPr>
            <w:tcW w:w="1709" w:type="dxa"/>
            <w:shd w:val="clear" w:color="000000" w:fill="FFFFFF"/>
            <w:noWrap/>
            <w:vAlign w:val="center"/>
            <w:hideMark/>
          </w:tcPr>
          <w:p w14:paraId="1CE24391"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w:t>
            </w:r>
          </w:p>
        </w:tc>
        <w:tc>
          <w:tcPr>
            <w:tcW w:w="1709" w:type="dxa"/>
            <w:shd w:val="clear" w:color="000000" w:fill="FFFFFF"/>
            <w:noWrap/>
            <w:vAlign w:val="center"/>
            <w:hideMark/>
          </w:tcPr>
          <w:p w14:paraId="2F46C334"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w:t>
            </w:r>
          </w:p>
        </w:tc>
        <w:tc>
          <w:tcPr>
            <w:tcW w:w="1949" w:type="dxa"/>
            <w:shd w:val="clear" w:color="000000" w:fill="FFFFFF"/>
            <w:noWrap/>
            <w:vAlign w:val="center"/>
            <w:hideMark/>
          </w:tcPr>
          <w:p w14:paraId="48BB7E34"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 xml:space="preserve">                                         -   </w:t>
            </w:r>
          </w:p>
        </w:tc>
        <w:tc>
          <w:tcPr>
            <w:tcW w:w="1159" w:type="dxa"/>
            <w:shd w:val="clear" w:color="000000" w:fill="FFFFFF"/>
            <w:noWrap/>
            <w:vAlign w:val="center"/>
            <w:hideMark/>
          </w:tcPr>
          <w:p w14:paraId="5BE56256" w14:textId="77777777" w:rsidR="00CB64B5" w:rsidRPr="00CB64B5" w:rsidRDefault="00CB64B5" w:rsidP="00CB64B5">
            <w:pPr>
              <w:spacing w:after="0" w:line="240" w:lineRule="auto"/>
              <w:jc w:val="right"/>
              <w:rPr>
                <w:rFonts w:ascii="Arial" w:eastAsia="Times New Roman" w:hAnsi="Arial" w:cs="Arial"/>
                <w:color w:val="000000"/>
                <w:sz w:val="16"/>
                <w:szCs w:val="16"/>
                <w:lang w:val="es-US" w:eastAsia="es-US"/>
              </w:rPr>
            </w:pPr>
            <w:r w:rsidRPr="00CB64B5">
              <w:rPr>
                <w:rFonts w:ascii="Arial" w:eastAsia="Times New Roman" w:hAnsi="Arial" w:cs="Arial"/>
                <w:color w:val="000000"/>
                <w:sz w:val="16"/>
                <w:szCs w:val="16"/>
                <w:lang w:val="es-US" w:eastAsia="es-US"/>
              </w:rPr>
              <w:t>0.00%</w:t>
            </w:r>
          </w:p>
        </w:tc>
      </w:tr>
      <w:tr w:rsidR="00CB64B5" w:rsidRPr="00CB64B5" w14:paraId="62BF22AC" w14:textId="77777777" w:rsidTr="00101172">
        <w:trPr>
          <w:trHeight w:val="255"/>
        </w:trPr>
        <w:tc>
          <w:tcPr>
            <w:tcW w:w="1701" w:type="dxa"/>
            <w:shd w:val="clear" w:color="auto" w:fill="D6E3BC" w:themeFill="accent3" w:themeFillTint="66"/>
            <w:noWrap/>
            <w:vAlign w:val="center"/>
            <w:hideMark/>
          </w:tcPr>
          <w:p w14:paraId="667814F1" w14:textId="77777777" w:rsidR="00CB64B5" w:rsidRPr="00CB64B5" w:rsidRDefault="00CB64B5" w:rsidP="00CB64B5">
            <w:pPr>
              <w:spacing w:after="0" w:line="240" w:lineRule="auto"/>
              <w:rPr>
                <w:rFonts w:ascii="Arial" w:eastAsia="Times New Roman" w:hAnsi="Arial" w:cs="Arial"/>
                <w:b/>
                <w:bCs/>
                <w:color w:val="000000"/>
                <w:sz w:val="16"/>
                <w:szCs w:val="16"/>
                <w:lang w:val="es-US" w:eastAsia="es-US"/>
              </w:rPr>
            </w:pPr>
            <w:r w:rsidRPr="00CB64B5">
              <w:rPr>
                <w:rFonts w:ascii="Arial" w:eastAsia="Times New Roman" w:hAnsi="Arial" w:cs="Arial"/>
                <w:b/>
                <w:bCs/>
                <w:color w:val="000000"/>
                <w:sz w:val="16"/>
                <w:szCs w:val="16"/>
                <w:lang w:val="es-US" w:eastAsia="es-US"/>
              </w:rPr>
              <w:t xml:space="preserve">Total </w:t>
            </w:r>
          </w:p>
        </w:tc>
        <w:tc>
          <w:tcPr>
            <w:tcW w:w="1417" w:type="dxa"/>
            <w:shd w:val="clear" w:color="auto" w:fill="D6E3BC" w:themeFill="accent3" w:themeFillTint="66"/>
            <w:noWrap/>
            <w:vAlign w:val="center"/>
            <w:hideMark/>
          </w:tcPr>
          <w:p w14:paraId="27C8528B" w14:textId="77777777" w:rsidR="00CB64B5" w:rsidRPr="00CB64B5" w:rsidRDefault="00CB64B5" w:rsidP="00CB64B5">
            <w:pPr>
              <w:spacing w:after="0" w:line="240" w:lineRule="auto"/>
              <w:jc w:val="right"/>
              <w:rPr>
                <w:rFonts w:ascii="Arial" w:eastAsia="Times New Roman" w:hAnsi="Arial" w:cs="Arial"/>
                <w:b/>
                <w:bCs/>
                <w:color w:val="000000"/>
                <w:sz w:val="16"/>
                <w:szCs w:val="16"/>
                <w:lang w:val="es-US" w:eastAsia="es-US"/>
              </w:rPr>
            </w:pPr>
            <w:r w:rsidRPr="00CB64B5">
              <w:rPr>
                <w:rFonts w:ascii="Arial" w:eastAsia="Times New Roman" w:hAnsi="Arial" w:cs="Arial"/>
                <w:b/>
                <w:bCs/>
                <w:color w:val="000000"/>
                <w:sz w:val="16"/>
                <w:szCs w:val="16"/>
                <w:lang w:val="es-US" w:eastAsia="es-US"/>
              </w:rPr>
              <w:t xml:space="preserve">                   15,471,282,524 </w:t>
            </w:r>
          </w:p>
        </w:tc>
        <w:tc>
          <w:tcPr>
            <w:tcW w:w="1709" w:type="dxa"/>
            <w:shd w:val="clear" w:color="auto" w:fill="D6E3BC" w:themeFill="accent3" w:themeFillTint="66"/>
            <w:noWrap/>
            <w:vAlign w:val="center"/>
            <w:hideMark/>
          </w:tcPr>
          <w:p w14:paraId="4B13750A" w14:textId="77777777" w:rsidR="00CB64B5" w:rsidRPr="00CB64B5" w:rsidRDefault="00CB64B5" w:rsidP="00CB64B5">
            <w:pPr>
              <w:spacing w:after="0" w:line="240" w:lineRule="auto"/>
              <w:jc w:val="right"/>
              <w:rPr>
                <w:rFonts w:ascii="Arial" w:eastAsia="Times New Roman" w:hAnsi="Arial" w:cs="Arial"/>
                <w:b/>
                <w:bCs/>
                <w:color w:val="000000"/>
                <w:sz w:val="16"/>
                <w:szCs w:val="16"/>
                <w:lang w:val="es-US" w:eastAsia="es-US"/>
              </w:rPr>
            </w:pPr>
            <w:r w:rsidRPr="00CB64B5">
              <w:rPr>
                <w:rFonts w:ascii="Arial" w:eastAsia="Times New Roman" w:hAnsi="Arial" w:cs="Arial"/>
                <w:b/>
                <w:bCs/>
                <w:color w:val="000000"/>
                <w:sz w:val="16"/>
                <w:szCs w:val="16"/>
                <w:lang w:val="es-US" w:eastAsia="es-US"/>
              </w:rPr>
              <w:t xml:space="preserve">                    5,904,281,485 </w:t>
            </w:r>
          </w:p>
        </w:tc>
        <w:tc>
          <w:tcPr>
            <w:tcW w:w="1709" w:type="dxa"/>
            <w:shd w:val="clear" w:color="auto" w:fill="D6E3BC" w:themeFill="accent3" w:themeFillTint="66"/>
            <w:noWrap/>
            <w:vAlign w:val="center"/>
            <w:hideMark/>
          </w:tcPr>
          <w:p w14:paraId="447DD29B" w14:textId="77777777" w:rsidR="00CB64B5" w:rsidRPr="00CB64B5" w:rsidRDefault="00CB64B5" w:rsidP="00CB64B5">
            <w:pPr>
              <w:spacing w:after="0" w:line="240" w:lineRule="auto"/>
              <w:jc w:val="right"/>
              <w:rPr>
                <w:rFonts w:ascii="Arial" w:eastAsia="Times New Roman" w:hAnsi="Arial" w:cs="Arial"/>
                <w:b/>
                <w:bCs/>
                <w:color w:val="000000"/>
                <w:sz w:val="16"/>
                <w:szCs w:val="16"/>
                <w:lang w:val="es-US" w:eastAsia="es-US"/>
              </w:rPr>
            </w:pPr>
            <w:r w:rsidRPr="00CB64B5">
              <w:rPr>
                <w:rFonts w:ascii="Arial" w:eastAsia="Times New Roman" w:hAnsi="Arial" w:cs="Arial"/>
                <w:b/>
                <w:bCs/>
                <w:color w:val="000000"/>
                <w:sz w:val="16"/>
                <w:szCs w:val="16"/>
                <w:lang w:val="es-US" w:eastAsia="es-US"/>
              </w:rPr>
              <w:t xml:space="preserve">                    7,718,923,945 </w:t>
            </w:r>
          </w:p>
        </w:tc>
        <w:tc>
          <w:tcPr>
            <w:tcW w:w="1949" w:type="dxa"/>
            <w:shd w:val="clear" w:color="auto" w:fill="D6E3BC" w:themeFill="accent3" w:themeFillTint="66"/>
            <w:noWrap/>
            <w:vAlign w:val="center"/>
            <w:hideMark/>
          </w:tcPr>
          <w:p w14:paraId="2A055336" w14:textId="77777777" w:rsidR="00CB64B5" w:rsidRPr="00CB64B5" w:rsidRDefault="00CB64B5" w:rsidP="00CB64B5">
            <w:pPr>
              <w:spacing w:after="0" w:line="240" w:lineRule="auto"/>
              <w:jc w:val="right"/>
              <w:rPr>
                <w:rFonts w:ascii="Arial" w:eastAsia="Times New Roman" w:hAnsi="Arial" w:cs="Arial"/>
                <w:b/>
                <w:bCs/>
                <w:color w:val="000000"/>
                <w:sz w:val="16"/>
                <w:szCs w:val="16"/>
                <w:lang w:val="es-US" w:eastAsia="es-US"/>
              </w:rPr>
            </w:pPr>
            <w:r w:rsidRPr="00CB64B5">
              <w:rPr>
                <w:rFonts w:ascii="Arial" w:eastAsia="Times New Roman" w:hAnsi="Arial" w:cs="Arial"/>
                <w:b/>
                <w:bCs/>
                <w:color w:val="000000"/>
                <w:sz w:val="16"/>
                <w:szCs w:val="16"/>
                <w:lang w:val="es-US" w:eastAsia="es-US"/>
              </w:rPr>
              <w:t xml:space="preserve">                     13,623,205,430 </w:t>
            </w:r>
          </w:p>
        </w:tc>
        <w:tc>
          <w:tcPr>
            <w:tcW w:w="1159" w:type="dxa"/>
            <w:shd w:val="clear" w:color="auto" w:fill="D6E3BC" w:themeFill="accent3" w:themeFillTint="66"/>
            <w:noWrap/>
            <w:vAlign w:val="center"/>
            <w:hideMark/>
          </w:tcPr>
          <w:p w14:paraId="2955FC5C" w14:textId="77777777" w:rsidR="00CB64B5" w:rsidRPr="00CB64B5" w:rsidRDefault="00CB64B5" w:rsidP="00CB64B5">
            <w:pPr>
              <w:spacing w:after="0" w:line="240" w:lineRule="auto"/>
              <w:jc w:val="right"/>
              <w:rPr>
                <w:rFonts w:ascii="Arial" w:eastAsia="Times New Roman" w:hAnsi="Arial" w:cs="Arial"/>
                <w:b/>
                <w:bCs/>
                <w:color w:val="000000"/>
                <w:sz w:val="16"/>
                <w:szCs w:val="16"/>
                <w:lang w:val="es-US" w:eastAsia="es-US"/>
              </w:rPr>
            </w:pPr>
            <w:r w:rsidRPr="00CB64B5">
              <w:rPr>
                <w:rFonts w:ascii="Arial" w:eastAsia="Times New Roman" w:hAnsi="Arial" w:cs="Arial"/>
                <w:b/>
                <w:bCs/>
                <w:color w:val="000000"/>
                <w:sz w:val="16"/>
                <w:szCs w:val="16"/>
                <w:lang w:val="es-US" w:eastAsia="es-US"/>
              </w:rPr>
              <w:t>88.05%</w:t>
            </w:r>
          </w:p>
        </w:tc>
      </w:tr>
    </w:tbl>
    <w:p w14:paraId="58CDE9A8" w14:textId="77777777" w:rsidR="00B56F38" w:rsidRDefault="00B56F38" w:rsidP="00025DED">
      <w:pPr>
        <w:spacing w:after="0" w:line="240" w:lineRule="auto"/>
        <w:jc w:val="center"/>
        <w:rPr>
          <w:rFonts w:ascii="Arial" w:hAnsi="Arial" w:cs="Arial"/>
          <w:b/>
          <w:sz w:val="24"/>
          <w:szCs w:val="24"/>
        </w:rPr>
      </w:pPr>
    </w:p>
    <w:p w14:paraId="6E89A739" w14:textId="77777777" w:rsidR="00B56F38" w:rsidRDefault="00B56F38" w:rsidP="00025DED">
      <w:pPr>
        <w:spacing w:after="0" w:line="240" w:lineRule="auto"/>
        <w:jc w:val="center"/>
        <w:rPr>
          <w:rFonts w:ascii="Arial" w:hAnsi="Arial" w:cs="Arial"/>
          <w:b/>
          <w:sz w:val="24"/>
          <w:szCs w:val="24"/>
        </w:rPr>
      </w:pPr>
    </w:p>
    <w:p w14:paraId="31E123B4" w14:textId="77777777" w:rsidR="00B56F38" w:rsidRPr="00663D58" w:rsidRDefault="00B56F38" w:rsidP="00025DED">
      <w:pPr>
        <w:spacing w:after="0" w:line="240" w:lineRule="auto"/>
        <w:jc w:val="center"/>
        <w:rPr>
          <w:rFonts w:ascii="Arial" w:hAnsi="Arial" w:cs="Arial"/>
          <w:b/>
          <w:sz w:val="24"/>
          <w:szCs w:val="24"/>
        </w:rPr>
      </w:pPr>
    </w:p>
    <w:p w14:paraId="25237CBF" w14:textId="77777777" w:rsidR="00025DED" w:rsidRDefault="00025DED" w:rsidP="00B56F38">
      <w:pPr>
        <w:spacing w:after="0" w:line="240" w:lineRule="auto"/>
        <w:rPr>
          <w:rFonts w:ascii="Arial" w:hAnsi="Arial" w:cs="Arial"/>
          <w:b/>
        </w:rPr>
      </w:pPr>
    </w:p>
    <w:p w14:paraId="5D756262" w14:textId="77777777" w:rsidR="00025DED" w:rsidRDefault="00025DED" w:rsidP="0064010E">
      <w:pPr>
        <w:spacing w:after="0" w:line="240" w:lineRule="auto"/>
        <w:rPr>
          <w:rFonts w:ascii="Arial" w:hAnsi="Arial" w:cs="Arial"/>
          <w:b/>
        </w:rPr>
      </w:pPr>
    </w:p>
    <w:p w14:paraId="7B4C2FE0" w14:textId="77777777" w:rsidR="00AF1526" w:rsidRDefault="00AF1526" w:rsidP="0064010E">
      <w:pPr>
        <w:spacing w:after="0" w:line="240" w:lineRule="auto"/>
        <w:rPr>
          <w:rFonts w:ascii="Arial" w:hAnsi="Arial" w:cs="Arial"/>
          <w:b/>
        </w:rPr>
      </w:pPr>
    </w:p>
    <w:p w14:paraId="34D5A241" w14:textId="77777777" w:rsidR="00CA7ADD" w:rsidRDefault="00CA7ADD" w:rsidP="00A66B85">
      <w:pPr>
        <w:spacing w:after="0" w:line="240" w:lineRule="auto"/>
        <w:rPr>
          <w:rFonts w:ascii="Arial" w:hAnsi="Arial" w:cs="Arial"/>
          <w:b/>
        </w:rPr>
      </w:pPr>
    </w:p>
    <w:p w14:paraId="02BE7773" w14:textId="77777777" w:rsidR="004C029C" w:rsidRDefault="004C029C" w:rsidP="00A66B85">
      <w:pPr>
        <w:spacing w:after="0" w:line="240" w:lineRule="auto"/>
        <w:rPr>
          <w:rFonts w:ascii="Arial" w:hAnsi="Arial" w:cs="Arial"/>
          <w:b/>
        </w:rPr>
      </w:pPr>
    </w:p>
    <w:p w14:paraId="5FF93677" w14:textId="77777777" w:rsidR="004C029C" w:rsidRDefault="004C029C" w:rsidP="00A66B85">
      <w:pPr>
        <w:spacing w:after="0" w:line="240" w:lineRule="auto"/>
        <w:rPr>
          <w:rFonts w:ascii="Arial" w:hAnsi="Arial" w:cs="Arial"/>
          <w:b/>
        </w:rPr>
      </w:pPr>
    </w:p>
    <w:p w14:paraId="76AB5C34" w14:textId="77777777" w:rsidR="004C029C" w:rsidRDefault="004C029C" w:rsidP="00A66B85">
      <w:pPr>
        <w:spacing w:after="0" w:line="240" w:lineRule="auto"/>
        <w:rPr>
          <w:rFonts w:ascii="Arial" w:hAnsi="Arial" w:cs="Arial"/>
          <w:b/>
        </w:rPr>
      </w:pPr>
    </w:p>
    <w:p w14:paraId="26FD3A18" w14:textId="77777777" w:rsidR="004C029C" w:rsidRDefault="004C029C" w:rsidP="00A66B85">
      <w:pPr>
        <w:spacing w:after="0" w:line="240" w:lineRule="auto"/>
        <w:rPr>
          <w:rFonts w:ascii="Arial" w:hAnsi="Arial" w:cs="Arial"/>
          <w:b/>
        </w:rPr>
      </w:pPr>
    </w:p>
    <w:p w14:paraId="5BAA604B" w14:textId="77777777" w:rsidR="004C029C" w:rsidRDefault="004C029C" w:rsidP="00A66B85">
      <w:pPr>
        <w:spacing w:after="0" w:line="240" w:lineRule="auto"/>
        <w:rPr>
          <w:rFonts w:ascii="Arial" w:hAnsi="Arial" w:cs="Arial"/>
          <w:b/>
        </w:rPr>
      </w:pPr>
    </w:p>
    <w:p w14:paraId="323CF237" w14:textId="77777777" w:rsidR="004C029C" w:rsidRDefault="004C029C" w:rsidP="00A66B85">
      <w:pPr>
        <w:spacing w:after="0" w:line="240" w:lineRule="auto"/>
        <w:rPr>
          <w:rFonts w:ascii="Arial" w:hAnsi="Arial" w:cs="Arial"/>
          <w:b/>
        </w:rPr>
      </w:pPr>
    </w:p>
    <w:p w14:paraId="67250111" w14:textId="77777777" w:rsidR="004C029C" w:rsidRDefault="004C029C" w:rsidP="00A66B85">
      <w:pPr>
        <w:spacing w:after="0" w:line="240" w:lineRule="auto"/>
        <w:rPr>
          <w:rFonts w:ascii="Arial" w:hAnsi="Arial" w:cs="Arial"/>
          <w:b/>
        </w:rPr>
      </w:pPr>
    </w:p>
    <w:p w14:paraId="11A6E842" w14:textId="77777777" w:rsidR="004C029C" w:rsidRDefault="004C029C" w:rsidP="00A66B85">
      <w:pPr>
        <w:spacing w:after="0" w:line="240" w:lineRule="auto"/>
        <w:rPr>
          <w:rFonts w:ascii="Arial" w:hAnsi="Arial" w:cs="Arial"/>
          <w:b/>
        </w:rPr>
      </w:pPr>
    </w:p>
    <w:p w14:paraId="4B28E1DA" w14:textId="77777777" w:rsidR="004C029C" w:rsidRDefault="004C029C" w:rsidP="00A66B85">
      <w:pPr>
        <w:spacing w:after="0" w:line="240" w:lineRule="auto"/>
        <w:rPr>
          <w:rFonts w:ascii="Arial" w:hAnsi="Arial" w:cs="Arial"/>
          <w:b/>
        </w:rPr>
      </w:pPr>
    </w:p>
    <w:p w14:paraId="7A6D32AC" w14:textId="77777777" w:rsidR="00EA10B9" w:rsidRDefault="00EA10B9" w:rsidP="00551D21">
      <w:pPr>
        <w:pStyle w:val="Ttulo1"/>
        <w:rPr>
          <w:rFonts w:ascii="Arial" w:hAnsi="Arial" w:cs="Arial"/>
          <w:i w:val="0"/>
          <w:sz w:val="24"/>
          <w:szCs w:val="24"/>
          <w:lang w:val="es-CR"/>
        </w:rPr>
      </w:pPr>
    </w:p>
    <w:p w14:paraId="4A3DDF74" w14:textId="77777777" w:rsidR="00A66B85" w:rsidRPr="004035EB" w:rsidRDefault="00BA19AC" w:rsidP="00551D21">
      <w:pPr>
        <w:pStyle w:val="Ttulo1"/>
        <w:rPr>
          <w:rFonts w:ascii="Arial" w:hAnsi="Arial" w:cs="Arial"/>
          <w:i w:val="0"/>
          <w:sz w:val="24"/>
          <w:szCs w:val="24"/>
          <w:lang w:val="es-CR"/>
        </w:rPr>
      </w:pPr>
      <w:bookmarkStart w:id="16" w:name="_Toc94522218"/>
      <w:r w:rsidRPr="004035EB">
        <w:rPr>
          <w:rFonts w:ascii="Arial" w:hAnsi="Arial" w:cs="Arial"/>
          <w:i w:val="0"/>
          <w:sz w:val="24"/>
          <w:szCs w:val="24"/>
          <w:lang w:val="es-CR"/>
        </w:rPr>
        <w:lastRenderedPageBreak/>
        <w:t>b)</w:t>
      </w:r>
      <w:r w:rsidR="00A66B85" w:rsidRPr="004035EB">
        <w:rPr>
          <w:rFonts w:ascii="Arial" w:hAnsi="Arial" w:cs="Arial"/>
          <w:i w:val="0"/>
          <w:sz w:val="24"/>
          <w:szCs w:val="24"/>
          <w:lang w:val="es-CR"/>
        </w:rPr>
        <w:t xml:space="preserve"> I</w:t>
      </w:r>
      <w:r w:rsidRPr="004035EB">
        <w:rPr>
          <w:rFonts w:ascii="Arial" w:hAnsi="Arial" w:cs="Arial"/>
          <w:i w:val="0"/>
          <w:sz w:val="24"/>
          <w:szCs w:val="24"/>
          <w:lang w:val="es-CR"/>
        </w:rPr>
        <w:t>nformación</w:t>
      </w:r>
      <w:r w:rsidR="00A66B85" w:rsidRPr="004035EB">
        <w:rPr>
          <w:rFonts w:ascii="Arial" w:hAnsi="Arial" w:cs="Arial"/>
          <w:i w:val="0"/>
          <w:sz w:val="24"/>
          <w:szCs w:val="24"/>
          <w:lang w:val="es-CR"/>
        </w:rPr>
        <w:t xml:space="preserve"> C</w:t>
      </w:r>
      <w:r w:rsidRPr="004035EB">
        <w:rPr>
          <w:rFonts w:ascii="Arial" w:hAnsi="Arial" w:cs="Arial"/>
          <w:i w:val="0"/>
          <w:sz w:val="24"/>
          <w:szCs w:val="24"/>
          <w:lang w:val="es-CR"/>
        </w:rPr>
        <w:t>omplementaria</w:t>
      </w:r>
      <w:bookmarkEnd w:id="16"/>
    </w:p>
    <w:p w14:paraId="42B23F6E" w14:textId="77777777" w:rsidR="00A66B85" w:rsidRPr="00551D21" w:rsidRDefault="00A66B85" w:rsidP="00551D21">
      <w:pPr>
        <w:pStyle w:val="Ttulo2"/>
        <w:rPr>
          <w:rFonts w:ascii="Arial" w:hAnsi="Arial" w:cs="Arial"/>
          <w:color w:val="auto"/>
          <w:sz w:val="24"/>
          <w:szCs w:val="24"/>
        </w:rPr>
      </w:pPr>
      <w:bookmarkStart w:id="17" w:name="_Toc94522219"/>
      <w:r w:rsidRPr="00551D21">
        <w:rPr>
          <w:rFonts w:ascii="Arial" w:hAnsi="Arial" w:cs="Arial"/>
          <w:color w:val="auto"/>
          <w:sz w:val="24"/>
          <w:szCs w:val="24"/>
        </w:rPr>
        <w:t>4. C</w:t>
      </w:r>
      <w:r w:rsidR="007962AF">
        <w:rPr>
          <w:rFonts w:ascii="Arial" w:hAnsi="Arial" w:cs="Arial"/>
          <w:color w:val="auto"/>
          <w:sz w:val="24"/>
          <w:szCs w:val="24"/>
        </w:rPr>
        <w:t>OMENTARIOS DE INGRESOS</w:t>
      </w:r>
      <w:bookmarkEnd w:id="17"/>
      <w:r w:rsidRPr="00551D21">
        <w:rPr>
          <w:rFonts w:ascii="Arial" w:hAnsi="Arial" w:cs="Arial"/>
          <w:color w:val="auto"/>
          <w:sz w:val="24"/>
          <w:szCs w:val="24"/>
        </w:rPr>
        <w:t xml:space="preserve"> </w:t>
      </w:r>
    </w:p>
    <w:p w14:paraId="4B383414" w14:textId="77777777" w:rsidR="00150A7B" w:rsidRPr="00A93659" w:rsidRDefault="00150A7B" w:rsidP="00D60C6C">
      <w:pPr>
        <w:spacing w:after="0" w:line="240" w:lineRule="auto"/>
        <w:jc w:val="both"/>
        <w:rPr>
          <w:rFonts w:ascii="Arial" w:hAnsi="Arial" w:cs="Arial"/>
          <w:b/>
        </w:rPr>
      </w:pPr>
    </w:p>
    <w:p w14:paraId="4632CA4B" w14:textId="6474A048" w:rsidR="00311F78" w:rsidRPr="00540214" w:rsidRDefault="008155F4" w:rsidP="00D60C6C">
      <w:pPr>
        <w:jc w:val="both"/>
        <w:rPr>
          <w:rFonts w:eastAsia="Times New Roman" w:cs="Calibri"/>
          <w:color w:val="000000"/>
          <w:lang w:eastAsia="es-CR"/>
        </w:rPr>
      </w:pPr>
      <w:r>
        <w:rPr>
          <w:rFonts w:ascii="Arial" w:hAnsi="Arial" w:cs="Arial"/>
        </w:rPr>
        <w:t>La institución presupuest</w:t>
      </w:r>
      <w:r w:rsidR="00B7041F">
        <w:rPr>
          <w:rFonts w:ascii="Arial" w:hAnsi="Arial" w:cs="Arial"/>
        </w:rPr>
        <w:t>ó</w:t>
      </w:r>
      <w:r w:rsidR="00150A7B" w:rsidRPr="0061180C">
        <w:rPr>
          <w:rFonts w:ascii="Arial" w:hAnsi="Arial" w:cs="Arial"/>
        </w:rPr>
        <w:t xml:space="preserve"> ingresos por la suma de </w:t>
      </w:r>
      <w:r w:rsidR="00150A7B" w:rsidRPr="0061180C">
        <w:rPr>
          <w:rFonts w:ascii="Arial" w:hAnsi="Arial" w:cs="Arial"/>
          <w:b/>
        </w:rPr>
        <w:t>¢</w:t>
      </w:r>
      <w:r w:rsidR="009125F0">
        <w:rPr>
          <w:rFonts w:ascii="Arial" w:hAnsi="Arial" w:cs="Arial"/>
          <w:b/>
        </w:rPr>
        <w:t>15.471.282.524</w:t>
      </w:r>
      <w:r w:rsidR="006154ED">
        <w:rPr>
          <w:rFonts w:ascii="Arial" w:hAnsi="Arial" w:cs="Arial"/>
          <w:b/>
        </w:rPr>
        <w:t xml:space="preserve"> </w:t>
      </w:r>
      <w:r w:rsidR="00150A7B" w:rsidRPr="0061180C">
        <w:rPr>
          <w:rFonts w:ascii="Arial" w:hAnsi="Arial" w:cs="Arial"/>
        </w:rPr>
        <w:t>de</w:t>
      </w:r>
      <w:r w:rsidR="00214AB2">
        <w:rPr>
          <w:rFonts w:ascii="Arial" w:hAnsi="Arial" w:cs="Arial"/>
        </w:rPr>
        <w:t xml:space="preserve"> </w:t>
      </w:r>
      <w:r w:rsidR="00150A7B" w:rsidRPr="0061180C">
        <w:rPr>
          <w:rFonts w:ascii="Arial" w:hAnsi="Arial" w:cs="Arial"/>
        </w:rPr>
        <w:t>l</w:t>
      </w:r>
      <w:r w:rsidR="00214AB2">
        <w:rPr>
          <w:rFonts w:ascii="Arial" w:hAnsi="Arial" w:cs="Arial"/>
        </w:rPr>
        <w:t>o</w:t>
      </w:r>
      <w:r w:rsidR="00B7041F">
        <w:rPr>
          <w:rFonts w:ascii="Arial" w:hAnsi="Arial" w:cs="Arial"/>
        </w:rPr>
        <w:t xml:space="preserve">s </w:t>
      </w:r>
      <w:r w:rsidR="00150A7B" w:rsidRPr="0061180C">
        <w:rPr>
          <w:rFonts w:ascii="Arial" w:hAnsi="Arial" w:cs="Arial"/>
        </w:rPr>
        <w:t>cual</w:t>
      </w:r>
      <w:r w:rsidR="00B7041F">
        <w:rPr>
          <w:rFonts w:ascii="Arial" w:hAnsi="Arial" w:cs="Arial"/>
        </w:rPr>
        <w:t xml:space="preserve">es al cierre del </w:t>
      </w:r>
      <w:r w:rsidR="001E1B19">
        <w:rPr>
          <w:rFonts w:ascii="Arial" w:hAnsi="Arial" w:cs="Arial"/>
        </w:rPr>
        <w:t>segundo</w:t>
      </w:r>
      <w:r w:rsidR="00CA302C">
        <w:rPr>
          <w:rFonts w:ascii="Arial" w:hAnsi="Arial" w:cs="Arial"/>
        </w:rPr>
        <w:t xml:space="preserve"> semestre 20</w:t>
      </w:r>
      <w:r w:rsidR="00225E52">
        <w:rPr>
          <w:rFonts w:ascii="Arial" w:hAnsi="Arial" w:cs="Arial"/>
        </w:rPr>
        <w:t>2</w:t>
      </w:r>
      <w:r w:rsidR="009125F0">
        <w:rPr>
          <w:rFonts w:ascii="Arial" w:hAnsi="Arial" w:cs="Arial"/>
        </w:rPr>
        <w:t>1</w:t>
      </w:r>
      <w:r w:rsidR="00BA7E9C">
        <w:rPr>
          <w:rFonts w:ascii="Arial" w:hAnsi="Arial" w:cs="Arial"/>
        </w:rPr>
        <w:t xml:space="preserve"> </w:t>
      </w:r>
      <w:r w:rsidR="00150A7B">
        <w:rPr>
          <w:rFonts w:ascii="Arial" w:hAnsi="Arial" w:cs="Arial"/>
        </w:rPr>
        <w:t>se</w:t>
      </w:r>
      <w:r w:rsidR="00150A7B" w:rsidRPr="0061180C">
        <w:rPr>
          <w:rFonts w:ascii="Arial" w:hAnsi="Arial" w:cs="Arial"/>
        </w:rPr>
        <w:t xml:space="preserve"> </w:t>
      </w:r>
      <w:r w:rsidR="00841865">
        <w:rPr>
          <w:rFonts w:ascii="Arial" w:hAnsi="Arial" w:cs="Arial"/>
        </w:rPr>
        <w:t>p</w:t>
      </w:r>
      <w:r w:rsidR="00150A7B" w:rsidRPr="0061180C">
        <w:rPr>
          <w:rFonts w:ascii="Arial" w:hAnsi="Arial" w:cs="Arial"/>
        </w:rPr>
        <w:t>ercibi</w:t>
      </w:r>
      <w:r w:rsidR="00841865">
        <w:rPr>
          <w:rFonts w:ascii="Arial" w:hAnsi="Arial" w:cs="Arial"/>
        </w:rPr>
        <w:t>ó</w:t>
      </w:r>
      <w:r w:rsidR="00150A7B" w:rsidRPr="0061180C">
        <w:rPr>
          <w:rFonts w:ascii="Arial" w:hAnsi="Arial" w:cs="Arial"/>
        </w:rPr>
        <w:t xml:space="preserve"> la suma de</w:t>
      </w:r>
      <w:r w:rsidR="00150A7B">
        <w:rPr>
          <w:rFonts w:ascii="Arial" w:hAnsi="Arial" w:cs="Arial"/>
        </w:rPr>
        <w:t xml:space="preserve"> </w:t>
      </w:r>
      <w:r w:rsidR="00150A7B" w:rsidRPr="0061180C">
        <w:rPr>
          <w:rFonts w:ascii="Arial" w:hAnsi="Arial" w:cs="Arial"/>
          <w:b/>
        </w:rPr>
        <w:t>¢</w:t>
      </w:r>
      <w:r w:rsidR="009125F0">
        <w:rPr>
          <w:rFonts w:ascii="Arial" w:hAnsi="Arial" w:cs="Arial"/>
          <w:b/>
        </w:rPr>
        <w:t>30.810.455.997</w:t>
      </w:r>
      <w:r w:rsidR="00A524AA">
        <w:rPr>
          <w:rFonts w:ascii="Arial" w:hAnsi="Arial" w:cs="Arial"/>
          <w:b/>
        </w:rPr>
        <w:t xml:space="preserve"> </w:t>
      </w:r>
      <w:r w:rsidR="00214AB2" w:rsidRPr="00214AB2">
        <w:rPr>
          <w:rFonts w:ascii="Arial" w:hAnsi="Arial" w:cs="Arial"/>
        </w:rPr>
        <w:t xml:space="preserve">(lo cual no incluye los ingresos por </w:t>
      </w:r>
      <w:r w:rsidR="00214AB2" w:rsidRPr="00A524AA">
        <w:rPr>
          <w:rFonts w:ascii="Arial" w:hAnsi="Arial" w:cs="Arial"/>
        </w:rPr>
        <w:t>superávit acumulado no presupuestado</w:t>
      </w:r>
      <w:r w:rsidR="00214AB2" w:rsidRPr="00214AB2">
        <w:rPr>
          <w:rFonts w:ascii="Arial" w:hAnsi="Arial" w:cs="Arial"/>
        </w:rPr>
        <w:t>)</w:t>
      </w:r>
      <w:r w:rsidR="00150A7B" w:rsidRPr="0061180C">
        <w:rPr>
          <w:rFonts w:ascii="Arial" w:hAnsi="Arial" w:cs="Arial"/>
        </w:rPr>
        <w:t xml:space="preserve">, lo que equivale a una ejecución del </w:t>
      </w:r>
      <w:r w:rsidR="009125F0" w:rsidRPr="00D47697">
        <w:rPr>
          <w:rFonts w:ascii="Arial" w:hAnsi="Arial" w:cs="Arial"/>
          <w:b/>
          <w:bCs/>
        </w:rPr>
        <w:t>199</w:t>
      </w:r>
      <w:r w:rsidR="00150A7B" w:rsidRPr="00D47697">
        <w:rPr>
          <w:rFonts w:ascii="Arial" w:hAnsi="Arial" w:cs="Arial"/>
          <w:b/>
          <w:bCs/>
        </w:rPr>
        <w:t>%.</w:t>
      </w:r>
      <w:r w:rsidR="00150A7B" w:rsidRPr="0061180C">
        <w:rPr>
          <w:rFonts w:ascii="Arial" w:hAnsi="Arial" w:cs="Arial"/>
        </w:rPr>
        <w:t xml:space="preserve"> A </w:t>
      </w:r>
      <w:r w:rsidRPr="0061180C">
        <w:rPr>
          <w:rFonts w:ascii="Arial" w:hAnsi="Arial" w:cs="Arial"/>
        </w:rPr>
        <w:t>continuación,</w:t>
      </w:r>
      <w:r w:rsidR="00150A7B" w:rsidRPr="0061180C">
        <w:rPr>
          <w:rFonts w:ascii="Arial" w:hAnsi="Arial" w:cs="Arial"/>
        </w:rPr>
        <w:t xml:space="preserve"> se detalla algunos aspectos importantes de los ingresos percibidos.</w:t>
      </w:r>
    </w:p>
    <w:p w14:paraId="25876FB9" w14:textId="77777777" w:rsidR="00311F78" w:rsidRPr="00A93659" w:rsidRDefault="00311F78" w:rsidP="00D60C6C">
      <w:pPr>
        <w:spacing w:after="0" w:line="240" w:lineRule="auto"/>
        <w:jc w:val="both"/>
        <w:rPr>
          <w:rFonts w:ascii="Arial" w:hAnsi="Arial" w:cs="Arial"/>
          <w:b/>
        </w:rPr>
      </w:pPr>
    </w:p>
    <w:p w14:paraId="57D5C2D4" w14:textId="77777777" w:rsidR="00150A7B" w:rsidRDefault="00150A7B" w:rsidP="00D60C6C">
      <w:pPr>
        <w:spacing w:after="0" w:line="240" w:lineRule="auto"/>
        <w:jc w:val="both"/>
        <w:rPr>
          <w:rFonts w:ascii="Arial" w:hAnsi="Arial" w:cs="Arial"/>
          <w:b/>
        </w:rPr>
      </w:pPr>
      <w:r w:rsidRPr="00A93659">
        <w:rPr>
          <w:rFonts w:ascii="Arial" w:hAnsi="Arial" w:cs="Arial"/>
          <w:b/>
        </w:rPr>
        <w:t xml:space="preserve">1.3.0.0.00.00.0.0.000 Ingresos no tributarios </w:t>
      </w:r>
    </w:p>
    <w:p w14:paraId="3EA028D1" w14:textId="77777777" w:rsidR="008056E3" w:rsidRPr="008056E3" w:rsidRDefault="008056E3" w:rsidP="00D60C6C">
      <w:pPr>
        <w:spacing w:after="0" w:line="240" w:lineRule="auto"/>
        <w:jc w:val="both"/>
        <w:rPr>
          <w:rFonts w:ascii="Arial" w:hAnsi="Arial" w:cs="Arial"/>
          <w:b/>
        </w:rPr>
      </w:pPr>
      <w:r w:rsidRPr="008056E3">
        <w:rPr>
          <w:rFonts w:ascii="Arial" w:hAnsi="Arial" w:cs="Arial"/>
          <w:b/>
        </w:rPr>
        <w:t>1.3.1.2.09.0</w:t>
      </w:r>
      <w:r w:rsidR="000566F6">
        <w:rPr>
          <w:rFonts w:ascii="Arial" w:hAnsi="Arial" w:cs="Arial"/>
          <w:b/>
        </w:rPr>
        <w:t>9</w:t>
      </w:r>
      <w:r w:rsidRPr="008056E3">
        <w:rPr>
          <w:rFonts w:ascii="Arial" w:hAnsi="Arial" w:cs="Arial"/>
          <w:b/>
        </w:rPr>
        <w:t>.0.0.000</w:t>
      </w:r>
      <w:r w:rsidR="009835F6">
        <w:rPr>
          <w:rFonts w:ascii="Arial" w:hAnsi="Arial" w:cs="Arial"/>
          <w:b/>
        </w:rPr>
        <w:t xml:space="preserve"> Venta de servicios</w:t>
      </w:r>
    </w:p>
    <w:p w14:paraId="214A9FB0" w14:textId="77777777" w:rsidR="008056E3" w:rsidRPr="00A93659" w:rsidRDefault="008056E3" w:rsidP="00D60C6C">
      <w:pPr>
        <w:spacing w:after="0" w:line="240" w:lineRule="auto"/>
        <w:jc w:val="both"/>
        <w:rPr>
          <w:rFonts w:ascii="Arial" w:hAnsi="Arial" w:cs="Arial"/>
          <w:b/>
        </w:rPr>
      </w:pPr>
    </w:p>
    <w:p w14:paraId="46DCDA89" w14:textId="1454934F" w:rsidR="00541E9D" w:rsidRDefault="00A66B85" w:rsidP="00D60C6C">
      <w:pPr>
        <w:jc w:val="both"/>
        <w:rPr>
          <w:rFonts w:ascii="Arial" w:hAnsi="Arial" w:cs="Arial"/>
        </w:rPr>
      </w:pPr>
      <w:r w:rsidRPr="003E73B2">
        <w:rPr>
          <w:rFonts w:ascii="Arial" w:hAnsi="Arial" w:cs="Arial"/>
        </w:rPr>
        <w:t xml:space="preserve">En cumplimiento </w:t>
      </w:r>
      <w:r w:rsidR="00942F6D">
        <w:rPr>
          <w:rFonts w:ascii="Arial" w:hAnsi="Arial" w:cs="Arial"/>
        </w:rPr>
        <w:t xml:space="preserve">al contrato de </w:t>
      </w:r>
      <w:r w:rsidR="002A5BE5">
        <w:rPr>
          <w:rFonts w:ascii="Arial" w:hAnsi="Arial" w:cs="Arial"/>
        </w:rPr>
        <w:t>Fideicomiso y</w:t>
      </w:r>
      <w:r w:rsidR="00942F6D">
        <w:rPr>
          <w:rFonts w:ascii="Arial" w:hAnsi="Arial" w:cs="Arial"/>
        </w:rPr>
        <w:t xml:space="preserve"> </w:t>
      </w:r>
      <w:r w:rsidR="001E1B19">
        <w:rPr>
          <w:rFonts w:ascii="Arial" w:hAnsi="Arial" w:cs="Arial"/>
        </w:rPr>
        <w:t>al inciso</w:t>
      </w:r>
      <w:r w:rsidR="00942F6D">
        <w:rPr>
          <w:rFonts w:ascii="Arial" w:hAnsi="Arial" w:cs="Arial"/>
        </w:rPr>
        <w:t xml:space="preserve"> d) y i) del artículo 47 de la Ley Forestal 7575</w:t>
      </w:r>
      <w:r w:rsidR="00823197">
        <w:rPr>
          <w:rFonts w:ascii="Arial" w:hAnsi="Arial" w:cs="Arial"/>
        </w:rPr>
        <w:t xml:space="preserve">, en esta subpartida </w:t>
      </w:r>
      <w:r w:rsidR="00932E5B" w:rsidRPr="003E73B2">
        <w:rPr>
          <w:rFonts w:ascii="Arial" w:hAnsi="Arial" w:cs="Arial"/>
        </w:rPr>
        <w:t>se presupuest</w:t>
      </w:r>
      <w:r w:rsidR="00823197">
        <w:rPr>
          <w:rFonts w:ascii="Arial" w:hAnsi="Arial" w:cs="Arial"/>
        </w:rPr>
        <w:t>ó</w:t>
      </w:r>
      <w:r w:rsidR="00932E5B">
        <w:rPr>
          <w:rFonts w:ascii="Arial" w:hAnsi="Arial" w:cs="Arial"/>
        </w:rPr>
        <w:t xml:space="preserve"> la suma de </w:t>
      </w:r>
      <w:r w:rsidR="00362E86" w:rsidRPr="00362E86">
        <w:rPr>
          <w:rFonts w:ascii="Arial" w:hAnsi="Arial" w:cs="Arial"/>
          <w:b/>
        </w:rPr>
        <w:t>¢</w:t>
      </w:r>
      <w:r w:rsidR="00D47697">
        <w:rPr>
          <w:rFonts w:ascii="Arial" w:hAnsi="Arial" w:cs="Arial"/>
          <w:b/>
        </w:rPr>
        <w:t>36.481.122</w:t>
      </w:r>
      <w:r w:rsidR="00362E86">
        <w:rPr>
          <w:rFonts w:ascii="Arial" w:hAnsi="Arial" w:cs="Arial"/>
        </w:rPr>
        <w:t>, al cierre del periodo 20</w:t>
      </w:r>
      <w:r w:rsidR="00225E52">
        <w:rPr>
          <w:rFonts w:ascii="Arial" w:hAnsi="Arial" w:cs="Arial"/>
        </w:rPr>
        <w:t>2</w:t>
      </w:r>
      <w:r w:rsidR="00D47697">
        <w:rPr>
          <w:rFonts w:ascii="Arial" w:hAnsi="Arial" w:cs="Arial"/>
        </w:rPr>
        <w:t>1</w:t>
      </w:r>
      <w:r w:rsidR="001E1B19">
        <w:rPr>
          <w:rFonts w:ascii="Arial" w:hAnsi="Arial" w:cs="Arial"/>
        </w:rPr>
        <w:t xml:space="preserve"> se percibió la suma de</w:t>
      </w:r>
      <w:r w:rsidR="00362E86">
        <w:rPr>
          <w:rFonts w:ascii="Arial" w:hAnsi="Arial" w:cs="Arial"/>
        </w:rPr>
        <w:t xml:space="preserve"> </w:t>
      </w:r>
      <w:r w:rsidR="00362E86" w:rsidRPr="00362E86">
        <w:rPr>
          <w:rFonts w:ascii="Arial" w:hAnsi="Arial" w:cs="Arial"/>
          <w:b/>
        </w:rPr>
        <w:t>¢</w:t>
      </w:r>
      <w:r w:rsidR="001E1B19">
        <w:rPr>
          <w:rFonts w:ascii="Arial" w:hAnsi="Arial" w:cs="Arial"/>
          <w:b/>
        </w:rPr>
        <w:t>1</w:t>
      </w:r>
      <w:r w:rsidR="00D47697">
        <w:rPr>
          <w:rFonts w:ascii="Arial" w:hAnsi="Arial" w:cs="Arial"/>
          <w:b/>
        </w:rPr>
        <w:t>14.546.961</w:t>
      </w:r>
      <w:r w:rsidR="00362E86">
        <w:rPr>
          <w:rFonts w:ascii="Arial" w:hAnsi="Arial" w:cs="Arial"/>
        </w:rPr>
        <w:t xml:space="preserve"> equivalentes a un </w:t>
      </w:r>
      <w:r w:rsidR="00D47697">
        <w:rPr>
          <w:rFonts w:ascii="Arial" w:hAnsi="Arial" w:cs="Arial"/>
        </w:rPr>
        <w:t>314</w:t>
      </w:r>
      <w:r w:rsidR="00362E86" w:rsidRPr="00225E52">
        <w:rPr>
          <w:rFonts w:ascii="Arial" w:hAnsi="Arial" w:cs="Arial"/>
          <w:b/>
        </w:rPr>
        <w:t>%</w:t>
      </w:r>
      <w:r w:rsidR="00362E86">
        <w:rPr>
          <w:rFonts w:ascii="Arial" w:hAnsi="Arial" w:cs="Arial"/>
        </w:rPr>
        <w:t xml:space="preserve"> de ejecución</w:t>
      </w:r>
      <w:r w:rsidR="001E1B19">
        <w:rPr>
          <w:rFonts w:ascii="Arial" w:hAnsi="Arial" w:cs="Arial"/>
        </w:rPr>
        <w:t>, de total</w:t>
      </w:r>
      <w:r w:rsidR="007D7007">
        <w:rPr>
          <w:rFonts w:ascii="Arial" w:hAnsi="Arial" w:cs="Arial"/>
        </w:rPr>
        <w:t xml:space="preserve"> percibido</w:t>
      </w:r>
      <w:r w:rsidR="001E1B19">
        <w:rPr>
          <w:rFonts w:ascii="Arial" w:hAnsi="Arial" w:cs="Arial"/>
        </w:rPr>
        <w:t xml:space="preserve"> un monto de </w:t>
      </w:r>
      <w:r w:rsidR="001E1B19" w:rsidRPr="001E1B19">
        <w:rPr>
          <w:rFonts w:ascii="Arial" w:hAnsi="Arial" w:cs="Arial"/>
          <w:b/>
        </w:rPr>
        <w:t>¢</w:t>
      </w:r>
      <w:r w:rsidR="00D47697">
        <w:rPr>
          <w:rFonts w:ascii="Arial" w:hAnsi="Arial" w:cs="Arial"/>
          <w:b/>
        </w:rPr>
        <w:t>41.934.609</w:t>
      </w:r>
      <w:r w:rsidR="001E1B19">
        <w:rPr>
          <w:rFonts w:ascii="Arial" w:hAnsi="Arial" w:cs="Arial"/>
        </w:rPr>
        <w:t xml:space="preserve"> </w:t>
      </w:r>
      <w:r w:rsidR="007D7007">
        <w:rPr>
          <w:rFonts w:ascii="Arial" w:hAnsi="Arial" w:cs="Arial"/>
        </w:rPr>
        <w:t>ingresó</w:t>
      </w:r>
      <w:r w:rsidR="001E1B19">
        <w:rPr>
          <w:rFonts w:ascii="Arial" w:hAnsi="Arial" w:cs="Arial"/>
        </w:rPr>
        <w:t xml:space="preserve"> durante el segundo semestre</w:t>
      </w:r>
      <w:r w:rsidR="00362E86">
        <w:rPr>
          <w:rFonts w:ascii="Arial" w:hAnsi="Arial" w:cs="Arial"/>
        </w:rPr>
        <w:t xml:space="preserve">. </w:t>
      </w:r>
      <w:r w:rsidR="00673974">
        <w:rPr>
          <w:rFonts w:ascii="Arial" w:hAnsi="Arial" w:cs="Arial"/>
        </w:rPr>
        <w:t>Es</w:t>
      </w:r>
      <w:r w:rsidR="00256565" w:rsidRPr="00256565">
        <w:rPr>
          <w:rFonts w:ascii="Arial" w:hAnsi="Arial" w:cs="Arial"/>
        </w:rPr>
        <w:t>tos son recursos</w:t>
      </w:r>
      <w:r w:rsidR="00932E5B" w:rsidRPr="00256565">
        <w:rPr>
          <w:rFonts w:ascii="Arial" w:hAnsi="Arial" w:cs="Arial"/>
        </w:rPr>
        <w:t xml:space="preserve"> </w:t>
      </w:r>
      <w:r w:rsidR="00362E86">
        <w:rPr>
          <w:rFonts w:ascii="Arial" w:hAnsi="Arial" w:cs="Arial"/>
        </w:rPr>
        <w:t xml:space="preserve">principalmente por ingresos de afectaciones </w:t>
      </w:r>
      <w:r w:rsidR="00256565">
        <w:rPr>
          <w:rFonts w:ascii="Arial" w:hAnsi="Arial" w:cs="Arial"/>
        </w:rPr>
        <w:t>realizadas a los contratos por pago de servicios ambientales</w:t>
      </w:r>
      <w:r w:rsidR="001E1B19">
        <w:rPr>
          <w:rFonts w:ascii="Arial" w:hAnsi="Arial" w:cs="Arial"/>
        </w:rPr>
        <w:t>, así como convenios también para el pago de PSA.</w:t>
      </w:r>
    </w:p>
    <w:p w14:paraId="21B88B12" w14:textId="77777777" w:rsidR="00A524AA" w:rsidRDefault="00A524AA" w:rsidP="00D60C6C">
      <w:pPr>
        <w:spacing w:after="0" w:line="240" w:lineRule="auto"/>
        <w:jc w:val="both"/>
        <w:rPr>
          <w:rFonts w:ascii="Arial" w:hAnsi="Arial" w:cs="Arial"/>
          <w:b/>
        </w:rPr>
      </w:pPr>
    </w:p>
    <w:p w14:paraId="3FBBE816" w14:textId="77777777" w:rsidR="00BB12A9" w:rsidRDefault="00974523" w:rsidP="00D60C6C">
      <w:pPr>
        <w:spacing w:after="0" w:line="240" w:lineRule="auto"/>
        <w:jc w:val="both"/>
        <w:rPr>
          <w:rFonts w:ascii="Arial" w:hAnsi="Arial" w:cs="Arial"/>
          <w:b/>
        </w:rPr>
      </w:pPr>
      <w:r>
        <w:rPr>
          <w:rFonts w:ascii="Arial" w:hAnsi="Arial" w:cs="Arial"/>
          <w:b/>
        </w:rPr>
        <w:t>1.3.2</w:t>
      </w:r>
      <w:r w:rsidR="00150A7B" w:rsidRPr="00300C0C">
        <w:rPr>
          <w:rFonts w:ascii="Arial" w:hAnsi="Arial" w:cs="Arial"/>
          <w:b/>
        </w:rPr>
        <w:t xml:space="preserve">.0.00.00.0.0.000 Ingresos de la propiedad </w:t>
      </w:r>
    </w:p>
    <w:p w14:paraId="26C376D3" w14:textId="77777777" w:rsidR="0069687B" w:rsidRPr="00974523" w:rsidRDefault="0069687B" w:rsidP="00D60C6C">
      <w:pPr>
        <w:spacing w:after="0" w:line="240" w:lineRule="auto"/>
        <w:jc w:val="both"/>
        <w:rPr>
          <w:rFonts w:ascii="Arial" w:hAnsi="Arial" w:cs="Arial"/>
          <w:b/>
        </w:rPr>
      </w:pPr>
      <w:r w:rsidRPr="00974523">
        <w:rPr>
          <w:rFonts w:ascii="Arial" w:hAnsi="Arial" w:cs="Arial"/>
          <w:b/>
        </w:rPr>
        <w:t>1.3.2.3.02.0</w:t>
      </w:r>
      <w:r w:rsidR="000566F6">
        <w:rPr>
          <w:rFonts w:ascii="Arial" w:hAnsi="Arial" w:cs="Arial"/>
          <w:b/>
        </w:rPr>
        <w:t>7</w:t>
      </w:r>
      <w:r w:rsidRPr="00974523">
        <w:rPr>
          <w:rFonts w:ascii="Arial" w:hAnsi="Arial" w:cs="Arial"/>
          <w:b/>
        </w:rPr>
        <w:t>.0.0.000 Intereses y comisiones sobre préstamos</w:t>
      </w:r>
      <w:r w:rsidR="000566F6">
        <w:rPr>
          <w:rFonts w:ascii="Arial" w:hAnsi="Arial" w:cs="Arial"/>
          <w:b/>
        </w:rPr>
        <w:t xml:space="preserve"> al sector privado</w:t>
      </w:r>
    </w:p>
    <w:p w14:paraId="33B24688" w14:textId="77777777" w:rsidR="0069687B" w:rsidRPr="0069687B" w:rsidRDefault="0069687B" w:rsidP="00D60C6C">
      <w:pPr>
        <w:spacing w:after="0" w:line="240" w:lineRule="auto"/>
        <w:jc w:val="both"/>
        <w:rPr>
          <w:rFonts w:ascii="Arial" w:hAnsi="Arial" w:cs="Arial"/>
          <w:b/>
          <w:color w:val="FF0000"/>
        </w:rPr>
      </w:pPr>
    </w:p>
    <w:p w14:paraId="5948ACFE" w14:textId="5D2B5622" w:rsidR="0069687B" w:rsidRPr="00974523" w:rsidRDefault="000566F6" w:rsidP="00D60C6C">
      <w:pPr>
        <w:spacing w:after="0" w:line="240" w:lineRule="auto"/>
        <w:jc w:val="both"/>
        <w:rPr>
          <w:rFonts w:ascii="Arial" w:hAnsi="Arial" w:cs="Arial"/>
        </w:rPr>
      </w:pPr>
      <w:r>
        <w:rPr>
          <w:rFonts w:ascii="Arial" w:hAnsi="Arial" w:cs="Arial"/>
        </w:rPr>
        <w:t xml:space="preserve">En esta subpartida se presupuestó la suma </w:t>
      </w:r>
      <w:r w:rsidR="00AF08C6">
        <w:rPr>
          <w:rFonts w:ascii="Arial" w:hAnsi="Arial" w:cs="Arial"/>
        </w:rPr>
        <w:t xml:space="preserve">de </w:t>
      </w:r>
      <w:r w:rsidR="00AF08C6" w:rsidRPr="00035764">
        <w:rPr>
          <w:rFonts w:ascii="Arial" w:hAnsi="Arial" w:cs="Arial"/>
          <w:b/>
        </w:rPr>
        <w:t>¢</w:t>
      </w:r>
      <w:r w:rsidR="00E80C4A">
        <w:rPr>
          <w:rFonts w:ascii="Arial" w:hAnsi="Arial" w:cs="Arial"/>
          <w:b/>
        </w:rPr>
        <w:t>346.773.828</w:t>
      </w:r>
      <w:r w:rsidR="00D95ADF">
        <w:rPr>
          <w:rFonts w:ascii="Arial" w:hAnsi="Arial" w:cs="Arial"/>
        </w:rPr>
        <w:t>,</w:t>
      </w:r>
      <w:r w:rsidR="007D7007" w:rsidRPr="007D7007">
        <w:rPr>
          <w:rFonts w:ascii="Arial" w:hAnsi="Arial" w:cs="Arial"/>
        </w:rPr>
        <w:t xml:space="preserve"> </w:t>
      </w:r>
      <w:r w:rsidR="007D7007">
        <w:rPr>
          <w:rFonts w:ascii="Arial" w:hAnsi="Arial" w:cs="Arial"/>
        </w:rPr>
        <w:t>al cierre del periodo 202</w:t>
      </w:r>
      <w:r w:rsidR="00E80C4A">
        <w:rPr>
          <w:rFonts w:ascii="Arial" w:hAnsi="Arial" w:cs="Arial"/>
        </w:rPr>
        <w:t>1</w:t>
      </w:r>
      <w:r w:rsidR="007D7007">
        <w:rPr>
          <w:rFonts w:ascii="Arial" w:hAnsi="Arial" w:cs="Arial"/>
        </w:rPr>
        <w:t xml:space="preserve"> se percibió la suma de ¢</w:t>
      </w:r>
      <w:r w:rsidR="00E80C4A">
        <w:rPr>
          <w:rFonts w:ascii="Arial" w:hAnsi="Arial" w:cs="Arial"/>
        </w:rPr>
        <w:t>145.473.717</w:t>
      </w:r>
      <w:r w:rsidR="007D7007">
        <w:rPr>
          <w:rFonts w:ascii="Arial" w:hAnsi="Arial" w:cs="Arial"/>
        </w:rPr>
        <w:t xml:space="preserve"> equivalentes a un 4</w:t>
      </w:r>
      <w:r w:rsidR="00E80C4A">
        <w:rPr>
          <w:rFonts w:ascii="Arial" w:hAnsi="Arial" w:cs="Arial"/>
        </w:rPr>
        <w:t>2</w:t>
      </w:r>
      <w:r w:rsidR="007D7007">
        <w:rPr>
          <w:rFonts w:ascii="Arial" w:hAnsi="Arial" w:cs="Arial"/>
        </w:rPr>
        <w:t>% de ejecución, del total pe</w:t>
      </w:r>
      <w:r w:rsidR="005641E3">
        <w:rPr>
          <w:rFonts w:ascii="Arial" w:hAnsi="Arial" w:cs="Arial"/>
        </w:rPr>
        <w:t>rcibido un monto de ¢7</w:t>
      </w:r>
      <w:r w:rsidR="00E80C4A">
        <w:rPr>
          <w:rFonts w:ascii="Arial" w:hAnsi="Arial" w:cs="Arial"/>
        </w:rPr>
        <w:t>9.476.985</w:t>
      </w:r>
      <w:r w:rsidR="007D7007">
        <w:rPr>
          <w:rFonts w:ascii="Arial" w:hAnsi="Arial" w:cs="Arial"/>
        </w:rPr>
        <w:t xml:space="preserve"> ingresó durante el segundo semestre.</w:t>
      </w:r>
      <w:r w:rsidR="00D06E8A">
        <w:rPr>
          <w:rFonts w:ascii="Arial" w:hAnsi="Arial" w:cs="Arial"/>
        </w:rPr>
        <w:t xml:space="preserve"> E</w:t>
      </w:r>
      <w:r w:rsidR="00D95ADF">
        <w:rPr>
          <w:rFonts w:ascii="Arial" w:hAnsi="Arial" w:cs="Arial"/>
        </w:rPr>
        <w:t xml:space="preserve">stos recursos corresponden a intereses </w:t>
      </w:r>
      <w:r w:rsidR="00A524AA">
        <w:rPr>
          <w:rFonts w:ascii="Arial" w:hAnsi="Arial" w:cs="Arial"/>
        </w:rPr>
        <w:t xml:space="preserve">generados </w:t>
      </w:r>
      <w:r w:rsidR="00D95ADF">
        <w:rPr>
          <w:rFonts w:ascii="Arial" w:hAnsi="Arial" w:cs="Arial"/>
        </w:rPr>
        <w:t>por la cartera de crédito</w:t>
      </w:r>
      <w:r w:rsidR="0069687B" w:rsidRPr="00974523">
        <w:rPr>
          <w:rFonts w:ascii="Arial" w:hAnsi="Arial" w:cs="Arial"/>
        </w:rPr>
        <w:t>.</w:t>
      </w:r>
    </w:p>
    <w:p w14:paraId="54216117" w14:textId="77777777" w:rsidR="0069687B" w:rsidRPr="00974523" w:rsidRDefault="0069687B" w:rsidP="0063117F">
      <w:pPr>
        <w:spacing w:after="0" w:line="240" w:lineRule="auto"/>
        <w:rPr>
          <w:rFonts w:ascii="Arial" w:hAnsi="Arial" w:cs="Arial"/>
          <w:b/>
        </w:rPr>
      </w:pPr>
    </w:p>
    <w:p w14:paraId="1F96A0E0" w14:textId="77777777" w:rsidR="00780FD0" w:rsidRDefault="00780FD0" w:rsidP="0063117F">
      <w:pPr>
        <w:spacing w:after="0" w:line="240" w:lineRule="auto"/>
        <w:rPr>
          <w:rFonts w:ascii="Arial" w:hAnsi="Arial" w:cs="Arial"/>
          <w:b/>
        </w:rPr>
      </w:pPr>
    </w:p>
    <w:p w14:paraId="70A66BF7" w14:textId="77777777" w:rsidR="0063117F" w:rsidRDefault="0063117F" w:rsidP="0063117F">
      <w:pPr>
        <w:spacing w:after="0" w:line="240" w:lineRule="auto"/>
        <w:rPr>
          <w:rFonts w:ascii="Arial" w:hAnsi="Arial" w:cs="Arial"/>
          <w:b/>
        </w:rPr>
      </w:pPr>
      <w:r w:rsidRPr="00300C0C">
        <w:rPr>
          <w:rFonts w:ascii="Arial" w:hAnsi="Arial" w:cs="Arial"/>
          <w:b/>
        </w:rPr>
        <w:t>1.3.2.3.03.00.0.0.000 Otras Rentas de Activos Financieros</w:t>
      </w:r>
    </w:p>
    <w:p w14:paraId="3B88E495" w14:textId="77777777" w:rsidR="00553739" w:rsidRDefault="00553739" w:rsidP="0063117F">
      <w:pPr>
        <w:spacing w:after="0" w:line="240" w:lineRule="auto"/>
        <w:rPr>
          <w:rFonts w:ascii="Arial" w:hAnsi="Arial" w:cs="Arial"/>
          <w:b/>
        </w:rPr>
      </w:pPr>
      <w:r>
        <w:rPr>
          <w:rFonts w:ascii="Arial" w:hAnsi="Arial" w:cs="Arial"/>
          <w:b/>
        </w:rPr>
        <w:t>1.3.2.3.03.04.0.0.000 Diferencias por tipo de cambio</w:t>
      </w:r>
    </w:p>
    <w:p w14:paraId="0DB5F9BB" w14:textId="77777777" w:rsidR="009701F5" w:rsidRPr="00300C0C" w:rsidRDefault="009701F5" w:rsidP="0063117F">
      <w:pPr>
        <w:spacing w:after="0" w:line="240" w:lineRule="auto"/>
        <w:rPr>
          <w:rFonts w:ascii="Arial" w:hAnsi="Arial" w:cs="Arial"/>
          <w:b/>
        </w:rPr>
      </w:pPr>
    </w:p>
    <w:p w14:paraId="60E0533A" w14:textId="461F80C7" w:rsidR="00BC6B9F" w:rsidRPr="00BC6B9F" w:rsidRDefault="009701F5" w:rsidP="00BC6B9F">
      <w:pPr>
        <w:pStyle w:val="Default"/>
        <w:jc w:val="both"/>
        <w:rPr>
          <w:rFonts w:eastAsia="Batang"/>
          <w:color w:val="auto"/>
          <w:sz w:val="23"/>
          <w:szCs w:val="23"/>
          <w:lang w:val="es-US"/>
        </w:rPr>
      </w:pPr>
      <w:r w:rsidRPr="00BC6B9F">
        <w:rPr>
          <w:color w:val="auto"/>
        </w:rPr>
        <w:t>En e</w:t>
      </w:r>
      <w:r w:rsidR="00150A7B" w:rsidRPr="00BC6B9F">
        <w:rPr>
          <w:color w:val="auto"/>
        </w:rPr>
        <w:t>st</w:t>
      </w:r>
      <w:r w:rsidR="00553739" w:rsidRPr="00BC6B9F">
        <w:rPr>
          <w:color w:val="auto"/>
        </w:rPr>
        <w:t>a</w:t>
      </w:r>
      <w:r w:rsidR="00150A7B" w:rsidRPr="00BC6B9F">
        <w:rPr>
          <w:color w:val="auto"/>
        </w:rPr>
        <w:t xml:space="preserve"> </w:t>
      </w:r>
      <w:r w:rsidR="00553739" w:rsidRPr="00BC6B9F">
        <w:rPr>
          <w:color w:val="auto"/>
        </w:rPr>
        <w:t xml:space="preserve">subpartida </w:t>
      </w:r>
      <w:r w:rsidRPr="00BC6B9F">
        <w:rPr>
          <w:color w:val="auto"/>
        </w:rPr>
        <w:t xml:space="preserve">no se </w:t>
      </w:r>
      <w:r w:rsidR="00553739" w:rsidRPr="00BC6B9F">
        <w:rPr>
          <w:color w:val="auto"/>
        </w:rPr>
        <w:t>presupuestó, s</w:t>
      </w:r>
      <w:r w:rsidRPr="00BC6B9F">
        <w:rPr>
          <w:color w:val="auto"/>
        </w:rPr>
        <w:t xml:space="preserve">in </w:t>
      </w:r>
      <w:r w:rsidR="00D428C0" w:rsidRPr="00BC6B9F">
        <w:rPr>
          <w:color w:val="auto"/>
        </w:rPr>
        <w:t>embargo,</w:t>
      </w:r>
      <w:r w:rsidR="00E24195" w:rsidRPr="00BC6B9F">
        <w:rPr>
          <w:color w:val="auto"/>
        </w:rPr>
        <w:t xml:space="preserve"> </w:t>
      </w:r>
      <w:r w:rsidR="00553739" w:rsidRPr="00BC6B9F">
        <w:rPr>
          <w:color w:val="auto"/>
        </w:rPr>
        <w:t>al</w:t>
      </w:r>
      <w:r w:rsidR="003068B7" w:rsidRPr="00BC6B9F">
        <w:rPr>
          <w:color w:val="auto"/>
        </w:rPr>
        <w:t xml:space="preserve"> cierre del </w:t>
      </w:r>
      <w:r w:rsidR="00E24195" w:rsidRPr="00BC6B9F">
        <w:rPr>
          <w:color w:val="auto"/>
        </w:rPr>
        <w:t>periodo 202</w:t>
      </w:r>
      <w:r w:rsidR="00947FA7" w:rsidRPr="00BC6B9F">
        <w:rPr>
          <w:color w:val="auto"/>
        </w:rPr>
        <w:t>1</w:t>
      </w:r>
      <w:r w:rsidR="00E24195" w:rsidRPr="00BC6B9F">
        <w:rPr>
          <w:color w:val="auto"/>
        </w:rPr>
        <w:t xml:space="preserve"> ingresó un monto total de ¢</w:t>
      </w:r>
      <w:r w:rsidR="00947FA7" w:rsidRPr="00BC6B9F">
        <w:rPr>
          <w:color w:val="auto"/>
        </w:rPr>
        <w:t>31</w:t>
      </w:r>
      <w:r w:rsidR="00444BC3" w:rsidRPr="00BC6B9F">
        <w:rPr>
          <w:color w:val="auto"/>
        </w:rPr>
        <w:t>6.614.932</w:t>
      </w:r>
      <w:r w:rsidR="00E24195" w:rsidRPr="00BC6B9F">
        <w:rPr>
          <w:color w:val="auto"/>
        </w:rPr>
        <w:t>, de los cuales ¢</w:t>
      </w:r>
      <w:r w:rsidR="00444BC3" w:rsidRPr="00BC6B9F">
        <w:rPr>
          <w:color w:val="auto"/>
        </w:rPr>
        <w:t>315.328.381</w:t>
      </w:r>
      <w:r w:rsidR="00E24195" w:rsidRPr="00BC6B9F">
        <w:rPr>
          <w:color w:val="auto"/>
        </w:rPr>
        <w:t xml:space="preserve"> fueron c</w:t>
      </w:r>
      <w:r w:rsidR="003068B7" w:rsidRPr="00BC6B9F">
        <w:rPr>
          <w:color w:val="auto"/>
        </w:rPr>
        <w:t>apta</w:t>
      </w:r>
      <w:r w:rsidR="00E24195" w:rsidRPr="00BC6B9F">
        <w:rPr>
          <w:color w:val="auto"/>
        </w:rPr>
        <w:t>dos en el segundo semestre</w:t>
      </w:r>
      <w:r w:rsidR="00553739" w:rsidRPr="00BC6B9F">
        <w:rPr>
          <w:color w:val="auto"/>
        </w:rPr>
        <w:t xml:space="preserve">, </w:t>
      </w:r>
      <w:r w:rsidR="00780FD0" w:rsidRPr="00BC6B9F">
        <w:rPr>
          <w:color w:val="auto"/>
        </w:rPr>
        <w:t xml:space="preserve">estos </w:t>
      </w:r>
      <w:r w:rsidR="003068B7" w:rsidRPr="00BC6B9F">
        <w:rPr>
          <w:color w:val="auto"/>
        </w:rPr>
        <w:t>ingresos</w:t>
      </w:r>
      <w:r w:rsidR="00553739" w:rsidRPr="00BC6B9F">
        <w:rPr>
          <w:color w:val="auto"/>
        </w:rPr>
        <w:t xml:space="preserve"> se origina</w:t>
      </w:r>
      <w:r w:rsidR="00BC6B9F" w:rsidRPr="00BC6B9F">
        <w:rPr>
          <w:color w:val="auto"/>
        </w:rPr>
        <w:t>ron</w:t>
      </w:r>
      <w:r w:rsidR="00553739" w:rsidRPr="00BC6B9F">
        <w:rPr>
          <w:color w:val="auto"/>
        </w:rPr>
        <w:t xml:space="preserve"> a través de las</w:t>
      </w:r>
      <w:r w:rsidR="00DC38C9" w:rsidRPr="00BC6B9F">
        <w:rPr>
          <w:color w:val="auto"/>
        </w:rPr>
        <w:t xml:space="preserve"> fluctuaciones positivas </w:t>
      </w:r>
      <w:r w:rsidR="00A524AA" w:rsidRPr="00BC6B9F">
        <w:rPr>
          <w:color w:val="auto"/>
        </w:rPr>
        <w:t xml:space="preserve">por tipo de cambio </w:t>
      </w:r>
      <w:r w:rsidR="00DC38C9" w:rsidRPr="00BC6B9F">
        <w:rPr>
          <w:color w:val="auto"/>
        </w:rPr>
        <w:t>presentadas durante el período</w:t>
      </w:r>
      <w:r w:rsidR="00444BC3" w:rsidRPr="00BC6B9F">
        <w:rPr>
          <w:color w:val="auto"/>
        </w:rPr>
        <w:t xml:space="preserve">, </w:t>
      </w:r>
      <w:r w:rsidR="00BC6B9F" w:rsidRPr="00BC6B9F">
        <w:rPr>
          <w:color w:val="auto"/>
        </w:rPr>
        <w:t xml:space="preserve">especialmente con el ingreso </w:t>
      </w:r>
      <w:r w:rsidR="00A90F69">
        <w:rPr>
          <w:color w:val="auto"/>
        </w:rPr>
        <w:t xml:space="preserve">de </w:t>
      </w:r>
      <w:r w:rsidR="005560FF">
        <w:rPr>
          <w:color w:val="auto"/>
        </w:rPr>
        <w:t>$23,93 millones de dólares</w:t>
      </w:r>
      <w:r w:rsidR="00BC6B9F" w:rsidRPr="00BC6B9F">
        <w:rPr>
          <w:color w:val="auto"/>
        </w:rPr>
        <w:t xml:space="preserve"> provenientes </w:t>
      </w:r>
      <w:r w:rsidR="00BC6B9F" w:rsidRPr="00BC6B9F">
        <w:rPr>
          <w:rFonts w:eastAsia="Batang"/>
          <w:color w:val="auto"/>
          <w:sz w:val="23"/>
          <w:szCs w:val="23"/>
          <w:lang w:val="es-US"/>
        </w:rPr>
        <w:t xml:space="preserve">del Proyecto 00103003 “Costa Rica REDD+ Pagos Basados en resultados para el periodo de resultados 2014-2015”, firmado por el Programa de las Naciones Unidas para el Desarrollo (PNUD) </w:t>
      </w:r>
    </w:p>
    <w:p w14:paraId="66F6B09E" w14:textId="419C258A" w:rsidR="001F7268" w:rsidRDefault="001F7268" w:rsidP="00150A7B">
      <w:pPr>
        <w:spacing w:after="0" w:line="240" w:lineRule="auto"/>
        <w:rPr>
          <w:rFonts w:ascii="Arial" w:hAnsi="Arial" w:cs="Arial"/>
          <w:highlight w:val="yellow"/>
        </w:rPr>
      </w:pPr>
    </w:p>
    <w:p w14:paraId="1E58F168" w14:textId="5531E731" w:rsidR="00A90F69" w:rsidRDefault="00A90F69" w:rsidP="00150A7B">
      <w:pPr>
        <w:spacing w:after="0" w:line="240" w:lineRule="auto"/>
        <w:rPr>
          <w:rFonts w:ascii="Arial" w:hAnsi="Arial" w:cs="Arial"/>
          <w:highlight w:val="yellow"/>
        </w:rPr>
      </w:pPr>
    </w:p>
    <w:p w14:paraId="767F166B" w14:textId="048BFBFD" w:rsidR="00A90F69" w:rsidRDefault="00A90F69" w:rsidP="00150A7B">
      <w:pPr>
        <w:spacing w:after="0" w:line="240" w:lineRule="auto"/>
        <w:rPr>
          <w:rFonts w:ascii="Arial" w:hAnsi="Arial" w:cs="Arial"/>
          <w:highlight w:val="yellow"/>
        </w:rPr>
      </w:pPr>
    </w:p>
    <w:p w14:paraId="094EC8CB" w14:textId="2E79C9D9" w:rsidR="00A90F69" w:rsidRDefault="00A90F69" w:rsidP="00150A7B">
      <w:pPr>
        <w:spacing w:after="0" w:line="240" w:lineRule="auto"/>
        <w:rPr>
          <w:rFonts w:ascii="Arial" w:hAnsi="Arial" w:cs="Arial"/>
          <w:highlight w:val="yellow"/>
        </w:rPr>
      </w:pPr>
    </w:p>
    <w:p w14:paraId="114142DB" w14:textId="0FAE87CE" w:rsidR="00A90F69" w:rsidRDefault="00A90F69" w:rsidP="00150A7B">
      <w:pPr>
        <w:spacing w:after="0" w:line="240" w:lineRule="auto"/>
        <w:rPr>
          <w:rFonts w:ascii="Arial" w:hAnsi="Arial" w:cs="Arial"/>
          <w:highlight w:val="yellow"/>
        </w:rPr>
      </w:pPr>
    </w:p>
    <w:p w14:paraId="359C9ED0" w14:textId="77777777" w:rsidR="00A90F69" w:rsidRDefault="00A90F69" w:rsidP="00150A7B">
      <w:pPr>
        <w:spacing w:after="0" w:line="240" w:lineRule="auto"/>
        <w:rPr>
          <w:rFonts w:ascii="Arial" w:hAnsi="Arial" w:cs="Arial"/>
          <w:highlight w:val="yellow"/>
        </w:rPr>
      </w:pPr>
    </w:p>
    <w:p w14:paraId="20E28F24" w14:textId="77777777" w:rsidR="00150A7B" w:rsidRPr="00300C0C" w:rsidRDefault="00150A7B" w:rsidP="00150A7B">
      <w:pPr>
        <w:spacing w:after="0" w:line="240" w:lineRule="auto"/>
        <w:rPr>
          <w:rFonts w:ascii="Arial" w:hAnsi="Arial" w:cs="Arial"/>
          <w:b/>
        </w:rPr>
      </w:pPr>
      <w:r w:rsidRPr="00300C0C">
        <w:rPr>
          <w:rFonts w:ascii="Arial" w:hAnsi="Arial" w:cs="Arial"/>
          <w:b/>
        </w:rPr>
        <w:t xml:space="preserve">1.3.3.1.00.00.0.0.000 Multas y sanciones </w:t>
      </w:r>
    </w:p>
    <w:p w14:paraId="2E9A2794" w14:textId="77777777" w:rsidR="00150A7B" w:rsidRPr="00300C0C" w:rsidRDefault="00150A7B" w:rsidP="00150A7B">
      <w:pPr>
        <w:spacing w:after="0" w:line="240" w:lineRule="auto"/>
        <w:rPr>
          <w:rFonts w:ascii="Arial" w:hAnsi="Arial" w:cs="Arial"/>
          <w:b/>
        </w:rPr>
      </w:pPr>
      <w:r w:rsidRPr="00300C0C">
        <w:rPr>
          <w:rFonts w:ascii="Arial" w:hAnsi="Arial" w:cs="Arial"/>
          <w:b/>
        </w:rPr>
        <w:t>1.3.3.1.09.00.0.0.000 Otras multas</w:t>
      </w:r>
      <w:r w:rsidR="00A524AA">
        <w:rPr>
          <w:rFonts w:ascii="Arial" w:hAnsi="Arial" w:cs="Arial"/>
          <w:b/>
        </w:rPr>
        <w:t xml:space="preserve"> y sanciones</w:t>
      </w:r>
    </w:p>
    <w:p w14:paraId="6AED27E3" w14:textId="77777777" w:rsidR="00150A7B" w:rsidRDefault="00150A7B" w:rsidP="00150A7B">
      <w:pPr>
        <w:spacing w:after="0" w:line="240" w:lineRule="auto"/>
        <w:jc w:val="both"/>
        <w:rPr>
          <w:rFonts w:ascii="Arial" w:hAnsi="Arial" w:cs="Arial"/>
        </w:rPr>
      </w:pPr>
    </w:p>
    <w:p w14:paraId="2720287A" w14:textId="1CDDAE00" w:rsidR="00EA10B9" w:rsidRDefault="0038223A" w:rsidP="00D428C0">
      <w:pPr>
        <w:spacing w:after="0" w:line="240" w:lineRule="auto"/>
        <w:jc w:val="both"/>
        <w:rPr>
          <w:rFonts w:ascii="Arial" w:hAnsi="Arial" w:cs="Arial"/>
          <w:b/>
        </w:rPr>
      </w:pPr>
      <w:r>
        <w:rPr>
          <w:rFonts w:ascii="Arial" w:hAnsi="Arial" w:cs="Arial"/>
        </w:rPr>
        <w:t>En e</w:t>
      </w:r>
      <w:r w:rsidRPr="00300C0C">
        <w:rPr>
          <w:rFonts w:ascii="Arial" w:hAnsi="Arial" w:cs="Arial"/>
        </w:rPr>
        <w:t>st</w:t>
      </w:r>
      <w:r>
        <w:rPr>
          <w:rFonts w:ascii="Arial" w:hAnsi="Arial" w:cs="Arial"/>
        </w:rPr>
        <w:t>a</w:t>
      </w:r>
      <w:r w:rsidRPr="00300C0C">
        <w:rPr>
          <w:rFonts w:ascii="Arial" w:hAnsi="Arial" w:cs="Arial"/>
        </w:rPr>
        <w:t xml:space="preserve"> </w:t>
      </w:r>
      <w:r>
        <w:rPr>
          <w:rFonts w:ascii="Arial" w:hAnsi="Arial" w:cs="Arial"/>
        </w:rPr>
        <w:t xml:space="preserve">subpartida no se presupuestó, sin </w:t>
      </w:r>
      <w:r w:rsidR="00D428C0">
        <w:rPr>
          <w:rFonts w:ascii="Arial" w:hAnsi="Arial" w:cs="Arial"/>
        </w:rPr>
        <w:t>embargo,</w:t>
      </w:r>
      <w:r>
        <w:rPr>
          <w:rFonts w:ascii="Arial" w:hAnsi="Arial" w:cs="Arial"/>
        </w:rPr>
        <w:t xml:space="preserve"> al cierre</w:t>
      </w:r>
      <w:r w:rsidR="00D428C0">
        <w:rPr>
          <w:rFonts w:ascii="Arial" w:hAnsi="Arial" w:cs="Arial"/>
        </w:rPr>
        <w:t xml:space="preserve"> al cierre del periodo 202</w:t>
      </w:r>
      <w:r w:rsidR="0080296D">
        <w:rPr>
          <w:rFonts w:ascii="Arial" w:hAnsi="Arial" w:cs="Arial"/>
        </w:rPr>
        <w:t>1</w:t>
      </w:r>
      <w:r w:rsidR="00D428C0">
        <w:rPr>
          <w:rFonts w:ascii="Arial" w:hAnsi="Arial" w:cs="Arial"/>
        </w:rPr>
        <w:t xml:space="preserve"> ingresó un monto total de ¢</w:t>
      </w:r>
      <w:r w:rsidR="0080296D">
        <w:rPr>
          <w:rFonts w:ascii="Arial" w:hAnsi="Arial" w:cs="Arial"/>
        </w:rPr>
        <w:t>611.785</w:t>
      </w:r>
      <w:r w:rsidR="00D428C0">
        <w:rPr>
          <w:rFonts w:ascii="Arial" w:hAnsi="Arial" w:cs="Arial"/>
        </w:rPr>
        <w:t>, de los cuales ¢</w:t>
      </w:r>
      <w:r w:rsidR="0080296D">
        <w:rPr>
          <w:rFonts w:ascii="Arial" w:hAnsi="Arial" w:cs="Arial"/>
        </w:rPr>
        <w:t>191.275</w:t>
      </w:r>
      <w:r w:rsidR="00D428C0">
        <w:rPr>
          <w:rFonts w:ascii="Arial" w:hAnsi="Arial" w:cs="Arial"/>
        </w:rPr>
        <w:t xml:space="preserve"> fueron captados en el segundo semestre, </w:t>
      </w:r>
      <w:r w:rsidR="000A3486">
        <w:rPr>
          <w:rFonts w:ascii="Arial" w:hAnsi="Arial" w:cs="Arial"/>
        </w:rPr>
        <w:t xml:space="preserve">estos recursos corresponden a </w:t>
      </w:r>
      <w:r w:rsidR="00A524AA">
        <w:rPr>
          <w:rFonts w:ascii="Arial" w:hAnsi="Arial" w:cs="Arial"/>
        </w:rPr>
        <w:t xml:space="preserve">comisiones por morosidad de </w:t>
      </w:r>
      <w:r w:rsidR="000A3486">
        <w:rPr>
          <w:rFonts w:ascii="Arial" w:hAnsi="Arial" w:cs="Arial"/>
        </w:rPr>
        <w:t>la cartera de crédito.</w:t>
      </w:r>
    </w:p>
    <w:p w14:paraId="17BD9149" w14:textId="77777777" w:rsidR="00EA10B9" w:rsidRDefault="00EA10B9" w:rsidP="00DC38C9">
      <w:pPr>
        <w:spacing w:after="0" w:line="240" w:lineRule="auto"/>
        <w:rPr>
          <w:rFonts w:ascii="Arial" w:hAnsi="Arial" w:cs="Arial"/>
          <w:b/>
        </w:rPr>
      </w:pPr>
    </w:p>
    <w:p w14:paraId="3EA5185E" w14:textId="77777777" w:rsidR="00DC38C9" w:rsidRDefault="005170A2" w:rsidP="00DC38C9">
      <w:pPr>
        <w:spacing w:after="0" w:line="240" w:lineRule="auto"/>
        <w:rPr>
          <w:rFonts w:ascii="Arial" w:hAnsi="Arial" w:cs="Arial"/>
          <w:b/>
        </w:rPr>
      </w:pPr>
      <w:r w:rsidRPr="00DC38C9">
        <w:rPr>
          <w:rFonts w:ascii="Arial" w:hAnsi="Arial" w:cs="Arial"/>
          <w:b/>
        </w:rPr>
        <w:t>1.3.4.0.00.00.0.0.000 Intereses</w:t>
      </w:r>
      <w:r w:rsidR="003A24BA">
        <w:rPr>
          <w:rFonts w:ascii="Arial" w:hAnsi="Arial" w:cs="Arial"/>
          <w:b/>
        </w:rPr>
        <w:t xml:space="preserve"> </w:t>
      </w:r>
      <w:r w:rsidR="00DC38C9" w:rsidRPr="00DC38C9">
        <w:rPr>
          <w:rFonts w:ascii="Arial" w:hAnsi="Arial" w:cs="Arial"/>
          <w:b/>
        </w:rPr>
        <w:t>M</w:t>
      </w:r>
      <w:r w:rsidR="003A24BA">
        <w:rPr>
          <w:rFonts w:ascii="Arial" w:hAnsi="Arial" w:cs="Arial"/>
          <w:b/>
        </w:rPr>
        <w:t>oratorios</w:t>
      </w:r>
    </w:p>
    <w:p w14:paraId="5EA49315" w14:textId="77777777" w:rsidR="00DC38C9" w:rsidRDefault="00DC38C9" w:rsidP="00DC38C9">
      <w:pPr>
        <w:spacing w:after="0" w:line="240" w:lineRule="auto"/>
        <w:rPr>
          <w:rFonts w:ascii="Arial" w:hAnsi="Arial" w:cs="Arial"/>
          <w:b/>
        </w:rPr>
      </w:pPr>
      <w:r w:rsidRPr="00DC38C9">
        <w:rPr>
          <w:rFonts w:ascii="Arial" w:hAnsi="Arial" w:cs="Arial"/>
          <w:b/>
        </w:rPr>
        <w:t>1.3.4.9.00.00.0.0.000</w:t>
      </w:r>
      <w:r>
        <w:rPr>
          <w:rFonts w:ascii="Arial" w:hAnsi="Arial" w:cs="Arial"/>
          <w:b/>
        </w:rPr>
        <w:t xml:space="preserve"> </w:t>
      </w:r>
      <w:r w:rsidR="003A24BA">
        <w:rPr>
          <w:rFonts w:ascii="Arial" w:hAnsi="Arial" w:cs="Arial"/>
          <w:b/>
        </w:rPr>
        <w:t>Otros Intereses Moratorios</w:t>
      </w:r>
    </w:p>
    <w:p w14:paraId="6AAB6AA9" w14:textId="77777777" w:rsidR="006C602B" w:rsidRDefault="006C602B" w:rsidP="00CD61C9">
      <w:pPr>
        <w:spacing w:after="0"/>
        <w:jc w:val="both"/>
        <w:rPr>
          <w:rFonts w:ascii="Arial" w:hAnsi="Arial" w:cs="Arial"/>
        </w:rPr>
      </w:pPr>
    </w:p>
    <w:p w14:paraId="4D27D406" w14:textId="3DDD9B79" w:rsidR="00C10E8D" w:rsidRPr="0069687B" w:rsidRDefault="00F025F5" w:rsidP="00CD61C9">
      <w:pPr>
        <w:spacing w:after="0"/>
        <w:jc w:val="both"/>
        <w:rPr>
          <w:rFonts w:ascii="Arial" w:eastAsia="Times New Roman" w:hAnsi="Arial" w:cs="Arial"/>
          <w:color w:val="FF0000"/>
          <w:sz w:val="18"/>
          <w:szCs w:val="18"/>
          <w:lang w:eastAsia="es-CR"/>
        </w:rPr>
      </w:pPr>
      <w:r>
        <w:rPr>
          <w:rFonts w:ascii="Arial" w:hAnsi="Arial" w:cs="Arial"/>
        </w:rPr>
        <w:t>En e</w:t>
      </w:r>
      <w:r w:rsidRPr="00300C0C">
        <w:rPr>
          <w:rFonts w:ascii="Arial" w:hAnsi="Arial" w:cs="Arial"/>
        </w:rPr>
        <w:t>st</w:t>
      </w:r>
      <w:r>
        <w:rPr>
          <w:rFonts w:ascii="Arial" w:hAnsi="Arial" w:cs="Arial"/>
        </w:rPr>
        <w:t>a</w:t>
      </w:r>
      <w:r w:rsidRPr="00300C0C">
        <w:rPr>
          <w:rFonts w:ascii="Arial" w:hAnsi="Arial" w:cs="Arial"/>
        </w:rPr>
        <w:t xml:space="preserve"> </w:t>
      </w:r>
      <w:r>
        <w:rPr>
          <w:rFonts w:ascii="Arial" w:hAnsi="Arial" w:cs="Arial"/>
        </w:rPr>
        <w:t>subpartida no se presupuestó, sin embargo</w:t>
      </w:r>
      <w:r w:rsidR="00C466B0">
        <w:rPr>
          <w:rFonts w:ascii="Arial" w:hAnsi="Arial" w:cs="Arial"/>
        </w:rPr>
        <w:t>,</w:t>
      </w:r>
      <w:r w:rsidR="00C466B0" w:rsidRPr="00C466B0">
        <w:rPr>
          <w:rFonts w:ascii="Arial" w:hAnsi="Arial" w:cs="Arial"/>
        </w:rPr>
        <w:t xml:space="preserve"> </w:t>
      </w:r>
      <w:r w:rsidR="00C466B0">
        <w:rPr>
          <w:rFonts w:ascii="Arial" w:hAnsi="Arial" w:cs="Arial"/>
        </w:rPr>
        <w:t>al cierre al cierre del periodo 202</w:t>
      </w:r>
      <w:r w:rsidR="0080296D">
        <w:rPr>
          <w:rFonts w:ascii="Arial" w:hAnsi="Arial" w:cs="Arial"/>
        </w:rPr>
        <w:t>1</w:t>
      </w:r>
      <w:r w:rsidR="00C466B0">
        <w:rPr>
          <w:rFonts w:ascii="Arial" w:hAnsi="Arial" w:cs="Arial"/>
        </w:rPr>
        <w:t xml:space="preserve"> ingresó un monto total de ¢</w:t>
      </w:r>
      <w:r w:rsidR="0080296D">
        <w:rPr>
          <w:rFonts w:ascii="Arial" w:hAnsi="Arial" w:cs="Arial"/>
        </w:rPr>
        <w:t>438.365</w:t>
      </w:r>
      <w:r w:rsidR="00C466B0">
        <w:rPr>
          <w:rFonts w:ascii="Arial" w:hAnsi="Arial" w:cs="Arial"/>
        </w:rPr>
        <w:t xml:space="preserve">, de los cuales </w:t>
      </w:r>
      <w:r w:rsidR="00C466B0" w:rsidRPr="00DB2EE1">
        <w:rPr>
          <w:rFonts w:ascii="Arial" w:hAnsi="Arial" w:cs="Arial"/>
          <w:b/>
        </w:rPr>
        <w:t>¢</w:t>
      </w:r>
      <w:r w:rsidR="0080296D">
        <w:rPr>
          <w:rFonts w:ascii="Arial" w:hAnsi="Arial" w:cs="Arial"/>
          <w:b/>
        </w:rPr>
        <w:t>219.180</w:t>
      </w:r>
      <w:r w:rsidR="00C466B0">
        <w:rPr>
          <w:rFonts w:ascii="Arial" w:hAnsi="Arial" w:cs="Arial"/>
        </w:rPr>
        <w:t xml:space="preserve"> fueron captados en el segundo semestre, </w:t>
      </w:r>
      <w:r w:rsidR="0098670D">
        <w:rPr>
          <w:rFonts w:ascii="Arial" w:hAnsi="Arial" w:cs="Arial"/>
        </w:rPr>
        <w:t>estos recursos se originan a través del</w:t>
      </w:r>
      <w:r w:rsidR="00DC38C9">
        <w:rPr>
          <w:rFonts w:ascii="Arial" w:hAnsi="Arial" w:cs="Arial"/>
        </w:rPr>
        <w:t xml:space="preserve"> cobro </w:t>
      </w:r>
      <w:r w:rsidR="001601FB">
        <w:rPr>
          <w:rFonts w:ascii="Arial" w:hAnsi="Arial" w:cs="Arial"/>
        </w:rPr>
        <w:t>de intereses</w:t>
      </w:r>
      <w:r w:rsidR="00DC38C9">
        <w:rPr>
          <w:rFonts w:ascii="Arial" w:hAnsi="Arial" w:cs="Arial"/>
        </w:rPr>
        <w:t xml:space="preserve"> </w:t>
      </w:r>
      <w:r w:rsidR="001601FB" w:rsidRPr="005170A2">
        <w:rPr>
          <w:rFonts w:ascii="Arial" w:hAnsi="Arial" w:cs="Arial"/>
        </w:rPr>
        <w:t xml:space="preserve">moratorios </w:t>
      </w:r>
      <w:r w:rsidR="0069687B" w:rsidRPr="005170A2">
        <w:rPr>
          <w:rFonts w:ascii="Arial" w:hAnsi="Arial" w:cs="Arial"/>
        </w:rPr>
        <w:t xml:space="preserve">en la </w:t>
      </w:r>
      <w:r w:rsidR="00DC38C9" w:rsidRPr="005170A2">
        <w:rPr>
          <w:rFonts w:ascii="Arial" w:hAnsi="Arial" w:cs="Arial"/>
        </w:rPr>
        <w:t>cartera de crédito.</w:t>
      </w:r>
    </w:p>
    <w:p w14:paraId="0BFDC2F9" w14:textId="77777777" w:rsidR="00540214" w:rsidRPr="001A1B09" w:rsidRDefault="00540214" w:rsidP="00CD61C9">
      <w:pPr>
        <w:spacing w:after="0" w:line="240" w:lineRule="auto"/>
        <w:rPr>
          <w:rFonts w:ascii="Arial" w:hAnsi="Arial" w:cs="Arial"/>
          <w:b/>
          <w:highlight w:val="yellow"/>
        </w:rPr>
      </w:pPr>
    </w:p>
    <w:p w14:paraId="212D874D" w14:textId="77777777" w:rsidR="00150A7B" w:rsidRPr="00E94456" w:rsidRDefault="00150A7B" w:rsidP="00150A7B">
      <w:pPr>
        <w:spacing w:after="0" w:line="240" w:lineRule="auto"/>
        <w:rPr>
          <w:rFonts w:ascii="Arial" w:hAnsi="Arial" w:cs="Arial"/>
          <w:b/>
        </w:rPr>
      </w:pPr>
      <w:r w:rsidRPr="00E94456">
        <w:rPr>
          <w:rFonts w:ascii="Arial" w:hAnsi="Arial" w:cs="Arial"/>
          <w:b/>
        </w:rPr>
        <w:t xml:space="preserve">1.3.9.0.00.00.0.0.000 Otros ingresos no tributarios </w:t>
      </w:r>
    </w:p>
    <w:p w14:paraId="6AAC5B54" w14:textId="77777777" w:rsidR="00150A7B" w:rsidRDefault="00150A7B" w:rsidP="00150A7B">
      <w:pPr>
        <w:spacing w:after="0" w:line="240" w:lineRule="auto"/>
        <w:rPr>
          <w:rFonts w:ascii="Arial" w:hAnsi="Arial" w:cs="Arial"/>
          <w:b/>
        </w:rPr>
      </w:pPr>
      <w:r w:rsidRPr="00E94456">
        <w:rPr>
          <w:rFonts w:ascii="Arial" w:hAnsi="Arial" w:cs="Arial"/>
          <w:b/>
        </w:rPr>
        <w:t xml:space="preserve">1.3.9.1.00.00.0.0.000 Reintegro </w:t>
      </w:r>
      <w:r w:rsidR="00AF075C">
        <w:rPr>
          <w:rFonts w:ascii="Arial" w:hAnsi="Arial" w:cs="Arial"/>
          <w:b/>
        </w:rPr>
        <w:t>y devoluciones</w:t>
      </w:r>
    </w:p>
    <w:p w14:paraId="713894DB" w14:textId="77777777" w:rsidR="00B42EE8" w:rsidRPr="00E94456" w:rsidRDefault="00B42EE8" w:rsidP="00150A7B">
      <w:pPr>
        <w:spacing w:after="0" w:line="240" w:lineRule="auto"/>
        <w:rPr>
          <w:rFonts w:ascii="Arial" w:hAnsi="Arial" w:cs="Arial"/>
          <w:b/>
        </w:rPr>
      </w:pPr>
    </w:p>
    <w:p w14:paraId="22B3929E" w14:textId="70409245" w:rsidR="00BE73A1" w:rsidRDefault="00381518" w:rsidP="00EA10B9">
      <w:pPr>
        <w:jc w:val="both"/>
        <w:rPr>
          <w:rFonts w:ascii="Arial" w:hAnsi="Arial" w:cs="Arial"/>
          <w:b/>
        </w:rPr>
      </w:pPr>
      <w:r>
        <w:rPr>
          <w:rFonts w:ascii="Arial" w:hAnsi="Arial" w:cs="Arial"/>
        </w:rPr>
        <w:t xml:space="preserve">En esta subpartida </w:t>
      </w:r>
      <w:r w:rsidR="000B1B60">
        <w:rPr>
          <w:rFonts w:ascii="Arial" w:hAnsi="Arial" w:cs="Arial"/>
        </w:rPr>
        <w:t xml:space="preserve">no se presupuestó contenido, </w:t>
      </w:r>
      <w:r w:rsidR="00C466B0">
        <w:rPr>
          <w:rFonts w:ascii="Arial" w:hAnsi="Arial" w:cs="Arial"/>
        </w:rPr>
        <w:t>sin embargo,</w:t>
      </w:r>
      <w:r w:rsidR="00C466B0" w:rsidRPr="00C466B0">
        <w:rPr>
          <w:rFonts w:ascii="Arial" w:hAnsi="Arial" w:cs="Arial"/>
        </w:rPr>
        <w:t xml:space="preserve"> </w:t>
      </w:r>
      <w:r w:rsidR="00C466B0">
        <w:rPr>
          <w:rFonts w:ascii="Arial" w:hAnsi="Arial" w:cs="Arial"/>
        </w:rPr>
        <w:t>al cierre del periodo 202</w:t>
      </w:r>
      <w:r w:rsidR="00AF2401">
        <w:rPr>
          <w:rFonts w:ascii="Arial" w:hAnsi="Arial" w:cs="Arial"/>
        </w:rPr>
        <w:t>1</w:t>
      </w:r>
      <w:r w:rsidR="00C466B0">
        <w:rPr>
          <w:rFonts w:ascii="Arial" w:hAnsi="Arial" w:cs="Arial"/>
        </w:rPr>
        <w:t xml:space="preserve"> ingresó un monto total de ¢</w:t>
      </w:r>
      <w:r w:rsidR="00AF2401">
        <w:rPr>
          <w:rFonts w:ascii="Arial" w:hAnsi="Arial" w:cs="Arial"/>
        </w:rPr>
        <w:t>2.944.331</w:t>
      </w:r>
      <w:r w:rsidR="00C466B0">
        <w:rPr>
          <w:rFonts w:ascii="Arial" w:hAnsi="Arial" w:cs="Arial"/>
        </w:rPr>
        <w:t xml:space="preserve">, de los cuales </w:t>
      </w:r>
      <w:r w:rsidR="00C466B0" w:rsidRPr="00DB2EE1">
        <w:rPr>
          <w:rFonts w:ascii="Arial" w:hAnsi="Arial" w:cs="Arial"/>
          <w:b/>
        </w:rPr>
        <w:t>¢</w:t>
      </w:r>
      <w:r w:rsidR="00AF2401">
        <w:rPr>
          <w:rFonts w:ascii="Arial" w:hAnsi="Arial" w:cs="Arial"/>
          <w:b/>
        </w:rPr>
        <w:t>448.381</w:t>
      </w:r>
      <w:r w:rsidR="00C466B0">
        <w:rPr>
          <w:rFonts w:ascii="Arial" w:hAnsi="Arial" w:cs="Arial"/>
        </w:rPr>
        <w:t xml:space="preserve"> fueron captados en el segundo semestre</w:t>
      </w:r>
      <w:r w:rsidR="00150A7B" w:rsidRPr="009368FC">
        <w:rPr>
          <w:rFonts w:ascii="Arial" w:hAnsi="Arial" w:cs="Arial"/>
          <w:b/>
        </w:rPr>
        <w:t xml:space="preserve">, </w:t>
      </w:r>
      <w:r w:rsidR="007E53AD" w:rsidRPr="007E53AD">
        <w:rPr>
          <w:rFonts w:ascii="Arial" w:hAnsi="Arial" w:cs="Arial"/>
        </w:rPr>
        <w:t>estos ingresos se origina</w:t>
      </w:r>
      <w:r w:rsidR="00AF075C">
        <w:rPr>
          <w:rFonts w:ascii="Arial" w:hAnsi="Arial" w:cs="Arial"/>
        </w:rPr>
        <w:t xml:space="preserve">ron principalmente por el pago </w:t>
      </w:r>
      <w:r w:rsidR="002E47D3">
        <w:rPr>
          <w:rFonts w:ascii="Arial" w:hAnsi="Arial" w:cs="Arial"/>
        </w:rPr>
        <w:t xml:space="preserve">que realizaran los deudores, por </w:t>
      </w:r>
      <w:r w:rsidR="00AF075C">
        <w:rPr>
          <w:rFonts w:ascii="Arial" w:hAnsi="Arial" w:cs="Arial"/>
        </w:rPr>
        <w:t xml:space="preserve">gastos </w:t>
      </w:r>
      <w:r w:rsidR="002E47D3">
        <w:rPr>
          <w:rFonts w:ascii="Arial" w:hAnsi="Arial" w:cs="Arial"/>
        </w:rPr>
        <w:t xml:space="preserve">de gestiones </w:t>
      </w:r>
      <w:r w:rsidR="00875FBB">
        <w:rPr>
          <w:rFonts w:ascii="Arial" w:hAnsi="Arial" w:cs="Arial"/>
        </w:rPr>
        <w:t xml:space="preserve">de créditos </w:t>
      </w:r>
      <w:r w:rsidR="00AF075C">
        <w:rPr>
          <w:rFonts w:ascii="Arial" w:hAnsi="Arial" w:cs="Arial"/>
        </w:rPr>
        <w:t>en c</w:t>
      </w:r>
      <w:r w:rsidR="0069687B" w:rsidRPr="009368FC">
        <w:rPr>
          <w:rFonts w:ascii="Arial" w:hAnsi="Arial" w:cs="Arial"/>
        </w:rPr>
        <w:t>obro judicial.</w:t>
      </w:r>
    </w:p>
    <w:p w14:paraId="58E6CDA1" w14:textId="77777777" w:rsidR="00195C0C" w:rsidRPr="00E476D8" w:rsidRDefault="00195C0C" w:rsidP="00195C0C">
      <w:pPr>
        <w:spacing w:after="0" w:line="240" w:lineRule="auto"/>
        <w:rPr>
          <w:rFonts w:ascii="Arial" w:hAnsi="Arial" w:cs="Arial"/>
          <w:b/>
        </w:rPr>
      </w:pPr>
      <w:r w:rsidRPr="00E476D8">
        <w:rPr>
          <w:rFonts w:ascii="Arial" w:hAnsi="Arial" w:cs="Arial"/>
          <w:b/>
        </w:rPr>
        <w:t xml:space="preserve">1.4.0.0.00.00.0.0.000 Transferencias Corrientes </w:t>
      </w:r>
    </w:p>
    <w:p w14:paraId="296B7D4B" w14:textId="77777777" w:rsidR="00195C0C" w:rsidRPr="00E476D8" w:rsidRDefault="00195C0C" w:rsidP="00195C0C">
      <w:pPr>
        <w:spacing w:after="0" w:line="240" w:lineRule="auto"/>
        <w:rPr>
          <w:rFonts w:ascii="Arial" w:hAnsi="Arial" w:cs="Arial"/>
          <w:b/>
        </w:rPr>
      </w:pPr>
      <w:r w:rsidRPr="00E476D8">
        <w:rPr>
          <w:rFonts w:ascii="Arial" w:hAnsi="Arial" w:cs="Arial"/>
          <w:b/>
        </w:rPr>
        <w:t>1.4.1.0.00.00.0.0.000 Transferencias Corrientes del Sector Público</w:t>
      </w:r>
    </w:p>
    <w:p w14:paraId="1BB27DFD" w14:textId="77777777" w:rsidR="00195C0C" w:rsidRPr="00E476D8" w:rsidRDefault="00195C0C" w:rsidP="00195C0C">
      <w:pPr>
        <w:spacing w:after="0" w:line="240" w:lineRule="auto"/>
        <w:rPr>
          <w:rFonts w:ascii="Arial" w:hAnsi="Arial" w:cs="Arial"/>
          <w:b/>
        </w:rPr>
      </w:pPr>
      <w:r w:rsidRPr="00E476D8">
        <w:rPr>
          <w:rFonts w:ascii="Arial" w:hAnsi="Arial" w:cs="Arial"/>
          <w:b/>
        </w:rPr>
        <w:t>1.4.1.1.00.00.0.0.000</w:t>
      </w:r>
      <w:r w:rsidRPr="00E476D8">
        <w:rPr>
          <w:rFonts w:ascii="Arial" w:hAnsi="Arial" w:cs="Arial"/>
          <w:b/>
        </w:rPr>
        <w:tab/>
        <w:t xml:space="preserve">Transferencias Corrientes del Gobierno Central  </w:t>
      </w:r>
    </w:p>
    <w:p w14:paraId="4829C1C8" w14:textId="77777777" w:rsidR="005B7D78" w:rsidRDefault="005B7D78" w:rsidP="00150A7B">
      <w:pPr>
        <w:spacing w:after="0" w:line="240" w:lineRule="auto"/>
        <w:rPr>
          <w:rFonts w:ascii="Arial" w:hAnsi="Arial" w:cs="Arial"/>
          <w:b/>
        </w:rPr>
      </w:pPr>
    </w:p>
    <w:p w14:paraId="0FDCE51C" w14:textId="569F71C9" w:rsidR="008B528C" w:rsidRPr="00E476D8" w:rsidRDefault="005B7D78" w:rsidP="008B528C">
      <w:pPr>
        <w:pStyle w:val="Default"/>
        <w:jc w:val="both"/>
        <w:rPr>
          <w:color w:val="auto"/>
        </w:rPr>
      </w:pPr>
      <w:r>
        <w:t xml:space="preserve">En esta subpartida se presupuestó la suma de </w:t>
      </w:r>
      <w:r w:rsidRPr="00D05E55">
        <w:rPr>
          <w:b/>
        </w:rPr>
        <w:t>¢</w:t>
      </w:r>
      <w:r w:rsidR="008B528C">
        <w:rPr>
          <w:b/>
        </w:rPr>
        <w:t>30.000</w:t>
      </w:r>
      <w:r w:rsidR="00A306F5">
        <w:rPr>
          <w:b/>
        </w:rPr>
        <w:t>.000</w:t>
      </w:r>
      <w:r>
        <w:t xml:space="preserve">, de los cuales </w:t>
      </w:r>
      <w:r w:rsidR="000E49D3">
        <w:t xml:space="preserve">se logró </w:t>
      </w:r>
      <w:r w:rsidR="00DB2EE1">
        <w:t>percibir la</w:t>
      </w:r>
      <w:r>
        <w:t xml:space="preserve"> suma </w:t>
      </w:r>
      <w:r w:rsidR="00DB2EE1">
        <w:t xml:space="preserve">total </w:t>
      </w:r>
      <w:r>
        <w:t xml:space="preserve">de </w:t>
      </w:r>
      <w:r w:rsidR="00D05E55" w:rsidRPr="00D05E55">
        <w:rPr>
          <w:b/>
        </w:rPr>
        <w:t>¢</w:t>
      </w:r>
      <w:r w:rsidR="008B528C">
        <w:rPr>
          <w:b/>
        </w:rPr>
        <w:t>30.000.00</w:t>
      </w:r>
      <w:r w:rsidR="00D05E55">
        <w:t xml:space="preserve"> equivale</w:t>
      </w:r>
      <w:r w:rsidR="000E49D3">
        <w:t>nte</w:t>
      </w:r>
      <w:r w:rsidR="00A306F5">
        <w:t>s</w:t>
      </w:r>
      <w:r w:rsidR="000E49D3">
        <w:t xml:space="preserve"> </w:t>
      </w:r>
      <w:r w:rsidR="00D05E55">
        <w:t xml:space="preserve">a una ejecución del </w:t>
      </w:r>
      <w:r w:rsidR="008B528C" w:rsidRPr="008B528C">
        <w:rPr>
          <w:b/>
          <w:bCs/>
        </w:rPr>
        <w:t>100%</w:t>
      </w:r>
      <w:r w:rsidR="00DB2EE1" w:rsidRPr="008B528C">
        <w:rPr>
          <w:b/>
          <w:bCs/>
        </w:rPr>
        <w:t>,</w:t>
      </w:r>
      <w:r w:rsidR="008B528C">
        <w:rPr>
          <w:b/>
          <w:bCs/>
        </w:rPr>
        <w:t xml:space="preserve"> </w:t>
      </w:r>
      <w:r w:rsidR="008B528C" w:rsidRPr="008B528C">
        <w:t>su totalidad fueron percibidos en el primer semestre.</w:t>
      </w:r>
      <w:r w:rsidR="008B528C" w:rsidRPr="008B528C">
        <w:rPr>
          <w:color w:val="auto"/>
        </w:rPr>
        <w:t xml:space="preserve"> </w:t>
      </w:r>
      <w:r w:rsidR="008B528C" w:rsidRPr="00E476D8">
        <w:rPr>
          <w:color w:val="auto"/>
        </w:rPr>
        <w:t>Estos recursos corresponden a la transferencia para gastos operativos en el fideicomiso.</w:t>
      </w:r>
    </w:p>
    <w:p w14:paraId="52FCABD4" w14:textId="284E159A" w:rsidR="00DB2EE1" w:rsidRPr="00DB2EE1" w:rsidRDefault="00DB2EE1" w:rsidP="008B528C">
      <w:pPr>
        <w:pStyle w:val="Default"/>
        <w:jc w:val="both"/>
      </w:pPr>
    </w:p>
    <w:p w14:paraId="64E504C9" w14:textId="77777777" w:rsidR="00FD232A" w:rsidRDefault="00FD232A" w:rsidP="00FD232A">
      <w:pPr>
        <w:spacing w:after="0" w:line="240" w:lineRule="auto"/>
        <w:jc w:val="both"/>
        <w:rPr>
          <w:rFonts w:ascii="Arial" w:hAnsi="Arial" w:cs="Arial"/>
          <w:b/>
        </w:rPr>
      </w:pPr>
      <w:r w:rsidRPr="00FD232A">
        <w:rPr>
          <w:rFonts w:ascii="Arial" w:hAnsi="Arial" w:cs="Arial"/>
          <w:b/>
        </w:rPr>
        <w:t>1.4.3.0.00.00.0.0.000</w:t>
      </w:r>
      <w:r>
        <w:rPr>
          <w:rFonts w:ascii="Arial" w:hAnsi="Arial" w:cs="Arial"/>
          <w:b/>
        </w:rPr>
        <w:t xml:space="preserve"> Transferencias corrientes del sector externo</w:t>
      </w:r>
    </w:p>
    <w:p w14:paraId="40F5757A" w14:textId="77777777" w:rsidR="00FD232A" w:rsidRDefault="00FD232A" w:rsidP="00FD232A">
      <w:pPr>
        <w:spacing w:after="0" w:line="240" w:lineRule="auto"/>
        <w:jc w:val="both"/>
        <w:rPr>
          <w:rFonts w:ascii="Arial" w:hAnsi="Arial" w:cs="Arial"/>
          <w:b/>
        </w:rPr>
      </w:pPr>
      <w:r w:rsidRPr="00FD232A">
        <w:rPr>
          <w:rFonts w:ascii="Arial" w:hAnsi="Arial" w:cs="Arial"/>
          <w:b/>
        </w:rPr>
        <w:t>1.4.3.1.00.00.0.0.000</w:t>
      </w:r>
      <w:r>
        <w:rPr>
          <w:rFonts w:ascii="Arial" w:hAnsi="Arial" w:cs="Arial"/>
          <w:b/>
        </w:rPr>
        <w:t xml:space="preserve"> Transferencias corrientes de órganos internacionales</w:t>
      </w:r>
    </w:p>
    <w:p w14:paraId="23A896B9" w14:textId="77777777" w:rsidR="00FD232A" w:rsidRDefault="00FD232A" w:rsidP="00FD232A">
      <w:pPr>
        <w:spacing w:after="0" w:line="240" w:lineRule="auto"/>
        <w:jc w:val="both"/>
        <w:rPr>
          <w:rFonts w:ascii="Arial" w:hAnsi="Arial" w:cs="Arial"/>
          <w:b/>
        </w:rPr>
      </w:pPr>
    </w:p>
    <w:p w14:paraId="51FB7669" w14:textId="35C47194" w:rsidR="00195C0C" w:rsidRDefault="00B42EE8" w:rsidP="00E609AB">
      <w:pPr>
        <w:pStyle w:val="Default"/>
        <w:jc w:val="both"/>
        <w:rPr>
          <w:sz w:val="22"/>
          <w:szCs w:val="22"/>
        </w:rPr>
      </w:pPr>
      <w:r w:rsidRPr="004C44B5">
        <w:rPr>
          <w:sz w:val="22"/>
          <w:szCs w:val="22"/>
        </w:rPr>
        <w:t>En est</w:t>
      </w:r>
      <w:r w:rsidR="00360CE3" w:rsidRPr="004C44B5">
        <w:rPr>
          <w:sz w:val="22"/>
          <w:szCs w:val="22"/>
        </w:rPr>
        <w:t xml:space="preserve">a subpartida </w:t>
      </w:r>
      <w:r w:rsidR="00195C0C" w:rsidRPr="004C44B5">
        <w:rPr>
          <w:sz w:val="22"/>
          <w:szCs w:val="22"/>
        </w:rPr>
        <w:t xml:space="preserve">no se presupuestó contenido, sin </w:t>
      </w:r>
      <w:r w:rsidR="00A90F69" w:rsidRPr="004C44B5">
        <w:rPr>
          <w:sz w:val="22"/>
          <w:szCs w:val="22"/>
        </w:rPr>
        <w:t>embargo,</w:t>
      </w:r>
      <w:r w:rsidR="00195C0C" w:rsidRPr="004C44B5">
        <w:rPr>
          <w:sz w:val="22"/>
          <w:szCs w:val="22"/>
        </w:rPr>
        <w:t xml:space="preserve"> al cierre del periodo 2021 ingresó la suma de </w:t>
      </w:r>
      <w:r w:rsidR="000857F8" w:rsidRPr="004C44B5">
        <w:rPr>
          <w:b/>
          <w:sz w:val="22"/>
          <w:szCs w:val="22"/>
        </w:rPr>
        <w:t>¢</w:t>
      </w:r>
      <w:r w:rsidR="00195C0C" w:rsidRPr="004C44B5">
        <w:rPr>
          <w:b/>
          <w:sz w:val="22"/>
          <w:szCs w:val="22"/>
        </w:rPr>
        <w:t>15.130.455.225</w:t>
      </w:r>
      <w:r w:rsidR="00360CE3" w:rsidRPr="004C44B5">
        <w:rPr>
          <w:sz w:val="22"/>
          <w:szCs w:val="22"/>
        </w:rPr>
        <w:t xml:space="preserve">, </w:t>
      </w:r>
      <w:r w:rsidR="00195C0C" w:rsidRPr="004C44B5">
        <w:rPr>
          <w:sz w:val="22"/>
          <w:szCs w:val="22"/>
        </w:rPr>
        <w:t xml:space="preserve">todos en el segundo semestre. Estos recursos </w:t>
      </w:r>
      <w:r w:rsidR="00A90F69" w:rsidRPr="004C44B5">
        <w:rPr>
          <w:sz w:val="22"/>
          <w:szCs w:val="22"/>
        </w:rPr>
        <w:t>corresponden a</w:t>
      </w:r>
      <w:r w:rsidR="00A90F69" w:rsidRPr="004C44B5">
        <w:rPr>
          <w:color w:val="auto"/>
          <w:sz w:val="22"/>
          <w:szCs w:val="22"/>
        </w:rPr>
        <w:t xml:space="preserve">l ingreso de $23,93 millones de dólares provenientes </w:t>
      </w:r>
      <w:r w:rsidR="00A90F69" w:rsidRPr="00BC6B9F">
        <w:rPr>
          <w:rFonts w:eastAsia="Batang"/>
          <w:color w:val="auto"/>
          <w:sz w:val="22"/>
          <w:szCs w:val="22"/>
          <w:lang w:val="es-US"/>
        </w:rPr>
        <w:t>del Proyecto 00103003 “Costa Rica REDD+ Pagos Basados en resultados para el periodo de resultados 2014-2015”, firmado por el Programa de las Naciones Unidas para el Desarrollo (PNUD)</w:t>
      </w:r>
      <w:r w:rsidR="00A90F69" w:rsidRPr="004C44B5">
        <w:rPr>
          <w:rFonts w:eastAsia="Batang"/>
          <w:color w:val="auto"/>
          <w:sz w:val="22"/>
          <w:szCs w:val="22"/>
          <w:lang w:val="es-US"/>
        </w:rPr>
        <w:t>.</w:t>
      </w:r>
      <w:r w:rsidR="00D0417E" w:rsidRPr="004C44B5">
        <w:rPr>
          <w:rFonts w:eastAsia="Batang"/>
          <w:color w:val="auto"/>
          <w:sz w:val="22"/>
          <w:szCs w:val="22"/>
          <w:lang w:val="es-US"/>
        </w:rPr>
        <w:t xml:space="preserve"> Dichos recursos permitirán reconocer </w:t>
      </w:r>
      <w:r w:rsidR="00D0417E" w:rsidRPr="004C44B5">
        <w:rPr>
          <w:sz w:val="22"/>
          <w:szCs w:val="22"/>
        </w:rPr>
        <w:t>a los propietarios y propietarias de bosque que están fuera del Programa PSA, regular, por un solo servicio ambiental, a saber, el de mitigación de emisiones de gases de efecto invernadero (fijación, reducción, secuestro, almacenamiento y absorción)</w:t>
      </w:r>
      <w:r w:rsidR="00E609AB" w:rsidRPr="004C44B5">
        <w:rPr>
          <w:sz w:val="22"/>
          <w:szCs w:val="22"/>
        </w:rPr>
        <w:t>.</w:t>
      </w:r>
    </w:p>
    <w:p w14:paraId="4C45FFA0" w14:textId="77777777" w:rsidR="004C44B5" w:rsidRPr="004C44B5" w:rsidRDefault="004C44B5" w:rsidP="00E609AB">
      <w:pPr>
        <w:pStyle w:val="Default"/>
        <w:jc w:val="both"/>
        <w:rPr>
          <w:b/>
          <w:sz w:val="22"/>
          <w:szCs w:val="22"/>
        </w:rPr>
      </w:pPr>
    </w:p>
    <w:p w14:paraId="4A751589" w14:textId="77777777" w:rsidR="00875FBB" w:rsidRDefault="00875FBB" w:rsidP="00412EB7">
      <w:pPr>
        <w:spacing w:after="0" w:line="240" w:lineRule="auto"/>
        <w:rPr>
          <w:rFonts w:ascii="Arial" w:hAnsi="Arial" w:cs="Arial"/>
          <w:b/>
        </w:rPr>
      </w:pPr>
    </w:p>
    <w:p w14:paraId="08C7F6C6" w14:textId="77777777" w:rsidR="00253C48" w:rsidRDefault="00253C48" w:rsidP="00412EB7">
      <w:pPr>
        <w:spacing w:after="0" w:line="240" w:lineRule="auto"/>
        <w:rPr>
          <w:rFonts w:ascii="Arial" w:hAnsi="Arial" w:cs="Arial"/>
          <w:b/>
        </w:rPr>
      </w:pPr>
      <w:r w:rsidRPr="00253C48">
        <w:rPr>
          <w:rFonts w:ascii="Arial" w:hAnsi="Arial" w:cs="Arial"/>
          <w:b/>
        </w:rPr>
        <w:t>2.0.0.0.00.00.0.0.000</w:t>
      </w:r>
      <w:r>
        <w:rPr>
          <w:rFonts w:ascii="Arial" w:hAnsi="Arial" w:cs="Arial"/>
          <w:b/>
        </w:rPr>
        <w:t xml:space="preserve"> </w:t>
      </w:r>
      <w:r w:rsidR="00447D5F" w:rsidRPr="00253C48">
        <w:rPr>
          <w:rFonts w:ascii="Arial" w:hAnsi="Arial" w:cs="Arial"/>
          <w:b/>
        </w:rPr>
        <w:t>I</w:t>
      </w:r>
      <w:r w:rsidR="00447D5F">
        <w:rPr>
          <w:rFonts w:ascii="Arial" w:hAnsi="Arial" w:cs="Arial"/>
          <w:b/>
        </w:rPr>
        <w:t>ngresos de</w:t>
      </w:r>
      <w:r w:rsidR="00C047BE">
        <w:rPr>
          <w:rFonts w:ascii="Arial" w:hAnsi="Arial" w:cs="Arial"/>
          <w:b/>
        </w:rPr>
        <w:t xml:space="preserve"> Capital</w:t>
      </w:r>
    </w:p>
    <w:p w14:paraId="7A52C0C6" w14:textId="77777777" w:rsidR="00253C48" w:rsidRDefault="00253C48" w:rsidP="00412EB7">
      <w:pPr>
        <w:spacing w:after="0" w:line="240" w:lineRule="auto"/>
        <w:rPr>
          <w:rFonts w:ascii="Arial" w:hAnsi="Arial" w:cs="Arial"/>
          <w:b/>
        </w:rPr>
      </w:pPr>
      <w:r w:rsidRPr="00253C48">
        <w:rPr>
          <w:rFonts w:ascii="Arial" w:hAnsi="Arial" w:cs="Arial"/>
          <w:b/>
        </w:rPr>
        <w:t>2.3.2.0.00.00.0.0.000</w:t>
      </w:r>
      <w:r>
        <w:rPr>
          <w:rFonts w:ascii="Arial" w:hAnsi="Arial" w:cs="Arial"/>
          <w:b/>
        </w:rPr>
        <w:t xml:space="preserve"> </w:t>
      </w:r>
      <w:r w:rsidR="00C047BE" w:rsidRPr="00253C48">
        <w:rPr>
          <w:rFonts w:ascii="Arial" w:hAnsi="Arial" w:cs="Arial"/>
          <w:b/>
        </w:rPr>
        <w:t>R</w:t>
      </w:r>
      <w:r w:rsidR="00C047BE">
        <w:rPr>
          <w:rFonts w:ascii="Arial" w:hAnsi="Arial" w:cs="Arial"/>
          <w:b/>
        </w:rPr>
        <w:t xml:space="preserve">ecuperación de Préstamos </w:t>
      </w:r>
    </w:p>
    <w:p w14:paraId="53BA6AA2" w14:textId="77777777" w:rsidR="00253C48" w:rsidRDefault="00253C48" w:rsidP="00412EB7">
      <w:pPr>
        <w:spacing w:after="0" w:line="240" w:lineRule="auto"/>
        <w:rPr>
          <w:rFonts w:ascii="Arial" w:hAnsi="Arial" w:cs="Arial"/>
          <w:b/>
        </w:rPr>
      </w:pPr>
    </w:p>
    <w:p w14:paraId="3199A8B0" w14:textId="0CB49F97" w:rsidR="00803A99" w:rsidRDefault="00B97CAE" w:rsidP="00FA1D53">
      <w:pPr>
        <w:spacing w:after="0"/>
        <w:jc w:val="both"/>
        <w:rPr>
          <w:rFonts w:ascii="Arial" w:hAnsi="Arial" w:cs="Arial"/>
        </w:rPr>
      </w:pPr>
      <w:r>
        <w:rPr>
          <w:rFonts w:ascii="Arial" w:hAnsi="Arial" w:cs="Arial"/>
        </w:rPr>
        <w:t xml:space="preserve">En esta subpartida se presupuestó la suma de </w:t>
      </w:r>
      <w:r w:rsidRPr="002A3A69">
        <w:rPr>
          <w:rFonts w:ascii="Arial" w:hAnsi="Arial" w:cs="Arial"/>
          <w:b/>
        </w:rPr>
        <w:t>¢</w:t>
      </w:r>
      <w:r w:rsidR="00195C0C">
        <w:rPr>
          <w:rFonts w:ascii="Arial" w:hAnsi="Arial" w:cs="Arial"/>
          <w:b/>
        </w:rPr>
        <w:t>384.472.057</w:t>
      </w:r>
      <w:r>
        <w:rPr>
          <w:rFonts w:ascii="Arial" w:hAnsi="Arial" w:cs="Arial"/>
        </w:rPr>
        <w:t xml:space="preserve"> de los cuales </w:t>
      </w:r>
      <w:r w:rsidR="00BF19CE">
        <w:rPr>
          <w:rFonts w:ascii="Arial" w:hAnsi="Arial" w:cs="Arial"/>
        </w:rPr>
        <w:t xml:space="preserve">se </w:t>
      </w:r>
      <w:r w:rsidR="00460C87">
        <w:rPr>
          <w:rFonts w:ascii="Arial" w:hAnsi="Arial" w:cs="Arial"/>
        </w:rPr>
        <w:t>al cierre del periodo 202</w:t>
      </w:r>
      <w:r w:rsidR="00195C0C">
        <w:rPr>
          <w:rFonts w:ascii="Arial" w:hAnsi="Arial" w:cs="Arial"/>
        </w:rPr>
        <w:t>1</w:t>
      </w:r>
      <w:r w:rsidR="00460C87">
        <w:rPr>
          <w:rFonts w:ascii="Arial" w:hAnsi="Arial" w:cs="Arial"/>
        </w:rPr>
        <w:t xml:space="preserve"> se percibió la suma total de</w:t>
      </w:r>
      <w:r w:rsidR="00BF19CE">
        <w:rPr>
          <w:rFonts w:ascii="Arial" w:hAnsi="Arial" w:cs="Arial"/>
        </w:rPr>
        <w:t xml:space="preserve"> total de </w:t>
      </w:r>
      <w:r w:rsidRPr="002A3A69">
        <w:rPr>
          <w:rFonts w:ascii="Arial" w:hAnsi="Arial" w:cs="Arial"/>
          <w:b/>
        </w:rPr>
        <w:t>¢</w:t>
      </w:r>
      <w:r w:rsidR="00460C87">
        <w:rPr>
          <w:rFonts w:ascii="Arial" w:hAnsi="Arial" w:cs="Arial"/>
          <w:b/>
        </w:rPr>
        <w:t>4</w:t>
      </w:r>
      <w:r w:rsidR="00195C0C">
        <w:rPr>
          <w:rFonts w:ascii="Arial" w:hAnsi="Arial" w:cs="Arial"/>
          <w:b/>
        </w:rPr>
        <w:t>04.287.666</w:t>
      </w:r>
      <w:r>
        <w:rPr>
          <w:rFonts w:ascii="Arial" w:hAnsi="Arial" w:cs="Arial"/>
        </w:rPr>
        <w:t xml:space="preserve"> equivalentes a un </w:t>
      </w:r>
      <w:r w:rsidR="00460C87">
        <w:rPr>
          <w:rFonts w:ascii="Arial" w:hAnsi="Arial" w:cs="Arial"/>
        </w:rPr>
        <w:t>1</w:t>
      </w:r>
      <w:r w:rsidR="00195C0C">
        <w:rPr>
          <w:rFonts w:ascii="Arial" w:hAnsi="Arial" w:cs="Arial"/>
        </w:rPr>
        <w:t>05</w:t>
      </w:r>
      <w:r w:rsidRPr="00BF19CE">
        <w:rPr>
          <w:rFonts w:ascii="Arial" w:hAnsi="Arial" w:cs="Arial"/>
          <w:b/>
        </w:rPr>
        <w:t>%</w:t>
      </w:r>
      <w:r w:rsidR="00A811C3">
        <w:rPr>
          <w:rFonts w:ascii="Arial" w:hAnsi="Arial" w:cs="Arial"/>
        </w:rPr>
        <w:t xml:space="preserve"> de ejecución</w:t>
      </w:r>
      <w:r w:rsidR="00460C87">
        <w:rPr>
          <w:rFonts w:ascii="Arial" w:hAnsi="Arial" w:cs="Arial"/>
        </w:rPr>
        <w:t>, del monto total percibido la suma de ¢</w:t>
      </w:r>
      <w:r w:rsidR="00195C0C">
        <w:rPr>
          <w:rFonts w:ascii="Arial" w:hAnsi="Arial" w:cs="Arial"/>
        </w:rPr>
        <w:t>191.981.168</w:t>
      </w:r>
      <w:r w:rsidR="00460C87">
        <w:rPr>
          <w:rFonts w:ascii="Arial" w:hAnsi="Arial" w:cs="Arial"/>
        </w:rPr>
        <w:t xml:space="preserve"> ingresó en el segundo semestre</w:t>
      </w:r>
      <w:r w:rsidR="00A811C3">
        <w:rPr>
          <w:rFonts w:ascii="Arial" w:hAnsi="Arial" w:cs="Arial"/>
        </w:rPr>
        <w:t xml:space="preserve">. </w:t>
      </w:r>
      <w:r w:rsidR="00BF19CE">
        <w:rPr>
          <w:rFonts w:ascii="Arial" w:hAnsi="Arial" w:cs="Arial"/>
        </w:rPr>
        <w:t>E</w:t>
      </w:r>
      <w:r>
        <w:rPr>
          <w:rFonts w:ascii="Arial" w:hAnsi="Arial" w:cs="Arial"/>
        </w:rPr>
        <w:t>stos ingresos corresponden a la recuperación del capital de la cartera de crédito.</w:t>
      </w:r>
    </w:p>
    <w:p w14:paraId="085B09D9" w14:textId="77777777" w:rsidR="00027772" w:rsidRDefault="00027772" w:rsidP="00FA1D53">
      <w:pPr>
        <w:spacing w:after="0"/>
        <w:jc w:val="both"/>
        <w:rPr>
          <w:rFonts w:ascii="Arial" w:hAnsi="Arial" w:cs="Arial"/>
        </w:rPr>
      </w:pPr>
    </w:p>
    <w:p w14:paraId="02BE2397" w14:textId="77777777" w:rsidR="00027772" w:rsidRPr="00F563BC" w:rsidRDefault="00027772" w:rsidP="00027772">
      <w:pPr>
        <w:spacing w:after="0"/>
        <w:jc w:val="both"/>
        <w:rPr>
          <w:rFonts w:ascii="Arial" w:hAnsi="Arial" w:cs="Arial"/>
          <w:b/>
          <w:bCs/>
        </w:rPr>
      </w:pPr>
      <w:r w:rsidRPr="00F563BC">
        <w:rPr>
          <w:rFonts w:ascii="Arial" w:hAnsi="Arial" w:cs="Arial"/>
          <w:b/>
          <w:bCs/>
        </w:rPr>
        <w:t>2.4.0.0.00.00.0.0.000</w:t>
      </w:r>
      <w:r w:rsidRPr="00F563BC">
        <w:rPr>
          <w:rFonts w:ascii="Arial" w:hAnsi="Arial" w:cs="Arial"/>
          <w:b/>
          <w:bCs/>
        </w:rPr>
        <w:tab/>
        <w:t>Transferencias de Capital</w:t>
      </w:r>
    </w:p>
    <w:p w14:paraId="53680F4D" w14:textId="77777777" w:rsidR="00027772" w:rsidRPr="00F563BC" w:rsidRDefault="00027772" w:rsidP="00027772">
      <w:pPr>
        <w:spacing w:after="0"/>
        <w:jc w:val="both"/>
        <w:rPr>
          <w:rFonts w:ascii="Arial" w:hAnsi="Arial" w:cs="Arial"/>
          <w:b/>
          <w:bCs/>
        </w:rPr>
      </w:pPr>
      <w:r w:rsidRPr="00F563BC">
        <w:rPr>
          <w:rFonts w:ascii="Arial" w:hAnsi="Arial" w:cs="Arial"/>
          <w:b/>
          <w:bCs/>
        </w:rPr>
        <w:t>2.4.1.1.00.00.0.0.000</w:t>
      </w:r>
      <w:r w:rsidRPr="00F563BC">
        <w:rPr>
          <w:rFonts w:ascii="Arial" w:hAnsi="Arial" w:cs="Arial"/>
          <w:b/>
          <w:bCs/>
        </w:rPr>
        <w:tab/>
        <w:t>Transferencias de Capital del Gobierno Central</w:t>
      </w:r>
    </w:p>
    <w:p w14:paraId="5A1FE6B3" w14:textId="77777777" w:rsidR="00027772" w:rsidRDefault="00027772" w:rsidP="00027772">
      <w:pPr>
        <w:spacing w:after="0"/>
        <w:jc w:val="both"/>
        <w:rPr>
          <w:rFonts w:ascii="Arial" w:hAnsi="Arial" w:cs="Arial"/>
        </w:rPr>
      </w:pPr>
    </w:p>
    <w:p w14:paraId="3776E6FD" w14:textId="289EC028" w:rsidR="00027772" w:rsidRDefault="00027772" w:rsidP="00027772">
      <w:pPr>
        <w:spacing w:after="0"/>
        <w:jc w:val="both"/>
        <w:rPr>
          <w:rFonts w:ascii="Arial" w:hAnsi="Arial" w:cs="Arial"/>
        </w:rPr>
      </w:pPr>
      <w:r>
        <w:rPr>
          <w:rFonts w:ascii="Arial" w:hAnsi="Arial" w:cs="Arial"/>
        </w:rPr>
        <w:t xml:space="preserve">En esta subpartida se presupuestó la suma de </w:t>
      </w:r>
      <w:r w:rsidRPr="002A3A69">
        <w:rPr>
          <w:rFonts w:ascii="Arial" w:hAnsi="Arial" w:cs="Arial"/>
          <w:b/>
        </w:rPr>
        <w:t>¢</w:t>
      </w:r>
      <w:r>
        <w:rPr>
          <w:rFonts w:ascii="Arial" w:hAnsi="Arial" w:cs="Arial"/>
          <w:b/>
        </w:rPr>
        <w:t>13.966.299.400</w:t>
      </w:r>
      <w:r>
        <w:rPr>
          <w:rFonts w:ascii="Arial" w:hAnsi="Arial" w:cs="Arial"/>
        </w:rPr>
        <w:t xml:space="preserve"> de los cuales al cierre del primer semestre 2021 se percibió la suma total de </w:t>
      </w:r>
      <w:r w:rsidRPr="002A3A69">
        <w:rPr>
          <w:rFonts w:ascii="Arial" w:hAnsi="Arial" w:cs="Arial"/>
          <w:b/>
        </w:rPr>
        <w:t>¢</w:t>
      </w:r>
      <w:r>
        <w:rPr>
          <w:rFonts w:ascii="Arial" w:hAnsi="Arial" w:cs="Arial"/>
          <w:b/>
        </w:rPr>
        <w:t>13.957.679.898</w:t>
      </w:r>
      <w:r>
        <w:rPr>
          <w:rFonts w:ascii="Arial" w:hAnsi="Arial" w:cs="Arial"/>
        </w:rPr>
        <w:t xml:space="preserve"> equivalentes a un </w:t>
      </w:r>
      <w:r w:rsidR="009F20CD">
        <w:rPr>
          <w:rFonts w:ascii="Arial" w:hAnsi="Arial" w:cs="Arial"/>
        </w:rPr>
        <w:t>99.9</w:t>
      </w:r>
      <w:r w:rsidRPr="00DF76EA">
        <w:rPr>
          <w:rFonts w:ascii="Arial" w:hAnsi="Arial" w:cs="Arial"/>
          <w:b/>
          <w:bCs/>
        </w:rPr>
        <w:t>%</w:t>
      </w:r>
      <w:r>
        <w:rPr>
          <w:rFonts w:ascii="Arial" w:hAnsi="Arial" w:cs="Arial"/>
        </w:rPr>
        <w:t xml:space="preserve"> de ejecución. Estos ingresos corresponden a la transferencia de recursos para el pago de contratos del Programa por Servicios Ambientales por un monto de ¢</w:t>
      </w:r>
      <w:r w:rsidR="009F20CD">
        <w:rPr>
          <w:rFonts w:ascii="Arial" w:hAnsi="Arial" w:cs="Arial"/>
        </w:rPr>
        <w:t xml:space="preserve">13.857.259.898, del monto total percibido ¢8.257.677.937 </w:t>
      </w:r>
      <w:r>
        <w:rPr>
          <w:rFonts w:ascii="Arial" w:hAnsi="Arial" w:cs="Arial"/>
        </w:rPr>
        <w:t>ingresaron</w:t>
      </w:r>
      <w:r w:rsidR="009F20CD">
        <w:rPr>
          <w:rFonts w:ascii="Arial" w:hAnsi="Arial" w:cs="Arial"/>
        </w:rPr>
        <w:t xml:space="preserve"> en el segundo semestre</w:t>
      </w:r>
      <w:r>
        <w:rPr>
          <w:rFonts w:ascii="Arial" w:hAnsi="Arial" w:cs="Arial"/>
        </w:rPr>
        <w:t>, adicionalmente se presupuestaron ¢100.420.000 para el otorgamiento de créditos en el Programa de Crédito Forestal, estos recursos ingresaron al 100%</w:t>
      </w:r>
      <w:r w:rsidR="009F20CD">
        <w:rPr>
          <w:rFonts w:ascii="Arial" w:hAnsi="Arial" w:cs="Arial"/>
        </w:rPr>
        <w:t xml:space="preserve"> durante el primer semestre</w:t>
      </w:r>
      <w:r>
        <w:rPr>
          <w:rFonts w:ascii="Arial" w:hAnsi="Arial" w:cs="Arial"/>
        </w:rPr>
        <w:t>.</w:t>
      </w:r>
    </w:p>
    <w:p w14:paraId="6ADA4339" w14:textId="77777777" w:rsidR="00027772" w:rsidRDefault="00027772" w:rsidP="00FA1D53">
      <w:pPr>
        <w:spacing w:after="0"/>
        <w:jc w:val="both"/>
        <w:rPr>
          <w:rFonts w:ascii="Arial" w:hAnsi="Arial" w:cs="Arial"/>
        </w:rPr>
      </w:pPr>
    </w:p>
    <w:p w14:paraId="6EE927A0" w14:textId="77777777" w:rsidR="00FA1D53" w:rsidRDefault="00FA1D53" w:rsidP="00FA1D53">
      <w:pPr>
        <w:spacing w:after="0"/>
        <w:jc w:val="both"/>
        <w:rPr>
          <w:rFonts w:ascii="Arial" w:hAnsi="Arial" w:cs="Arial"/>
        </w:rPr>
      </w:pPr>
    </w:p>
    <w:p w14:paraId="01A20E1B" w14:textId="77777777" w:rsidR="0064010E" w:rsidRPr="00551D21" w:rsidRDefault="00F95D7D" w:rsidP="00551D21">
      <w:pPr>
        <w:pStyle w:val="Ttulo2"/>
        <w:rPr>
          <w:rFonts w:ascii="Arial" w:hAnsi="Arial" w:cs="Arial"/>
          <w:color w:val="auto"/>
          <w:sz w:val="24"/>
          <w:szCs w:val="24"/>
        </w:rPr>
      </w:pPr>
      <w:bookmarkStart w:id="18" w:name="_Toc94522220"/>
      <w:r w:rsidRPr="00551D21">
        <w:rPr>
          <w:rFonts w:ascii="Arial" w:hAnsi="Arial" w:cs="Arial"/>
          <w:color w:val="auto"/>
          <w:sz w:val="24"/>
          <w:szCs w:val="24"/>
        </w:rPr>
        <w:t>5</w:t>
      </w:r>
      <w:r w:rsidR="00E674A5" w:rsidRPr="00551D21">
        <w:rPr>
          <w:rFonts w:ascii="Arial" w:hAnsi="Arial" w:cs="Arial"/>
          <w:color w:val="auto"/>
          <w:sz w:val="24"/>
          <w:szCs w:val="24"/>
        </w:rPr>
        <w:t xml:space="preserve">. </w:t>
      </w:r>
      <w:r w:rsidR="0064010E" w:rsidRPr="00551D21">
        <w:rPr>
          <w:rFonts w:ascii="Arial" w:hAnsi="Arial" w:cs="Arial"/>
          <w:color w:val="auto"/>
          <w:sz w:val="24"/>
          <w:szCs w:val="24"/>
        </w:rPr>
        <w:t>C</w:t>
      </w:r>
      <w:r w:rsidR="007962AF">
        <w:rPr>
          <w:rFonts w:ascii="Arial" w:hAnsi="Arial" w:cs="Arial"/>
          <w:color w:val="auto"/>
          <w:sz w:val="24"/>
          <w:szCs w:val="24"/>
        </w:rPr>
        <w:t>OMENTARIOS DE EGRESOS</w:t>
      </w:r>
      <w:bookmarkEnd w:id="18"/>
    </w:p>
    <w:p w14:paraId="4103C15B" w14:textId="77777777" w:rsidR="0064010E" w:rsidRPr="003D7DCE" w:rsidRDefault="0064010E" w:rsidP="0064010E">
      <w:pPr>
        <w:spacing w:after="0" w:line="240" w:lineRule="auto"/>
        <w:rPr>
          <w:rFonts w:ascii="Arial" w:hAnsi="Arial" w:cs="Arial"/>
        </w:rPr>
      </w:pPr>
    </w:p>
    <w:p w14:paraId="481D8598" w14:textId="7BE689F1" w:rsidR="0064010E" w:rsidRDefault="0064010E" w:rsidP="00FA1D53">
      <w:pPr>
        <w:jc w:val="both"/>
        <w:rPr>
          <w:rFonts w:ascii="Arial" w:hAnsi="Arial" w:cs="Arial"/>
        </w:rPr>
      </w:pPr>
      <w:r w:rsidRPr="003D7DCE">
        <w:rPr>
          <w:rFonts w:ascii="Arial" w:hAnsi="Arial" w:cs="Arial"/>
        </w:rPr>
        <w:t xml:space="preserve">La institución presupuestó egresos por la suma de </w:t>
      </w:r>
      <w:r w:rsidRPr="00491343">
        <w:rPr>
          <w:rFonts w:ascii="Arial" w:hAnsi="Arial" w:cs="Arial"/>
          <w:b/>
          <w:sz w:val="24"/>
          <w:szCs w:val="24"/>
        </w:rPr>
        <w:t>¢</w:t>
      </w:r>
      <w:r w:rsidR="00AC7350">
        <w:rPr>
          <w:rFonts w:ascii="Arial" w:hAnsi="Arial" w:cs="Arial"/>
          <w:b/>
          <w:sz w:val="24"/>
          <w:szCs w:val="24"/>
        </w:rPr>
        <w:t>15.471.282.524</w:t>
      </w:r>
      <w:r w:rsidRPr="001742AA">
        <w:rPr>
          <w:rFonts w:ascii="Arial" w:hAnsi="Arial" w:cs="Arial"/>
          <w:b/>
        </w:rPr>
        <w:t>,</w:t>
      </w:r>
      <w:r w:rsidRPr="003D7DCE">
        <w:rPr>
          <w:rFonts w:ascii="Arial" w:hAnsi="Arial" w:cs="Arial"/>
        </w:rPr>
        <w:t xml:space="preserve"> </w:t>
      </w:r>
      <w:r w:rsidR="00491343">
        <w:rPr>
          <w:rFonts w:ascii="Arial" w:hAnsi="Arial" w:cs="Arial"/>
        </w:rPr>
        <w:t xml:space="preserve">de los </w:t>
      </w:r>
      <w:r w:rsidR="00315DAD">
        <w:rPr>
          <w:rFonts w:ascii="Arial" w:hAnsi="Arial" w:cs="Arial"/>
        </w:rPr>
        <w:t>al cierre del periodo 202</w:t>
      </w:r>
      <w:r w:rsidR="00AC7350">
        <w:rPr>
          <w:rFonts w:ascii="Arial" w:hAnsi="Arial" w:cs="Arial"/>
        </w:rPr>
        <w:t>1</w:t>
      </w:r>
      <w:r w:rsidR="00315DAD">
        <w:rPr>
          <w:rFonts w:ascii="Arial" w:hAnsi="Arial" w:cs="Arial"/>
        </w:rPr>
        <w:t xml:space="preserve"> ejecuto </w:t>
      </w:r>
      <w:r w:rsidR="000F5737">
        <w:rPr>
          <w:rFonts w:ascii="Arial" w:hAnsi="Arial" w:cs="Arial"/>
        </w:rPr>
        <w:t xml:space="preserve">la suma </w:t>
      </w:r>
      <w:r w:rsidR="00315DAD">
        <w:rPr>
          <w:rFonts w:ascii="Arial" w:hAnsi="Arial" w:cs="Arial"/>
        </w:rPr>
        <w:t xml:space="preserve">total </w:t>
      </w:r>
      <w:r w:rsidR="000F5737">
        <w:rPr>
          <w:rFonts w:ascii="Arial" w:hAnsi="Arial" w:cs="Arial"/>
        </w:rPr>
        <w:t xml:space="preserve">de </w:t>
      </w:r>
      <w:r w:rsidRPr="003D7DCE">
        <w:rPr>
          <w:rFonts w:ascii="Arial" w:hAnsi="Arial" w:cs="Arial"/>
          <w:b/>
        </w:rPr>
        <w:t>¢</w:t>
      </w:r>
      <w:r w:rsidR="00AC7350">
        <w:rPr>
          <w:rFonts w:ascii="Arial" w:hAnsi="Arial" w:cs="Arial"/>
          <w:b/>
        </w:rPr>
        <w:t>13.623.205.430</w:t>
      </w:r>
      <w:r w:rsidR="006F6123">
        <w:rPr>
          <w:rFonts w:ascii="Arial" w:hAnsi="Arial" w:cs="Arial"/>
          <w:b/>
        </w:rPr>
        <w:t>,</w:t>
      </w:r>
      <w:r w:rsidR="006F6123" w:rsidRPr="006F6123">
        <w:rPr>
          <w:rFonts w:ascii="Arial" w:hAnsi="Arial" w:cs="Arial"/>
          <w:b/>
        </w:rPr>
        <w:t xml:space="preserve"> </w:t>
      </w:r>
      <w:r w:rsidRPr="003D7DCE">
        <w:rPr>
          <w:rFonts w:ascii="Arial" w:hAnsi="Arial" w:cs="Arial"/>
        </w:rPr>
        <w:t>lo que equivale a un</w:t>
      </w:r>
      <w:r w:rsidR="000F5737">
        <w:rPr>
          <w:rFonts w:ascii="Arial" w:hAnsi="Arial" w:cs="Arial"/>
        </w:rPr>
        <w:t xml:space="preserve"> </w:t>
      </w:r>
      <w:r w:rsidR="00AC7350" w:rsidRPr="00AC7350">
        <w:rPr>
          <w:rFonts w:ascii="Arial" w:hAnsi="Arial" w:cs="Arial"/>
          <w:b/>
          <w:bCs/>
        </w:rPr>
        <w:t>88</w:t>
      </w:r>
      <w:r w:rsidR="00FD1974">
        <w:rPr>
          <w:rFonts w:ascii="Arial" w:hAnsi="Arial" w:cs="Arial"/>
          <w:b/>
          <w:bCs/>
        </w:rPr>
        <w:t>,</w:t>
      </w:r>
      <w:r w:rsidR="00AC7350" w:rsidRPr="00AC7350">
        <w:rPr>
          <w:rFonts w:ascii="Arial" w:hAnsi="Arial" w:cs="Arial"/>
          <w:b/>
          <w:bCs/>
        </w:rPr>
        <w:t>05</w:t>
      </w:r>
      <w:r w:rsidRPr="00AC7350">
        <w:rPr>
          <w:rFonts w:ascii="Arial" w:hAnsi="Arial" w:cs="Arial"/>
          <w:b/>
          <w:bCs/>
        </w:rPr>
        <w:t>%</w:t>
      </w:r>
      <w:r w:rsidR="00315DAD" w:rsidRPr="00AC7350">
        <w:rPr>
          <w:rFonts w:ascii="Arial" w:hAnsi="Arial" w:cs="Arial"/>
          <w:b/>
          <w:bCs/>
        </w:rPr>
        <w:t>,</w:t>
      </w:r>
      <w:r w:rsidR="00315DAD">
        <w:rPr>
          <w:rFonts w:ascii="Arial" w:hAnsi="Arial" w:cs="Arial"/>
          <w:b/>
        </w:rPr>
        <w:t xml:space="preserve"> </w:t>
      </w:r>
      <w:r w:rsidR="00315DAD" w:rsidRPr="00315DAD">
        <w:rPr>
          <w:rFonts w:ascii="Arial" w:hAnsi="Arial" w:cs="Arial"/>
        </w:rPr>
        <w:t>del monto anterior, un total de ¢</w:t>
      </w:r>
      <w:r w:rsidR="00286559">
        <w:rPr>
          <w:rFonts w:ascii="Arial" w:hAnsi="Arial" w:cs="Arial"/>
        </w:rPr>
        <w:t>7.718.923.945</w:t>
      </w:r>
      <w:r w:rsidR="00315DAD" w:rsidRPr="00315DAD">
        <w:rPr>
          <w:rFonts w:ascii="Arial" w:hAnsi="Arial" w:cs="Arial"/>
        </w:rPr>
        <w:t xml:space="preserve"> fue ejecutada en el segundo semestre</w:t>
      </w:r>
      <w:r w:rsidRPr="00315DAD">
        <w:rPr>
          <w:rFonts w:ascii="Arial" w:hAnsi="Arial" w:cs="Arial"/>
        </w:rPr>
        <w:t>.</w:t>
      </w:r>
      <w:r w:rsidRPr="003D7DCE">
        <w:rPr>
          <w:rFonts w:ascii="Arial" w:hAnsi="Arial" w:cs="Arial"/>
        </w:rPr>
        <w:t xml:space="preserve"> A </w:t>
      </w:r>
      <w:r w:rsidR="001742AA" w:rsidRPr="003D7DCE">
        <w:rPr>
          <w:rFonts w:ascii="Arial" w:hAnsi="Arial" w:cs="Arial"/>
        </w:rPr>
        <w:t>continuación,</w:t>
      </w:r>
      <w:r w:rsidRPr="003D7DCE">
        <w:rPr>
          <w:rFonts w:ascii="Arial" w:hAnsi="Arial" w:cs="Arial"/>
        </w:rPr>
        <w:t xml:space="preserve"> se detallan algunos aspectos relevantes en los diferentes grupos de egresos.</w:t>
      </w:r>
    </w:p>
    <w:p w14:paraId="2F9AECBD" w14:textId="77777777" w:rsidR="005B21EE" w:rsidRPr="001A1B09" w:rsidRDefault="005B21EE" w:rsidP="00FA1D53">
      <w:pPr>
        <w:jc w:val="both"/>
        <w:rPr>
          <w:rFonts w:ascii="Arial" w:hAnsi="Arial" w:cs="Arial"/>
          <w:highlight w:val="yellow"/>
        </w:rPr>
      </w:pPr>
    </w:p>
    <w:p w14:paraId="6578E44D" w14:textId="77777777" w:rsidR="0064010E" w:rsidRPr="007E14B2" w:rsidRDefault="0064010E" w:rsidP="0064010E">
      <w:pPr>
        <w:spacing w:after="0" w:line="240" w:lineRule="auto"/>
        <w:rPr>
          <w:rFonts w:ascii="Arial" w:hAnsi="Arial" w:cs="Arial"/>
          <w:b/>
          <w:color w:val="FF0000"/>
        </w:rPr>
      </w:pPr>
      <w:bookmarkStart w:id="19" w:name="_Hlk94519688"/>
      <w:r w:rsidRPr="00702603">
        <w:rPr>
          <w:rFonts w:ascii="Arial" w:hAnsi="Arial" w:cs="Arial"/>
          <w:b/>
        </w:rPr>
        <w:t>REMUNERACIONES</w:t>
      </w:r>
    </w:p>
    <w:p w14:paraId="69DB4F69" w14:textId="77777777" w:rsidR="0064010E" w:rsidRPr="001B346F" w:rsidRDefault="0064010E" w:rsidP="0064010E">
      <w:pPr>
        <w:spacing w:after="0" w:line="240" w:lineRule="auto"/>
        <w:rPr>
          <w:rFonts w:ascii="Arial" w:hAnsi="Arial" w:cs="Arial"/>
          <w:b/>
        </w:rPr>
      </w:pPr>
    </w:p>
    <w:p w14:paraId="1D826F80" w14:textId="20C0752B" w:rsidR="00C11843" w:rsidRDefault="0064010E" w:rsidP="0064010E">
      <w:pPr>
        <w:jc w:val="both"/>
        <w:rPr>
          <w:rFonts w:ascii="Arial" w:hAnsi="Arial" w:cs="Arial"/>
        </w:rPr>
      </w:pPr>
      <w:r w:rsidRPr="001B346F">
        <w:rPr>
          <w:rFonts w:ascii="Arial" w:hAnsi="Arial" w:cs="Arial"/>
        </w:rPr>
        <w:t>En est</w:t>
      </w:r>
      <w:r w:rsidR="00FE17A9">
        <w:rPr>
          <w:rFonts w:ascii="Arial" w:hAnsi="Arial" w:cs="Arial"/>
        </w:rPr>
        <w:t xml:space="preserve">a partida </w:t>
      </w:r>
      <w:r w:rsidRPr="001B346F">
        <w:rPr>
          <w:rFonts w:ascii="Arial" w:hAnsi="Arial" w:cs="Arial"/>
        </w:rPr>
        <w:t>se presupuest</w:t>
      </w:r>
      <w:r>
        <w:rPr>
          <w:rFonts w:ascii="Arial" w:hAnsi="Arial" w:cs="Arial"/>
        </w:rPr>
        <w:t>ó</w:t>
      </w:r>
      <w:r w:rsidRPr="001B346F">
        <w:rPr>
          <w:rFonts w:ascii="Arial" w:hAnsi="Arial" w:cs="Arial"/>
        </w:rPr>
        <w:t xml:space="preserve"> la suma de </w:t>
      </w:r>
      <w:r>
        <w:rPr>
          <w:rFonts w:ascii="Arial" w:hAnsi="Arial" w:cs="Arial"/>
          <w:b/>
        </w:rPr>
        <w:t>¢</w:t>
      </w:r>
      <w:r w:rsidR="002B376D">
        <w:rPr>
          <w:rFonts w:ascii="Arial" w:hAnsi="Arial" w:cs="Arial"/>
          <w:b/>
        </w:rPr>
        <w:t>19</w:t>
      </w:r>
      <w:r w:rsidR="00FD1974">
        <w:rPr>
          <w:rFonts w:ascii="Arial" w:hAnsi="Arial" w:cs="Arial"/>
          <w:b/>
        </w:rPr>
        <w:t>2.771.134</w:t>
      </w:r>
      <w:r w:rsidR="00E61E5A" w:rsidRPr="005034C8">
        <w:rPr>
          <w:rFonts w:ascii="Arial" w:hAnsi="Arial" w:cs="Arial"/>
          <w:b/>
        </w:rPr>
        <w:t>,</w:t>
      </w:r>
      <w:r w:rsidR="00E61E5A">
        <w:rPr>
          <w:rFonts w:ascii="Arial" w:hAnsi="Arial" w:cs="Arial"/>
          <w:b/>
        </w:rPr>
        <w:t xml:space="preserve"> </w:t>
      </w:r>
      <w:r w:rsidR="00315DAD" w:rsidRPr="00315DAD">
        <w:rPr>
          <w:rFonts w:ascii="Arial" w:hAnsi="Arial" w:cs="Arial"/>
        </w:rPr>
        <w:t>de los cuales al cierre del periodo 202</w:t>
      </w:r>
      <w:r w:rsidR="00FD1974">
        <w:rPr>
          <w:rFonts w:ascii="Arial" w:hAnsi="Arial" w:cs="Arial"/>
        </w:rPr>
        <w:t>1</w:t>
      </w:r>
      <w:r w:rsidR="00315DAD" w:rsidRPr="00315DAD">
        <w:rPr>
          <w:rFonts w:ascii="Arial" w:hAnsi="Arial" w:cs="Arial"/>
        </w:rPr>
        <w:t xml:space="preserve"> se ejecutaron</w:t>
      </w:r>
      <w:r w:rsidR="00315DAD">
        <w:rPr>
          <w:rFonts w:ascii="Arial" w:hAnsi="Arial" w:cs="Arial"/>
          <w:b/>
        </w:rPr>
        <w:t xml:space="preserve"> ¢16</w:t>
      </w:r>
      <w:r w:rsidR="00FD1974">
        <w:rPr>
          <w:rFonts w:ascii="Arial" w:hAnsi="Arial" w:cs="Arial"/>
          <w:b/>
        </w:rPr>
        <w:t>9.144.970</w:t>
      </w:r>
      <w:r w:rsidR="00776626">
        <w:rPr>
          <w:rFonts w:ascii="Arial" w:hAnsi="Arial" w:cs="Arial"/>
        </w:rPr>
        <w:t xml:space="preserve"> </w:t>
      </w:r>
      <w:r w:rsidR="00B511AA" w:rsidRPr="00B511AA">
        <w:rPr>
          <w:rFonts w:ascii="Arial" w:hAnsi="Arial" w:cs="Arial"/>
        </w:rPr>
        <w:t>equivale</w:t>
      </w:r>
      <w:r w:rsidR="00C11843">
        <w:rPr>
          <w:rFonts w:ascii="Arial" w:hAnsi="Arial" w:cs="Arial"/>
        </w:rPr>
        <w:t xml:space="preserve">nte </w:t>
      </w:r>
      <w:r w:rsidR="00F217EE">
        <w:rPr>
          <w:rFonts w:ascii="Arial" w:hAnsi="Arial" w:cs="Arial"/>
        </w:rPr>
        <w:t xml:space="preserve">a un </w:t>
      </w:r>
      <w:r w:rsidR="00315DAD" w:rsidRPr="00F32425">
        <w:rPr>
          <w:rFonts w:ascii="Arial" w:hAnsi="Arial" w:cs="Arial"/>
          <w:b/>
          <w:bCs/>
        </w:rPr>
        <w:t>87</w:t>
      </w:r>
      <w:r w:rsidR="00FD1974" w:rsidRPr="00F32425">
        <w:rPr>
          <w:rFonts w:ascii="Arial" w:hAnsi="Arial" w:cs="Arial"/>
          <w:b/>
          <w:bCs/>
        </w:rPr>
        <w:t>,74</w:t>
      </w:r>
      <w:r w:rsidR="00776626" w:rsidRPr="00F32425">
        <w:rPr>
          <w:rFonts w:ascii="Arial" w:hAnsi="Arial" w:cs="Arial"/>
          <w:b/>
          <w:bCs/>
        </w:rPr>
        <w:t>%</w:t>
      </w:r>
      <w:r w:rsidR="00315DAD" w:rsidRPr="00F32425">
        <w:rPr>
          <w:rFonts w:ascii="Arial" w:hAnsi="Arial" w:cs="Arial"/>
          <w:b/>
          <w:bCs/>
        </w:rPr>
        <w:t>,</w:t>
      </w:r>
      <w:r w:rsidR="00315DAD">
        <w:rPr>
          <w:rFonts w:ascii="Arial" w:hAnsi="Arial" w:cs="Arial"/>
          <w:b/>
        </w:rPr>
        <w:t xml:space="preserve"> </w:t>
      </w:r>
      <w:r w:rsidR="00315DAD" w:rsidRPr="00315DAD">
        <w:rPr>
          <w:rFonts w:ascii="Arial" w:hAnsi="Arial" w:cs="Arial"/>
        </w:rPr>
        <w:t xml:space="preserve">de </w:t>
      </w:r>
      <w:r w:rsidR="00FD1974">
        <w:rPr>
          <w:rFonts w:ascii="Arial" w:hAnsi="Arial" w:cs="Arial"/>
        </w:rPr>
        <w:t>m</w:t>
      </w:r>
      <w:r w:rsidR="00315DAD" w:rsidRPr="00315DAD">
        <w:rPr>
          <w:rFonts w:ascii="Arial" w:hAnsi="Arial" w:cs="Arial"/>
        </w:rPr>
        <w:t>onto</w:t>
      </w:r>
      <w:r w:rsidR="00FD1974">
        <w:rPr>
          <w:rFonts w:ascii="Arial" w:hAnsi="Arial" w:cs="Arial"/>
        </w:rPr>
        <w:t xml:space="preserve"> indicado,</w:t>
      </w:r>
      <w:r w:rsidR="00315DAD" w:rsidRPr="00315DAD">
        <w:rPr>
          <w:rFonts w:ascii="Arial" w:hAnsi="Arial" w:cs="Arial"/>
        </w:rPr>
        <w:t xml:space="preserve"> durante el segundo semestre se ejecutó la suma de </w:t>
      </w:r>
      <w:r w:rsidR="00315DAD">
        <w:rPr>
          <w:rFonts w:ascii="Arial" w:hAnsi="Arial" w:cs="Arial"/>
          <w:b/>
        </w:rPr>
        <w:t>¢92.</w:t>
      </w:r>
      <w:r w:rsidR="00FD1974">
        <w:rPr>
          <w:rFonts w:ascii="Arial" w:hAnsi="Arial" w:cs="Arial"/>
          <w:b/>
        </w:rPr>
        <w:t>270.041</w:t>
      </w:r>
      <w:r w:rsidR="002B376D">
        <w:rPr>
          <w:rFonts w:ascii="Arial" w:hAnsi="Arial" w:cs="Arial"/>
        </w:rPr>
        <w:t xml:space="preserve">. </w:t>
      </w:r>
      <w:r w:rsidR="00C11843" w:rsidRPr="00C11843">
        <w:rPr>
          <w:rFonts w:ascii="Arial" w:hAnsi="Arial" w:cs="Arial"/>
        </w:rPr>
        <w:t>Con estos recursos se</w:t>
      </w:r>
      <w:r w:rsidR="00776626">
        <w:rPr>
          <w:rFonts w:ascii="Arial" w:hAnsi="Arial" w:cs="Arial"/>
        </w:rPr>
        <w:t xml:space="preserve"> </w:t>
      </w:r>
      <w:r w:rsidR="00C11843">
        <w:rPr>
          <w:rFonts w:ascii="Arial" w:hAnsi="Arial" w:cs="Arial"/>
        </w:rPr>
        <w:t>realizó el pago</w:t>
      </w:r>
      <w:r w:rsidR="007E14B2">
        <w:rPr>
          <w:rFonts w:ascii="Arial" w:hAnsi="Arial" w:cs="Arial"/>
        </w:rPr>
        <w:t xml:space="preserve"> de </w:t>
      </w:r>
      <w:r w:rsidR="008E0B36">
        <w:rPr>
          <w:rFonts w:ascii="Arial" w:hAnsi="Arial" w:cs="Arial"/>
        </w:rPr>
        <w:t xml:space="preserve">15 </w:t>
      </w:r>
      <w:r w:rsidR="00E61E5A">
        <w:rPr>
          <w:rFonts w:ascii="Arial" w:hAnsi="Arial" w:cs="Arial"/>
        </w:rPr>
        <w:t>plazas</w:t>
      </w:r>
      <w:r w:rsidR="00315DAD">
        <w:rPr>
          <w:rFonts w:ascii="Arial" w:hAnsi="Arial" w:cs="Arial"/>
        </w:rPr>
        <w:t>, que</w:t>
      </w:r>
      <w:r w:rsidR="008E0B36">
        <w:rPr>
          <w:rFonts w:ascii="Arial" w:hAnsi="Arial" w:cs="Arial"/>
        </w:rPr>
        <w:t xml:space="preserve"> corresponde</w:t>
      </w:r>
      <w:r w:rsidR="00315DAD">
        <w:rPr>
          <w:rFonts w:ascii="Arial" w:hAnsi="Arial" w:cs="Arial"/>
        </w:rPr>
        <w:t>n</w:t>
      </w:r>
      <w:r w:rsidR="008E0B36">
        <w:rPr>
          <w:rFonts w:ascii="Arial" w:hAnsi="Arial" w:cs="Arial"/>
        </w:rPr>
        <w:t xml:space="preserve"> </w:t>
      </w:r>
      <w:r w:rsidR="008E0B36" w:rsidRPr="008E0B36">
        <w:rPr>
          <w:rFonts w:ascii="Arial" w:hAnsi="Arial" w:cs="Arial"/>
        </w:rPr>
        <w:t>al</w:t>
      </w:r>
      <w:r w:rsidR="00E61E5A" w:rsidRPr="008E0B36">
        <w:rPr>
          <w:rFonts w:ascii="Arial" w:hAnsi="Arial" w:cs="Arial"/>
        </w:rPr>
        <w:t xml:space="preserve"> personal contratado por medio del Proyecto</w:t>
      </w:r>
      <w:r w:rsidR="00E61E5A" w:rsidRPr="008E0B36">
        <w:t xml:space="preserve"> </w:t>
      </w:r>
      <w:r w:rsidR="00E61E5A" w:rsidRPr="008E0B36">
        <w:rPr>
          <w:rFonts w:ascii="Arial" w:hAnsi="Arial" w:cs="Arial"/>
        </w:rPr>
        <w:t>Ecomercados II</w:t>
      </w:r>
      <w:r w:rsidR="00776626" w:rsidRPr="008E0B36">
        <w:rPr>
          <w:rFonts w:ascii="Arial" w:hAnsi="Arial" w:cs="Arial"/>
        </w:rPr>
        <w:t>. S</w:t>
      </w:r>
      <w:r w:rsidR="00E61E5A" w:rsidRPr="008E0B36">
        <w:rPr>
          <w:rFonts w:ascii="Arial" w:hAnsi="Arial" w:cs="Arial"/>
        </w:rPr>
        <w:t xml:space="preserve">u base legal </w:t>
      </w:r>
      <w:r w:rsidR="00776626" w:rsidRPr="008E0B36">
        <w:rPr>
          <w:rFonts w:ascii="Arial" w:hAnsi="Arial" w:cs="Arial"/>
        </w:rPr>
        <w:t>se sustenta en la</w:t>
      </w:r>
      <w:r w:rsidR="00E61E5A" w:rsidRPr="008E0B36">
        <w:rPr>
          <w:rFonts w:ascii="Arial" w:hAnsi="Arial" w:cs="Arial"/>
        </w:rPr>
        <w:t xml:space="preserve"> aprobación del contrato de préstamo No. 7388-CR y sus anexos entre la </w:t>
      </w:r>
      <w:r w:rsidR="00C11843" w:rsidRPr="008E0B36">
        <w:rPr>
          <w:rFonts w:ascii="Arial" w:hAnsi="Arial" w:cs="Arial"/>
        </w:rPr>
        <w:t>R</w:t>
      </w:r>
      <w:r w:rsidR="00E61E5A" w:rsidRPr="008E0B36">
        <w:rPr>
          <w:rFonts w:ascii="Arial" w:hAnsi="Arial" w:cs="Arial"/>
        </w:rPr>
        <w:t>ep</w:t>
      </w:r>
      <w:r w:rsidR="00E61E5A" w:rsidRPr="00D135B5">
        <w:rPr>
          <w:rFonts w:ascii="Arial" w:hAnsi="Arial" w:cs="Arial"/>
        </w:rPr>
        <w:t xml:space="preserve">ública de Costa Rica y el Banco Internacional de Reconstrucción y </w:t>
      </w:r>
      <w:r w:rsidR="00E61E5A" w:rsidRPr="00E609AB">
        <w:rPr>
          <w:rFonts w:ascii="Arial" w:hAnsi="Arial" w:cs="Arial"/>
        </w:rPr>
        <w:t>Fomento (BIRF</w:t>
      </w:r>
      <w:r w:rsidR="00776626" w:rsidRPr="00E609AB">
        <w:rPr>
          <w:rFonts w:ascii="Arial" w:hAnsi="Arial" w:cs="Arial"/>
        </w:rPr>
        <w:t>).</w:t>
      </w:r>
      <w:r w:rsidR="00776626">
        <w:rPr>
          <w:rFonts w:ascii="Arial" w:hAnsi="Arial" w:cs="Arial"/>
        </w:rPr>
        <w:t xml:space="preserve"> </w:t>
      </w:r>
    </w:p>
    <w:p w14:paraId="125BBCCE" w14:textId="77777777" w:rsidR="00F845E1" w:rsidRDefault="00F845E1" w:rsidP="0064010E">
      <w:pPr>
        <w:jc w:val="both"/>
        <w:rPr>
          <w:rFonts w:ascii="Arial" w:hAnsi="Arial" w:cs="Arial"/>
        </w:rPr>
      </w:pPr>
    </w:p>
    <w:p w14:paraId="2FFC3ABF" w14:textId="77777777" w:rsidR="005B21EE" w:rsidRDefault="005B21EE" w:rsidP="0064010E">
      <w:pPr>
        <w:jc w:val="both"/>
        <w:rPr>
          <w:rFonts w:ascii="Arial" w:hAnsi="Arial" w:cs="Arial"/>
        </w:rPr>
      </w:pPr>
    </w:p>
    <w:p w14:paraId="7A668288" w14:textId="77777777" w:rsidR="0064010E" w:rsidRDefault="00C11843" w:rsidP="0064010E">
      <w:pPr>
        <w:jc w:val="both"/>
        <w:rPr>
          <w:rFonts w:ascii="Arial" w:hAnsi="Arial" w:cs="Arial"/>
        </w:rPr>
      </w:pPr>
      <w:r>
        <w:rPr>
          <w:rFonts w:ascii="Arial" w:hAnsi="Arial" w:cs="Arial"/>
        </w:rPr>
        <w:t xml:space="preserve">A </w:t>
      </w:r>
      <w:r w:rsidR="00A7630D">
        <w:rPr>
          <w:rFonts w:ascii="Arial" w:hAnsi="Arial" w:cs="Arial"/>
        </w:rPr>
        <w:t>continuación,</w:t>
      </w:r>
      <w:r>
        <w:rPr>
          <w:rFonts w:ascii="Arial" w:hAnsi="Arial" w:cs="Arial"/>
        </w:rPr>
        <w:t xml:space="preserve"> s</w:t>
      </w:r>
      <w:r w:rsidR="008B1FAC">
        <w:rPr>
          <w:rFonts w:ascii="Arial" w:hAnsi="Arial" w:cs="Arial"/>
        </w:rPr>
        <w:t xml:space="preserve">e </w:t>
      </w:r>
      <w:r w:rsidR="00D76A0A">
        <w:rPr>
          <w:rFonts w:ascii="Arial" w:hAnsi="Arial" w:cs="Arial"/>
        </w:rPr>
        <w:t xml:space="preserve">distribuye </w:t>
      </w:r>
      <w:r>
        <w:rPr>
          <w:rFonts w:ascii="Arial" w:hAnsi="Arial" w:cs="Arial"/>
        </w:rPr>
        <w:t>de acuerdo a las siguientes</w:t>
      </w:r>
      <w:r w:rsidR="0064010E">
        <w:rPr>
          <w:rFonts w:ascii="Arial" w:hAnsi="Arial" w:cs="Arial"/>
        </w:rPr>
        <w:t xml:space="preserve"> </w:t>
      </w:r>
      <w:r w:rsidR="0064010E" w:rsidRPr="001B346F">
        <w:rPr>
          <w:rFonts w:ascii="Arial" w:hAnsi="Arial" w:cs="Arial"/>
        </w:rPr>
        <w:t>subpartidas presupuestarias:</w:t>
      </w:r>
    </w:p>
    <w:tbl>
      <w:tblPr>
        <w:tblW w:w="11618" w:type="dxa"/>
        <w:tblInd w:w="-1286" w:type="dxa"/>
        <w:tblLayout w:type="fixed"/>
        <w:tblCellMar>
          <w:left w:w="70" w:type="dxa"/>
          <w:right w:w="70" w:type="dxa"/>
        </w:tblCellMar>
        <w:tblLook w:val="04A0" w:firstRow="1" w:lastRow="0" w:firstColumn="1" w:lastColumn="0" w:noHBand="0" w:noVBand="1"/>
      </w:tblPr>
      <w:tblGrid>
        <w:gridCol w:w="801"/>
        <w:gridCol w:w="4717"/>
        <w:gridCol w:w="1287"/>
        <w:gridCol w:w="1474"/>
        <w:gridCol w:w="1219"/>
        <w:gridCol w:w="1134"/>
        <w:gridCol w:w="793"/>
        <w:gridCol w:w="193"/>
      </w:tblGrid>
      <w:tr w:rsidR="00DF6433" w:rsidRPr="00DF6433" w14:paraId="72CB6E0A" w14:textId="77777777" w:rsidTr="00101172">
        <w:trPr>
          <w:gridAfter w:val="1"/>
          <w:wAfter w:w="193" w:type="dxa"/>
          <w:trHeight w:val="509"/>
        </w:trPr>
        <w:tc>
          <w:tcPr>
            <w:tcW w:w="80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noWrap/>
            <w:vAlign w:val="center"/>
            <w:hideMark/>
          </w:tcPr>
          <w:p w14:paraId="715A01B5" w14:textId="77777777" w:rsidR="00DF6433" w:rsidRPr="00DF6433" w:rsidRDefault="00DF6433" w:rsidP="00DF6433">
            <w:pPr>
              <w:spacing w:after="0" w:line="240" w:lineRule="auto"/>
              <w:jc w:val="center"/>
              <w:rPr>
                <w:rFonts w:ascii="Arial" w:eastAsia="Times New Roman" w:hAnsi="Arial" w:cs="Arial"/>
                <w:b/>
                <w:bCs/>
                <w:color w:val="000000"/>
                <w:sz w:val="12"/>
                <w:szCs w:val="12"/>
                <w:lang w:val="es-US" w:eastAsia="es-US"/>
              </w:rPr>
            </w:pPr>
            <w:r w:rsidRPr="00DF6433">
              <w:rPr>
                <w:rFonts w:ascii="Arial" w:eastAsia="Times New Roman" w:hAnsi="Arial" w:cs="Arial"/>
                <w:b/>
                <w:bCs/>
                <w:color w:val="000000"/>
                <w:sz w:val="12"/>
                <w:szCs w:val="12"/>
                <w:lang w:val="es-US" w:eastAsia="es-US"/>
              </w:rPr>
              <w:t>CUENTA</w:t>
            </w:r>
          </w:p>
        </w:tc>
        <w:tc>
          <w:tcPr>
            <w:tcW w:w="4717"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noWrap/>
            <w:vAlign w:val="center"/>
            <w:hideMark/>
          </w:tcPr>
          <w:p w14:paraId="25008054" w14:textId="77777777" w:rsidR="00DF6433" w:rsidRPr="00DF6433" w:rsidRDefault="00DF6433" w:rsidP="00DF6433">
            <w:pPr>
              <w:spacing w:after="0" w:line="240" w:lineRule="auto"/>
              <w:jc w:val="center"/>
              <w:rPr>
                <w:rFonts w:ascii="Arial" w:eastAsia="Times New Roman" w:hAnsi="Arial" w:cs="Arial"/>
                <w:b/>
                <w:bCs/>
                <w:color w:val="000000"/>
                <w:sz w:val="12"/>
                <w:szCs w:val="12"/>
                <w:lang w:val="es-US" w:eastAsia="es-US"/>
              </w:rPr>
            </w:pPr>
            <w:r w:rsidRPr="00DF6433">
              <w:rPr>
                <w:rFonts w:ascii="Arial" w:eastAsia="Times New Roman" w:hAnsi="Arial" w:cs="Arial"/>
                <w:b/>
                <w:bCs/>
                <w:color w:val="000000"/>
                <w:sz w:val="12"/>
                <w:szCs w:val="12"/>
                <w:lang w:val="es-US" w:eastAsia="es-US"/>
              </w:rPr>
              <w:t>NOMBRE PARTIDA, GRUPO Y SUBPARTIDA</w:t>
            </w:r>
          </w:p>
        </w:tc>
        <w:tc>
          <w:tcPr>
            <w:tcW w:w="1287" w:type="dxa"/>
            <w:vMerge w:val="restart"/>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1F47EEDC" w14:textId="77777777" w:rsidR="00DF6433" w:rsidRPr="00DF6433" w:rsidRDefault="00DF6433" w:rsidP="00DF6433">
            <w:pPr>
              <w:spacing w:after="0" w:line="240" w:lineRule="auto"/>
              <w:jc w:val="center"/>
              <w:rPr>
                <w:rFonts w:ascii="Arial" w:eastAsia="Times New Roman" w:hAnsi="Arial" w:cs="Arial"/>
                <w:b/>
                <w:bCs/>
                <w:color w:val="000000"/>
                <w:sz w:val="12"/>
                <w:szCs w:val="12"/>
                <w:lang w:val="es-US" w:eastAsia="es-US"/>
              </w:rPr>
            </w:pPr>
            <w:r w:rsidRPr="00DF6433">
              <w:rPr>
                <w:rFonts w:ascii="Arial" w:eastAsia="Times New Roman" w:hAnsi="Arial" w:cs="Arial"/>
                <w:b/>
                <w:bCs/>
                <w:color w:val="000000"/>
                <w:sz w:val="12"/>
                <w:szCs w:val="12"/>
                <w:lang w:val="es-US" w:eastAsia="es-US"/>
              </w:rPr>
              <w:t>PRESUPUESTO APROBADO</w:t>
            </w:r>
          </w:p>
        </w:tc>
        <w:tc>
          <w:tcPr>
            <w:tcW w:w="1474" w:type="dxa"/>
            <w:vMerge w:val="restart"/>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25A32752" w14:textId="77777777" w:rsidR="00DF6433" w:rsidRPr="00DF6433" w:rsidRDefault="00DF6433" w:rsidP="00DF6433">
            <w:pPr>
              <w:spacing w:after="0" w:line="240" w:lineRule="auto"/>
              <w:jc w:val="center"/>
              <w:rPr>
                <w:rFonts w:ascii="Arial" w:eastAsia="Times New Roman" w:hAnsi="Arial" w:cs="Arial"/>
                <w:b/>
                <w:bCs/>
                <w:color w:val="000000"/>
                <w:sz w:val="12"/>
                <w:szCs w:val="12"/>
                <w:lang w:val="es-US" w:eastAsia="es-US"/>
              </w:rPr>
            </w:pPr>
            <w:r w:rsidRPr="00DF6433">
              <w:rPr>
                <w:rFonts w:ascii="Arial" w:eastAsia="Times New Roman" w:hAnsi="Arial" w:cs="Arial"/>
                <w:b/>
                <w:bCs/>
                <w:color w:val="000000"/>
                <w:sz w:val="12"/>
                <w:szCs w:val="12"/>
                <w:lang w:val="es-US" w:eastAsia="es-US"/>
              </w:rPr>
              <w:t>TOTAL I SEMESTRE</w:t>
            </w:r>
          </w:p>
        </w:tc>
        <w:tc>
          <w:tcPr>
            <w:tcW w:w="1219" w:type="dxa"/>
            <w:vMerge w:val="restart"/>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4366C153" w14:textId="77777777" w:rsidR="00DF6433" w:rsidRPr="00DF6433" w:rsidRDefault="00DF6433" w:rsidP="00DF6433">
            <w:pPr>
              <w:spacing w:after="0" w:line="240" w:lineRule="auto"/>
              <w:jc w:val="center"/>
              <w:rPr>
                <w:rFonts w:ascii="Arial" w:eastAsia="Times New Roman" w:hAnsi="Arial" w:cs="Arial"/>
                <w:b/>
                <w:bCs/>
                <w:color w:val="000000"/>
                <w:sz w:val="12"/>
                <w:szCs w:val="12"/>
                <w:lang w:val="es-US" w:eastAsia="es-US"/>
              </w:rPr>
            </w:pPr>
            <w:r w:rsidRPr="00DF6433">
              <w:rPr>
                <w:rFonts w:ascii="Arial" w:eastAsia="Times New Roman" w:hAnsi="Arial" w:cs="Arial"/>
                <w:b/>
                <w:bCs/>
                <w:color w:val="000000"/>
                <w:sz w:val="12"/>
                <w:szCs w:val="12"/>
                <w:lang w:val="es-US" w:eastAsia="es-US"/>
              </w:rPr>
              <w:t>TOTAL II SEMESTRE</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5813529C" w14:textId="77777777" w:rsidR="00DF6433" w:rsidRPr="00DF6433" w:rsidRDefault="00DF6433" w:rsidP="00DF6433">
            <w:pPr>
              <w:spacing w:after="0" w:line="240" w:lineRule="auto"/>
              <w:jc w:val="center"/>
              <w:rPr>
                <w:rFonts w:ascii="Arial" w:eastAsia="Times New Roman" w:hAnsi="Arial" w:cs="Arial"/>
                <w:b/>
                <w:bCs/>
                <w:color w:val="000000"/>
                <w:sz w:val="12"/>
                <w:szCs w:val="12"/>
                <w:lang w:val="es-US" w:eastAsia="es-US"/>
              </w:rPr>
            </w:pPr>
            <w:r w:rsidRPr="00DF6433">
              <w:rPr>
                <w:rFonts w:ascii="Arial" w:eastAsia="Times New Roman" w:hAnsi="Arial" w:cs="Arial"/>
                <w:b/>
                <w:bCs/>
                <w:color w:val="000000"/>
                <w:sz w:val="12"/>
                <w:szCs w:val="12"/>
                <w:lang w:val="es-US" w:eastAsia="es-US"/>
              </w:rPr>
              <w:t>TOTAL EJECUTADO</w:t>
            </w:r>
          </w:p>
        </w:tc>
        <w:tc>
          <w:tcPr>
            <w:tcW w:w="793" w:type="dxa"/>
            <w:vMerge w:val="restart"/>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7855131E" w14:textId="77777777" w:rsidR="00DF6433" w:rsidRPr="00DF6433" w:rsidRDefault="00DF6433" w:rsidP="00DF6433">
            <w:pPr>
              <w:spacing w:after="0" w:line="240" w:lineRule="auto"/>
              <w:jc w:val="center"/>
              <w:rPr>
                <w:rFonts w:ascii="Arial" w:eastAsia="Times New Roman" w:hAnsi="Arial" w:cs="Arial"/>
                <w:b/>
                <w:bCs/>
                <w:color w:val="000000"/>
                <w:sz w:val="12"/>
                <w:szCs w:val="12"/>
                <w:lang w:val="es-US" w:eastAsia="es-US"/>
              </w:rPr>
            </w:pPr>
            <w:r w:rsidRPr="00DF6433">
              <w:rPr>
                <w:rFonts w:ascii="Arial" w:eastAsia="Times New Roman" w:hAnsi="Arial" w:cs="Arial"/>
                <w:b/>
                <w:bCs/>
                <w:color w:val="000000"/>
                <w:sz w:val="12"/>
                <w:szCs w:val="12"/>
                <w:lang w:val="es-US" w:eastAsia="es-US"/>
              </w:rPr>
              <w:t>% EJECUTADO</w:t>
            </w:r>
          </w:p>
        </w:tc>
      </w:tr>
      <w:tr w:rsidR="00DF6433" w:rsidRPr="00DF6433" w14:paraId="3B61FE36" w14:textId="77777777" w:rsidTr="00101172">
        <w:trPr>
          <w:trHeight w:val="243"/>
        </w:trPr>
        <w:tc>
          <w:tcPr>
            <w:tcW w:w="80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0149777D" w14:textId="77777777" w:rsidR="00DF6433" w:rsidRPr="00DF6433" w:rsidRDefault="00DF6433" w:rsidP="00DF6433">
            <w:pPr>
              <w:spacing w:after="0" w:line="240" w:lineRule="auto"/>
              <w:rPr>
                <w:rFonts w:ascii="Arial" w:eastAsia="Times New Roman" w:hAnsi="Arial" w:cs="Arial"/>
                <w:b/>
                <w:bCs/>
                <w:color w:val="000000"/>
                <w:sz w:val="12"/>
                <w:szCs w:val="12"/>
                <w:lang w:val="es-US" w:eastAsia="es-US"/>
              </w:rPr>
            </w:pPr>
          </w:p>
        </w:tc>
        <w:tc>
          <w:tcPr>
            <w:tcW w:w="4717"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7A79A1A4" w14:textId="77777777" w:rsidR="00DF6433" w:rsidRPr="00DF6433" w:rsidRDefault="00DF6433" w:rsidP="00DF6433">
            <w:pPr>
              <w:spacing w:after="0" w:line="240" w:lineRule="auto"/>
              <w:rPr>
                <w:rFonts w:ascii="Arial" w:eastAsia="Times New Roman" w:hAnsi="Arial" w:cs="Arial"/>
                <w:b/>
                <w:bCs/>
                <w:color w:val="000000"/>
                <w:sz w:val="12"/>
                <w:szCs w:val="12"/>
                <w:lang w:val="es-US" w:eastAsia="es-US"/>
              </w:rPr>
            </w:pPr>
          </w:p>
        </w:tc>
        <w:tc>
          <w:tcPr>
            <w:tcW w:w="1287" w:type="dxa"/>
            <w:vMerge/>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273B095E" w14:textId="77777777" w:rsidR="00DF6433" w:rsidRPr="00DF6433" w:rsidRDefault="00DF6433" w:rsidP="00DF6433">
            <w:pPr>
              <w:spacing w:after="0" w:line="240" w:lineRule="auto"/>
              <w:rPr>
                <w:rFonts w:ascii="Arial" w:eastAsia="Times New Roman" w:hAnsi="Arial" w:cs="Arial"/>
                <w:b/>
                <w:bCs/>
                <w:color w:val="000000"/>
                <w:sz w:val="12"/>
                <w:szCs w:val="12"/>
                <w:lang w:val="es-US" w:eastAsia="es-US"/>
              </w:rPr>
            </w:pPr>
          </w:p>
        </w:tc>
        <w:tc>
          <w:tcPr>
            <w:tcW w:w="1474" w:type="dxa"/>
            <w:vMerge/>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1EE312AC" w14:textId="77777777" w:rsidR="00DF6433" w:rsidRPr="00DF6433" w:rsidRDefault="00DF6433" w:rsidP="00DF6433">
            <w:pPr>
              <w:spacing w:after="0" w:line="240" w:lineRule="auto"/>
              <w:rPr>
                <w:rFonts w:ascii="Arial" w:eastAsia="Times New Roman" w:hAnsi="Arial" w:cs="Arial"/>
                <w:b/>
                <w:bCs/>
                <w:color w:val="000000"/>
                <w:sz w:val="12"/>
                <w:szCs w:val="12"/>
                <w:lang w:val="es-US" w:eastAsia="es-US"/>
              </w:rPr>
            </w:pPr>
          </w:p>
        </w:tc>
        <w:tc>
          <w:tcPr>
            <w:tcW w:w="1219" w:type="dxa"/>
            <w:vMerge/>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04217E99" w14:textId="77777777" w:rsidR="00DF6433" w:rsidRPr="00DF6433" w:rsidRDefault="00DF6433" w:rsidP="00DF6433">
            <w:pPr>
              <w:spacing w:after="0" w:line="240" w:lineRule="auto"/>
              <w:rPr>
                <w:rFonts w:ascii="Arial" w:eastAsia="Times New Roman" w:hAnsi="Arial" w:cs="Arial"/>
                <w:b/>
                <w:bCs/>
                <w:color w:val="000000"/>
                <w:sz w:val="12"/>
                <w:szCs w:val="12"/>
                <w:lang w:val="es-US" w:eastAsia="es-US"/>
              </w:rPr>
            </w:pPr>
          </w:p>
        </w:tc>
        <w:tc>
          <w:tcPr>
            <w:tcW w:w="1134" w:type="dxa"/>
            <w:vMerge/>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14026FAD" w14:textId="77777777" w:rsidR="00DF6433" w:rsidRPr="00DF6433" w:rsidRDefault="00DF6433" w:rsidP="00DF6433">
            <w:pPr>
              <w:spacing w:after="0" w:line="240" w:lineRule="auto"/>
              <w:rPr>
                <w:rFonts w:ascii="Arial" w:eastAsia="Times New Roman" w:hAnsi="Arial" w:cs="Arial"/>
                <w:b/>
                <w:bCs/>
                <w:color w:val="000000"/>
                <w:sz w:val="12"/>
                <w:szCs w:val="12"/>
                <w:lang w:val="es-US" w:eastAsia="es-US"/>
              </w:rPr>
            </w:pPr>
          </w:p>
        </w:tc>
        <w:tc>
          <w:tcPr>
            <w:tcW w:w="793" w:type="dxa"/>
            <w:vMerge/>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3C830D40" w14:textId="77777777" w:rsidR="00DF6433" w:rsidRPr="00DF6433" w:rsidRDefault="00DF6433" w:rsidP="00DF6433">
            <w:pPr>
              <w:spacing w:after="0" w:line="240" w:lineRule="auto"/>
              <w:rPr>
                <w:rFonts w:ascii="Arial" w:eastAsia="Times New Roman" w:hAnsi="Arial" w:cs="Arial"/>
                <w:b/>
                <w:bCs/>
                <w:color w:val="000000"/>
                <w:sz w:val="12"/>
                <w:szCs w:val="12"/>
                <w:lang w:val="es-US" w:eastAsia="es-US"/>
              </w:rPr>
            </w:pPr>
          </w:p>
        </w:tc>
        <w:tc>
          <w:tcPr>
            <w:tcW w:w="193" w:type="dxa"/>
            <w:tcBorders>
              <w:top w:val="nil"/>
              <w:left w:val="nil"/>
              <w:bottom w:val="nil"/>
              <w:right w:val="nil"/>
            </w:tcBorders>
            <w:shd w:val="clear" w:color="auto" w:fill="auto"/>
            <w:noWrap/>
            <w:vAlign w:val="bottom"/>
            <w:hideMark/>
          </w:tcPr>
          <w:p w14:paraId="0AA01C15" w14:textId="77777777" w:rsidR="00DF6433" w:rsidRPr="00DF6433" w:rsidRDefault="00DF6433" w:rsidP="00DF6433">
            <w:pPr>
              <w:spacing w:after="0" w:line="240" w:lineRule="auto"/>
              <w:jc w:val="center"/>
              <w:rPr>
                <w:rFonts w:ascii="Arial" w:eastAsia="Times New Roman" w:hAnsi="Arial" w:cs="Arial"/>
                <w:b/>
                <w:bCs/>
                <w:color w:val="000000"/>
                <w:sz w:val="14"/>
                <w:szCs w:val="14"/>
                <w:lang w:val="es-US" w:eastAsia="es-US"/>
              </w:rPr>
            </w:pPr>
          </w:p>
        </w:tc>
      </w:tr>
      <w:tr w:rsidR="00DF6433" w:rsidRPr="00DF6433" w14:paraId="0144075A" w14:textId="77777777" w:rsidTr="00101172">
        <w:trPr>
          <w:trHeight w:val="313"/>
        </w:trPr>
        <w:tc>
          <w:tcPr>
            <w:tcW w:w="801"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39623A61" w14:textId="77777777" w:rsidR="00DF6433" w:rsidRPr="00D923CC" w:rsidRDefault="00DF6433" w:rsidP="00DF6433">
            <w:pPr>
              <w:spacing w:after="0" w:line="240" w:lineRule="auto"/>
              <w:rPr>
                <w:rFonts w:ascii="Arial" w:eastAsia="Times New Roman" w:hAnsi="Arial" w:cs="Arial"/>
                <w:b/>
                <w:bCs/>
                <w:color w:val="000000"/>
                <w:sz w:val="14"/>
                <w:szCs w:val="14"/>
                <w:lang w:val="es-US" w:eastAsia="es-US"/>
              </w:rPr>
            </w:pPr>
            <w:r w:rsidRPr="00D923CC">
              <w:rPr>
                <w:rFonts w:ascii="Arial" w:eastAsia="Times New Roman" w:hAnsi="Arial" w:cs="Arial"/>
                <w:sz w:val="14"/>
                <w:szCs w:val="14"/>
                <w:lang w:val="es-US" w:eastAsia="es-US"/>
              </w:rPr>
              <w:t>0</w:t>
            </w:r>
          </w:p>
        </w:tc>
        <w:tc>
          <w:tcPr>
            <w:tcW w:w="4717" w:type="dxa"/>
            <w:tcBorders>
              <w:top w:val="nil"/>
              <w:left w:val="nil"/>
              <w:bottom w:val="single" w:sz="4" w:space="0" w:color="auto"/>
              <w:right w:val="single" w:sz="8" w:space="0" w:color="auto"/>
            </w:tcBorders>
            <w:shd w:val="clear" w:color="auto" w:fill="D9D9D9" w:themeFill="background1" w:themeFillShade="D9"/>
            <w:noWrap/>
            <w:vAlign w:val="center"/>
            <w:hideMark/>
          </w:tcPr>
          <w:p w14:paraId="08667023" w14:textId="77777777" w:rsidR="00DF6433" w:rsidRPr="00D923CC" w:rsidRDefault="00DF6433" w:rsidP="00DF6433">
            <w:pPr>
              <w:spacing w:after="0" w:line="240" w:lineRule="auto"/>
              <w:rPr>
                <w:rFonts w:ascii="Arial" w:eastAsia="Times New Roman" w:hAnsi="Arial" w:cs="Arial"/>
                <w:b/>
                <w:bCs/>
                <w:color w:val="000000"/>
                <w:sz w:val="14"/>
                <w:szCs w:val="14"/>
                <w:lang w:val="es-US" w:eastAsia="es-US"/>
              </w:rPr>
            </w:pPr>
            <w:r w:rsidRPr="00D923CC">
              <w:rPr>
                <w:rFonts w:ascii="Arial" w:eastAsia="Times New Roman" w:hAnsi="Arial" w:cs="Arial"/>
                <w:b/>
                <w:bCs/>
                <w:color w:val="000000"/>
                <w:sz w:val="14"/>
                <w:szCs w:val="14"/>
                <w:lang w:val="es-US" w:eastAsia="es-US"/>
              </w:rPr>
              <w:t>Remuneraciones</w:t>
            </w:r>
          </w:p>
        </w:tc>
        <w:tc>
          <w:tcPr>
            <w:tcW w:w="1287" w:type="dxa"/>
            <w:tcBorders>
              <w:top w:val="nil"/>
              <w:left w:val="nil"/>
              <w:bottom w:val="single" w:sz="4" w:space="0" w:color="auto"/>
              <w:right w:val="single" w:sz="4" w:space="0" w:color="auto"/>
            </w:tcBorders>
            <w:shd w:val="clear" w:color="auto" w:fill="D9D9D9" w:themeFill="background1" w:themeFillShade="D9"/>
            <w:noWrap/>
            <w:vAlign w:val="center"/>
            <w:hideMark/>
          </w:tcPr>
          <w:p w14:paraId="5CE89A79" w14:textId="21E03319" w:rsidR="00DF6433" w:rsidRPr="00D923CC" w:rsidRDefault="00DF6433" w:rsidP="00DF6433">
            <w:pPr>
              <w:spacing w:after="0" w:line="240" w:lineRule="auto"/>
              <w:jc w:val="right"/>
              <w:rPr>
                <w:rFonts w:ascii="Arial" w:eastAsia="Times New Roman" w:hAnsi="Arial" w:cs="Arial"/>
                <w:b/>
                <w:bCs/>
                <w:color w:val="000000"/>
                <w:sz w:val="14"/>
                <w:szCs w:val="14"/>
                <w:lang w:val="es-US" w:eastAsia="es-US"/>
              </w:rPr>
            </w:pPr>
            <w:r w:rsidRPr="00D923CC">
              <w:rPr>
                <w:rFonts w:ascii="Arial" w:eastAsia="Times New Roman" w:hAnsi="Arial" w:cs="Arial"/>
                <w:b/>
                <w:bCs/>
                <w:color w:val="000000"/>
                <w:sz w:val="14"/>
                <w:szCs w:val="14"/>
                <w:lang w:val="es-US" w:eastAsia="es-US"/>
              </w:rPr>
              <w:t xml:space="preserve">              192,771,134 </w:t>
            </w:r>
          </w:p>
        </w:tc>
        <w:tc>
          <w:tcPr>
            <w:tcW w:w="1474" w:type="dxa"/>
            <w:tcBorders>
              <w:top w:val="nil"/>
              <w:left w:val="nil"/>
              <w:bottom w:val="single" w:sz="4" w:space="0" w:color="auto"/>
              <w:right w:val="single" w:sz="4" w:space="0" w:color="auto"/>
            </w:tcBorders>
            <w:shd w:val="clear" w:color="auto" w:fill="D9D9D9" w:themeFill="background1" w:themeFillShade="D9"/>
            <w:noWrap/>
            <w:vAlign w:val="center"/>
            <w:hideMark/>
          </w:tcPr>
          <w:p w14:paraId="627AF0CB" w14:textId="6DC36F63" w:rsidR="00DF6433" w:rsidRPr="00D923CC" w:rsidRDefault="00DF6433" w:rsidP="00DF6433">
            <w:pPr>
              <w:spacing w:after="0" w:line="240" w:lineRule="auto"/>
              <w:jc w:val="right"/>
              <w:rPr>
                <w:rFonts w:ascii="Arial" w:eastAsia="Times New Roman" w:hAnsi="Arial" w:cs="Arial"/>
                <w:b/>
                <w:bCs/>
                <w:color w:val="000000"/>
                <w:sz w:val="14"/>
                <w:szCs w:val="14"/>
                <w:lang w:val="es-US" w:eastAsia="es-US"/>
              </w:rPr>
            </w:pPr>
            <w:r w:rsidRPr="00D923CC">
              <w:rPr>
                <w:rFonts w:ascii="Arial" w:eastAsia="Times New Roman" w:hAnsi="Arial" w:cs="Arial"/>
                <w:b/>
                <w:bCs/>
                <w:color w:val="000000"/>
                <w:sz w:val="14"/>
                <w:szCs w:val="14"/>
                <w:lang w:val="es-US" w:eastAsia="es-US"/>
              </w:rPr>
              <w:t xml:space="preserve">       76,874,929 </w:t>
            </w:r>
          </w:p>
        </w:tc>
        <w:tc>
          <w:tcPr>
            <w:tcW w:w="1219" w:type="dxa"/>
            <w:tcBorders>
              <w:top w:val="nil"/>
              <w:left w:val="nil"/>
              <w:bottom w:val="single" w:sz="4" w:space="0" w:color="auto"/>
              <w:right w:val="single" w:sz="4" w:space="0" w:color="auto"/>
            </w:tcBorders>
            <w:shd w:val="clear" w:color="auto" w:fill="D9D9D9" w:themeFill="background1" w:themeFillShade="D9"/>
            <w:noWrap/>
            <w:vAlign w:val="center"/>
            <w:hideMark/>
          </w:tcPr>
          <w:p w14:paraId="0C1D69AD" w14:textId="2DF92BF1" w:rsidR="00DF6433" w:rsidRPr="00D923CC" w:rsidRDefault="00DF6433" w:rsidP="00DF6433">
            <w:pPr>
              <w:spacing w:after="0" w:line="240" w:lineRule="auto"/>
              <w:jc w:val="right"/>
              <w:rPr>
                <w:rFonts w:ascii="Arial" w:eastAsia="Times New Roman" w:hAnsi="Arial" w:cs="Arial"/>
                <w:b/>
                <w:bCs/>
                <w:color w:val="000000"/>
                <w:sz w:val="14"/>
                <w:szCs w:val="14"/>
                <w:lang w:val="es-US" w:eastAsia="es-US"/>
              </w:rPr>
            </w:pPr>
            <w:r w:rsidRPr="00D923CC">
              <w:rPr>
                <w:rFonts w:ascii="Arial" w:eastAsia="Times New Roman" w:hAnsi="Arial" w:cs="Arial"/>
                <w:b/>
                <w:bCs/>
                <w:color w:val="000000"/>
                <w:sz w:val="14"/>
                <w:szCs w:val="14"/>
                <w:lang w:val="es-US" w:eastAsia="es-US"/>
              </w:rPr>
              <w:t xml:space="preserve">     92,270,040</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5F6BC8B2" w14:textId="6FC115FC" w:rsidR="00DF6433" w:rsidRPr="00D923CC" w:rsidRDefault="00DF6433" w:rsidP="00DF6433">
            <w:pPr>
              <w:spacing w:after="0" w:line="240" w:lineRule="auto"/>
              <w:jc w:val="right"/>
              <w:rPr>
                <w:rFonts w:ascii="Arial" w:eastAsia="Times New Roman" w:hAnsi="Arial" w:cs="Arial"/>
                <w:b/>
                <w:bCs/>
                <w:color w:val="000000"/>
                <w:sz w:val="14"/>
                <w:szCs w:val="14"/>
                <w:lang w:val="es-US" w:eastAsia="es-US"/>
              </w:rPr>
            </w:pPr>
            <w:r w:rsidRPr="00D923CC">
              <w:rPr>
                <w:rFonts w:ascii="Arial" w:eastAsia="Times New Roman" w:hAnsi="Arial" w:cs="Arial"/>
                <w:b/>
                <w:bCs/>
                <w:color w:val="000000"/>
                <w:sz w:val="14"/>
                <w:szCs w:val="14"/>
                <w:lang w:val="es-US" w:eastAsia="es-US"/>
              </w:rPr>
              <w:t xml:space="preserve">  169,144,969</w:t>
            </w:r>
          </w:p>
        </w:tc>
        <w:tc>
          <w:tcPr>
            <w:tcW w:w="79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4FF2D01" w14:textId="77777777" w:rsidR="00DF6433" w:rsidRPr="00D923CC" w:rsidRDefault="00DF6433" w:rsidP="00DF6433">
            <w:pPr>
              <w:spacing w:after="0" w:line="240" w:lineRule="auto"/>
              <w:jc w:val="right"/>
              <w:rPr>
                <w:rFonts w:eastAsia="Times New Roman" w:cs="Calibri"/>
                <w:b/>
                <w:bCs/>
                <w:color w:val="000000"/>
                <w:sz w:val="14"/>
                <w:szCs w:val="14"/>
                <w:lang w:val="es-US" w:eastAsia="es-US"/>
              </w:rPr>
            </w:pPr>
            <w:r w:rsidRPr="00D923CC">
              <w:rPr>
                <w:rFonts w:eastAsia="Times New Roman" w:cs="Calibri"/>
                <w:b/>
                <w:bCs/>
                <w:color w:val="000000"/>
                <w:sz w:val="14"/>
                <w:szCs w:val="14"/>
                <w:lang w:val="es-US" w:eastAsia="es-US"/>
              </w:rPr>
              <w:t>87.74%</w:t>
            </w:r>
          </w:p>
        </w:tc>
        <w:tc>
          <w:tcPr>
            <w:tcW w:w="193" w:type="dxa"/>
            <w:vAlign w:val="center"/>
            <w:hideMark/>
          </w:tcPr>
          <w:p w14:paraId="0C6E5F20" w14:textId="77777777" w:rsidR="00DF6433" w:rsidRPr="00DF6433" w:rsidRDefault="00DF6433" w:rsidP="00DF6433">
            <w:pPr>
              <w:spacing w:after="0" w:line="240" w:lineRule="auto"/>
              <w:rPr>
                <w:rFonts w:ascii="Times New Roman" w:eastAsia="Times New Roman" w:hAnsi="Times New Roman"/>
                <w:sz w:val="14"/>
                <w:szCs w:val="14"/>
                <w:lang w:val="es-US" w:eastAsia="es-US"/>
              </w:rPr>
            </w:pPr>
          </w:p>
        </w:tc>
      </w:tr>
      <w:tr w:rsidR="00DF6433" w:rsidRPr="00DF6433" w14:paraId="07F59BF5" w14:textId="77777777" w:rsidTr="00101172">
        <w:trPr>
          <w:trHeight w:val="167"/>
        </w:trPr>
        <w:tc>
          <w:tcPr>
            <w:tcW w:w="801" w:type="dxa"/>
            <w:tcBorders>
              <w:top w:val="nil"/>
              <w:left w:val="single" w:sz="8" w:space="0" w:color="auto"/>
              <w:bottom w:val="single" w:sz="4" w:space="0" w:color="auto"/>
              <w:right w:val="single" w:sz="8" w:space="0" w:color="auto"/>
            </w:tcBorders>
            <w:shd w:val="clear" w:color="000000" w:fill="FFFFFF"/>
            <w:noWrap/>
            <w:vAlign w:val="center"/>
            <w:hideMark/>
          </w:tcPr>
          <w:p w14:paraId="29DAA811"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0.01.01</w:t>
            </w:r>
          </w:p>
        </w:tc>
        <w:tc>
          <w:tcPr>
            <w:tcW w:w="4717" w:type="dxa"/>
            <w:tcBorders>
              <w:top w:val="nil"/>
              <w:left w:val="nil"/>
              <w:bottom w:val="single" w:sz="4" w:space="0" w:color="auto"/>
              <w:right w:val="single" w:sz="8" w:space="0" w:color="auto"/>
            </w:tcBorders>
            <w:shd w:val="clear" w:color="000000" w:fill="FFFFFF"/>
            <w:noWrap/>
            <w:vAlign w:val="center"/>
            <w:hideMark/>
          </w:tcPr>
          <w:p w14:paraId="446E59A3"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Sueldos para cargos fijos</w:t>
            </w:r>
          </w:p>
        </w:tc>
        <w:tc>
          <w:tcPr>
            <w:tcW w:w="1287" w:type="dxa"/>
            <w:tcBorders>
              <w:top w:val="nil"/>
              <w:left w:val="nil"/>
              <w:bottom w:val="single" w:sz="4" w:space="0" w:color="auto"/>
              <w:right w:val="single" w:sz="4" w:space="0" w:color="auto"/>
            </w:tcBorders>
            <w:shd w:val="clear" w:color="000000" w:fill="FFFFFF"/>
            <w:noWrap/>
            <w:vAlign w:val="center"/>
            <w:hideMark/>
          </w:tcPr>
          <w:p w14:paraId="58718FCD" w14:textId="77777777" w:rsidR="00DF6433" w:rsidRPr="00DF6433" w:rsidRDefault="00DF6433" w:rsidP="00DF6433">
            <w:pPr>
              <w:spacing w:after="0" w:line="240" w:lineRule="auto"/>
              <w:jc w:val="right"/>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132,034,704</w:t>
            </w:r>
          </w:p>
        </w:tc>
        <w:tc>
          <w:tcPr>
            <w:tcW w:w="1474" w:type="dxa"/>
            <w:tcBorders>
              <w:top w:val="nil"/>
              <w:left w:val="nil"/>
              <w:bottom w:val="single" w:sz="4" w:space="0" w:color="auto"/>
              <w:right w:val="single" w:sz="4" w:space="0" w:color="auto"/>
            </w:tcBorders>
            <w:shd w:val="clear" w:color="000000" w:fill="FFFFFF"/>
            <w:noWrap/>
            <w:vAlign w:val="bottom"/>
            <w:hideMark/>
          </w:tcPr>
          <w:p w14:paraId="17A69BDE"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59,140,851 </w:t>
            </w:r>
          </w:p>
        </w:tc>
        <w:tc>
          <w:tcPr>
            <w:tcW w:w="1219" w:type="dxa"/>
            <w:tcBorders>
              <w:top w:val="nil"/>
              <w:left w:val="nil"/>
              <w:bottom w:val="single" w:sz="4" w:space="0" w:color="auto"/>
              <w:right w:val="single" w:sz="4" w:space="0" w:color="auto"/>
            </w:tcBorders>
            <w:shd w:val="clear" w:color="000000" w:fill="FFFFFF"/>
            <w:noWrap/>
            <w:vAlign w:val="bottom"/>
            <w:hideMark/>
          </w:tcPr>
          <w:p w14:paraId="0779C9C8"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63,382,896 </w:t>
            </w:r>
          </w:p>
        </w:tc>
        <w:tc>
          <w:tcPr>
            <w:tcW w:w="1134" w:type="dxa"/>
            <w:tcBorders>
              <w:top w:val="nil"/>
              <w:left w:val="nil"/>
              <w:bottom w:val="single" w:sz="4" w:space="0" w:color="auto"/>
              <w:right w:val="single" w:sz="4" w:space="0" w:color="auto"/>
            </w:tcBorders>
            <w:shd w:val="clear" w:color="000000" w:fill="FFFFFF"/>
            <w:noWrap/>
            <w:vAlign w:val="bottom"/>
            <w:hideMark/>
          </w:tcPr>
          <w:p w14:paraId="663EA358"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122,523,747 </w:t>
            </w:r>
          </w:p>
        </w:tc>
        <w:tc>
          <w:tcPr>
            <w:tcW w:w="793" w:type="dxa"/>
            <w:tcBorders>
              <w:top w:val="nil"/>
              <w:left w:val="nil"/>
              <w:bottom w:val="single" w:sz="4" w:space="0" w:color="auto"/>
              <w:right w:val="single" w:sz="4" w:space="0" w:color="auto"/>
            </w:tcBorders>
            <w:shd w:val="clear" w:color="000000" w:fill="FFFFFF"/>
            <w:noWrap/>
            <w:vAlign w:val="bottom"/>
            <w:hideMark/>
          </w:tcPr>
          <w:p w14:paraId="0C0D4ED3"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92.80%</w:t>
            </w:r>
          </w:p>
        </w:tc>
        <w:tc>
          <w:tcPr>
            <w:tcW w:w="193" w:type="dxa"/>
            <w:vAlign w:val="center"/>
            <w:hideMark/>
          </w:tcPr>
          <w:p w14:paraId="75959EAF" w14:textId="77777777" w:rsidR="00DF6433" w:rsidRPr="00DF6433" w:rsidRDefault="00DF6433" w:rsidP="00DF6433">
            <w:pPr>
              <w:spacing w:after="0" w:line="240" w:lineRule="auto"/>
              <w:rPr>
                <w:rFonts w:ascii="Times New Roman" w:eastAsia="Times New Roman" w:hAnsi="Times New Roman"/>
                <w:sz w:val="14"/>
                <w:szCs w:val="14"/>
                <w:lang w:val="es-US" w:eastAsia="es-US"/>
              </w:rPr>
            </w:pPr>
          </w:p>
        </w:tc>
      </w:tr>
      <w:tr w:rsidR="00DF6433" w:rsidRPr="00DF6433" w14:paraId="2D1856FE" w14:textId="77777777" w:rsidTr="00101172">
        <w:trPr>
          <w:trHeight w:val="167"/>
        </w:trPr>
        <w:tc>
          <w:tcPr>
            <w:tcW w:w="801" w:type="dxa"/>
            <w:tcBorders>
              <w:top w:val="nil"/>
              <w:left w:val="single" w:sz="8" w:space="0" w:color="auto"/>
              <w:bottom w:val="single" w:sz="4" w:space="0" w:color="auto"/>
              <w:right w:val="single" w:sz="8" w:space="0" w:color="auto"/>
            </w:tcBorders>
            <w:shd w:val="clear" w:color="000000" w:fill="FFFFFF"/>
            <w:noWrap/>
            <w:vAlign w:val="center"/>
            <w:hideMark/>
          </w:tcPr>
          <w:p w14:paraId="746CCD8F"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0.02.01</w:t>
            </w:r>
          </w:p>
        </w:tc>
        <w:tc>
          <w:tcPr>
            <w:tcW w:w="4717" w:type="dxa"/>
            <w:tcBorders>
              <w:top w:val="nil"/>
              <w:left w:val="nil"/>
              <w:bottom w:val="single" w:sz="4" w:space="0" w:color="auto"/>
              <w:right w:val="single" w:sz="8" w:space="0" w:color="auto"/>
            </w:tcBorders>
            <w:shd w:val="clear" w:color="000000" w:fill="FFFFFF"/>
            <w:noWrap/>
            <w:vAlign w:val="center"/>
            <w:hideMark/>
          </w:tcPr>
          <w:p w14:paraId="0D16D2B3"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Tiempo Extraordinario</w:t>
            </w:r>
          </w:p>
        </w:tc>
        <w:tc>
          <w:tcPr>
            <w:tcW w:w="1287" w:type="dxa"/>
            <w:tcBorders>
              <w:top w:val="nil"/>
              <w:left w:val="nil"/>
              <w:bottom w:val="single" w:sz="4" w:space="0" w:color="auto"/>
              <w:right w:val="single" w:sz="4" w:space="0" w:color="auto"/>
            </w:tcBorders>
            <w:shd w:val="clear" w:color="000000" w:fill="FFFFFF"/>
            <w:noWrap/>
            <w:vAlign w:val="center"/>
            <w:hideMark/>
          </w:tcPr>
          <w:p w14:paraId="3F9DD84C" w14:textId="77777777" w:rsidR="00DF6433" w:rsidRPr="00DF6433" w:rsidRDefault="00DF6433" w:rsidP="00DF6433">
            <w:pPr>
              <w:spacing w:after="0" w:line="240" w:lineRule="auto"/>
              <w:jc w:val="right"/>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5,521,420</w:t>
            </w:r>
          </w:p>
        </w:tc>
        <w:tc>
          <w:tcPr>
            <w:tcW w:w="1474" w:type="dxa"/>
            <w:tcBorders>
              <w:top w:val="nil"/>
              <w:left w:val="nil"/>
              <w:bottom w:val="single" w:sz="4" w:space="0" w:color="auto"/>
              <w:right w:val="single" w:sz="4" w:space="0" w:color="auto"/>
            </w:tcBorders>
            <w:shd w:val="clear" w:color="000000" w:fill="FFFFFF"/>
            <w:noWrap/>
            <w:vAlign w:val="bottom"/>
            <w:hideMark/>
          </w:tcPr>
          <w:p w14:paraId="257FA916"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13,231 </w:t>
            </w:r>
          </w:p>
        </w:tc>
        <w:tc>
          <w:tcPr>
            <w:tcW w:w="1219" w:type="dxa"/>
            <w:tcBorders>
              <w:top w:val="nil"/>
              <w:left w:val="nil"/>
              <w:bottom w:val="single" w:sz="4" w:space="0" w:color="auto"/>
              <w:right w:val="single" w:sz="4" w:space="0" w:color="auto"/>
            </w:tcBorders>
            <w:shd w:val="clear" w:color="000000" w:fill="FFFFFF"/>
            <w:noWrap/>
            <w:vAlign w:val="bottom"/>
            <w:hideMark/>
          </w:tcPr>
          <w:p w14:paraId="1C7AAB36"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454,177 </w:t>
            </w:r>
          </w:p>
        </w:tc>
        <w:tc>
          <w:tcPr>
            <w:tcW w:w="1134" w:type="dxa"/>
            <w:tcBorders>
              <w:top w:val="nil"/>
              <w:left w:val="nil"/>
              <w:bottom w:val="single" w:sz="4" w:space="0" w:color="auto"/>
              <w:right w:val="single" w:sz="4" w:space="0" w:color="auto"/>
            </w:tcBorders>
            <w:shd w:val="clear" w:color="000000" w:fill="FFFFFF"/>
            <w:noWrap/>
            <w:vAlign w:val="bottom"/>
            <w:hideMark/>
          </w:tcPr>
          <w:p w14:paraId="2906ED64"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467,408 </w:t>
            </w:r>
          </w:p>
        </w:tc>
        <w:tc>
          <w:tcPr>
            <w:tcW w:w="793" w:type="dxa"/>
            <w:tcBorders>
              <w:top w:val="nil"/>
              <w:left w:val="nil"/>
              <w:bottom w:val="single" w:sz="4" w:space="0" w:color="auto"/>
              <w:right w:val="single" w:sz="4" w:space="0" w:color="auto"/>
            </w:tcBorders>
            <w:shd w:val="clear" w:color="000000" w:fill="FFFFFF"/>
            <w:noWrap/>
            <w:vAlign w:val="bottom"/>
            <w:hideMark/>
          </w:tcPr>
          <w:p w14:paraId="09CDE6B4"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8.47%</w:t>
            </w:r>
          </w:p>
        </w:tc>
        <w:tc>
          <w:tcPr>
            <w:tcW w:w="193" w:type="dxa"/>
            <w:vAlign w:val="center"/>
            <w:hideMark/>
          </w:tcPr>
          <w:p w14:paraId="3B1844E8" w14:textId="77777777" w:rsidR="00DF6433" w:rsidRPr="00DF6433" w:rsidRDefault="00DF6433" w:rsidP="00DF6433">
            <w:pPr>
              <w:spacing w:after="0" w:line="240" w:lineRule="auto"/>
              <w:rPr>
                <w:rFonts w:ascii="Times New Roman" w:eastAsia="Times New Roman" w:hAnsi="Times New Roman"/>
                <w:sz w:val="14"/>
                <w:szCs w:val="14"/>
                <w:lang w:val="es-US" w:eastAsia="es-US"/>
              </w:rPr>
            </w:pPr>
          </w:p>
        </w:tc>
      </w:tr>
      <w:tr w:rsidR="00DF6433" w:rsidRPr="00DF6433" w14:paraId="3F4869D7" w14:textId="77777777" w:rsidTr="00101172">
        <w:trPr>
          <w:trHeight w:val="167"/>
        </w:trPr>
        <w:tc>
          <w:tcPr>
            <w:tcW w:w="801" w:type="dxa"/>
            <w:tcBorders>
              <w:top w:val="nil"/>
              <w:left w:val="single" w:sz="8" w:space="0" w:color="auto"/>
              <w:bottom w:val="single" w:sz="4" w:space="0" w:color="auto"/>
              <w:right w:val="single" w:sz="8" w:space="0" w:color="auto"/>
            </w:tcBorders>
            <w:shd w:val="clear" w:color="000000" w:fill="FFFFFF"/>
            <w:noWrap/>
            <w:vAlign w:val="center"/>
            <w:hideMark/>
          </w:tcPr>
          <w:p w14:paraId="19CE1888"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0.03.03</w:t>
            </w:r>
          </w:p>
        </w:tc>
        <w:tc>
          <w:tcPr>
            <w:tcW w:w="4717" w:type="dxa"/>
            <w:tcBorders>
              <w:top w:val="nil"/>
              <w:left w:val="nil"/>
              <w:bottom w:val="single" w:sz="4" w:space="0" w:color="auto"/>
              <w:right w:val="single" w:sz="8" w:space="0" w:color="auto"/>
            </w:tcBorders>
            <w:shd w:val="clear" w:color="000000" w:fill="FFFFFF"/>
            <w:noWrap/>
            <w:vAlign w:val="center"/>
            <w:hideMark/>
          </w:tcPr>
          <w:p w14:paraId="128FCD1C"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Decimotercer mes</w:t>
            </w:r>
          </w:p>
        </w:tc>
        <w:tc>
          <w:tcPr>
            <w:tcW w:w="1287" w:type="dxa"/>
            <w:tcBorders>
              <w:top w:val="nil"/>
              <w:left w:val="nil"/>
              <w:bottom w:val="single" w:sz="4" w:space="0" w:color="auto"/>
              <w:right w:val="single" w:sz="4" w:space="0" w:color="auto"/>
            </w:tcBorders>
            <w:shd w:val="clear" w:color="000000" w:fill="FFFFFF"/>
            <w:noWrap/>
            <w:vAlign w:val="center"/>
            <w:hideMark/>
          </w:tcPr>
          <w:p w14:paraId="31BC6B63" w14:textId="77777777" w:rsidR="00DF6433" w:rsidRPr="00DF6433" w:rsidRDefault="00DF6433" w:rsidP="00DF6433">
            <w:pPr>
              <w:spacing w:after="0" w:line="240" w:lineRule="auto"/>
              <w:jc w:val="right"/>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11,431,721</w:t>
            </w:r>
          </w:p>
        </w:tc>
        <w:tc>
          <w:tcPr>
            <w:tcW w:w="1474" w:type="dxa"/>
            <w:tcBorders>
              <w:top w:val="nil"/>
              <w:left w:val="nil"/>
              <w:bottom w:val="single" w:sz="4" w:space="0" w:color="auto"/>
              <w:right w:val="single" w:sz="4" w:space="0" w:color="auto"/>
            </w:tcBorders>
            <w:shd w:val="clear" w:color="000000" w:fill="FFFFFF"/>
            <w:noWrap/>
            <w:vAlign w:val="bottom"/>
            <w:hideMark/>
          </w:tcPr>
          <w:p w14:paraId="247081FE"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146,310 </w:t>
            </w:r>
          </w:p>
        </w:tc>
        <w:tc>
          <w:tcPr>
            <w:tcW w:w="1219" w:type="dxa"/>
            <w:tcBorders>
              <w:top w:val="nil"/>
              <w:left w:val="nil"/>
              <w:bottom w:val="single" w:sz="4" w:space="0" w:color="auto"/>
              <w:right w:val="single" w:sz="4" w:space="0" w:color="auto"/>
            </w:tcBorders>
            <w:shd w:val="clear" w:color="000000" w:fill="FFFFFF"/>
            <w:noWrap/>
            <w:vAlign w:val="bottom"/>
            <w:hideMark/>
          </w:tcPr>
          <w:p w14:paraId="744C074F"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9,880,246 </w:t>
            </w:r>
          </w:p>
        </w:tc>
        <w:tc>
          <w:tcPr>
            <w:tcW w:w="1134" w:type="dxa"/>
            <w:tcBorders>
              <w:top w:val="nil"/>
              <w:left w:val="nil"/>
              <w:bottom w:val="single" w:sz="4" w:space="0" w:color="auto"/>
              <w:right w:val="single" w:sz="4" w:space="0" w:color="auto"/>
            </w:tcBorders>
            <w:shd w:val="clear" w:color="000000" w:fill="FFFFFF"/>
            <w:noWrap/>
            <w:vAlign w:val="bottom"/>
            <w:hideMark/>
          </w:tcPr>
          <w:p w14:paraId="23C162F4"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10,026,556 </w:t>
            </w:r>
          </w:p>
        </w:tc>
        <w:tc>
          <w:tcPr>
            <w:tcW w:w="793" w:type="dxa"/>
            <w:tcBorders>
              <w:top w:val="nil"/>
              <w:left w:val="nil"/>
              <w:bottom w:val="single" w:sz="4" w:space="0" w:color="auto"/>
              <w:right w:val="single" w:sz="4" w:space="0" w:color="auto"/>
            </w:tcBorders>
            <w:shd w:val="clear" w:color="000000" w:fill="FFFFFF"/>
            <w:noWrap/>
            <w:vAlign w:val="bottom"/>
            <w:hideMark/>
          </w:tcPr>
          <w:p w14:paraId="4CFDEADB"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87.71%</w:t>
            </w:r>
          </w:p>
        </w:tc>
        <w:tc>
          <w:tcPr>
            <w:tcW w:w="193" w:type="dxa"/>
            <w:vAlign w:val="center"/>
            <w:hideMark/>
          </w:tcPr>
          <w:p w14:paraId="4427A096" w14:textId="77777777" w:rsidR="00DF6433" w:rsidRPr="00DF6433" w:rsidRDefault="00DF6433" w:rsidP="00DF6433">
            <w:pPr>
              <w:spacing w:after="0" w:line="240" w:lineRule="auto"/>
              <w:rPr>
                <w:rFonts w:ascii="Times New Roman" w:eastAsia="Times New Roman" w:hAnsi="Times New Roman"/>
                <w:sz w:val="14"/>
                <w:szCs w:val="14"/>
                <w:lang w:val="es-US" w:eastAsia="es-US"/>
              </w:rPr>
            </w:pPr>
          </w:p>
        </w:tc>
      </w:tr>
      <w:tr w:rsidR="00DF6433" w:rsidRPr="00DF6433" w14:paraId="0A6CB295" w14:textId="77777777" w:rsidTr="00101172">
        <w:trPr>
          <w:trHeight w:val="167"/>
        </w:trPr>
        <w:tc>
          <w:tcPr>
            <w:tcW w:w="801" w:type="dxa"/>
            <w:tcBorders>
              <w:top w:val="nil"/>
              <w:left w:val="single" w:sz="8" w:space="0" w:color="auto"/>
              <w:bottom w:val="single" w:sz="4" w:space="0" w:color="auto"/>
              <w:right w:val="single" w:sz="8" w:space="0" w:color="auto"/>
            </w:tcBorders>
            <w:shd w:val="clear" w:color="000000" w:fill="FFFFFF"/>
            <w:noWrap/>
            <w:vAlign w:val="center"/>
            <w:hideMark/>
          </w:tcPr>
          <w:p w14:paraId="581144A8"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0.04.01</w:t>
            </w:r>
          </w:p>
        </w:tc>
        <w:tc>
          <w:tcPr>
            <w:tcW w:w="4717" w:type="dxa"/>
            <w:tcBorders>
              <w:top w:val="nil"/>
              <w:left w:val="nil"/>
              <w:bottom w:val="single" w:sz="4" w:space="0" w:color="auto"/>
              <w:right w:val="single" w:sz="8" w:space="0" w:color="auto"/>
            </w:tcBorders>
            <w:shd w:val="clear" w:color="000000" w:fill="FFFFFF"/>
            <w:noWrap/>
            <w:vAlign w:val="center"/>
            <w:hideMark/>
          </w:tcPr>
          <w:p w14:paraId="2983BBEC"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Contribución patronal al Seguro de Salud de la Caja Costarricense del Seguro Social</w:t>
            </w:r>
          </w:p>
        </w:tc>
        <w:tc>
          <w:tcPr>
            <w:tcW w:w="1287" w:type="dxa"/>
            <w:tcBorders>
              <w:top w:val="nil"/>
              <w:left w:val="nil"/>
              <w:bottom w:val="single" w:sz="4" w:space="0" w:color="auto"/>
              <w:right w:val="single" w:sz="4" w:space="0" w:color="auto"/>
            </w:tcBorders>
            <w:shd w:val="clear" w:color="000000" w:fill="FFFFFF"/>
            <w:noWrap/>
            <w:vAlign w:val="center"/>
            <w:hideMark/>
          </w:tcPr>
          <w:p w14:paraId="3DCD0CE0" w14:textId="77777777" w:rsidR="00DF6433" w:rsidRPr="00DF6433" w:rsidRDefault="00DF6433" w:rsidP="00DF6433">
            <w:pPr>
              <w:spacing w:after="0" w:line="240" w:lineRule="auto"/>
              <w:jc w:val="right"/>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12,723,851</w:t>
            </w:r>
          </w:p>
        </w:tc>
        <w:tc>
          <w:tcPr>
            <w:tcW w:w="1474" w:type="dxa"/>
            <w:tcBorders>
              <w:top w:val="nil"/>
              <w:left w:val="nil"/>
              <w:bottom w:val="single" w:sz="4" w:space="0" w:color="auto"/>
              <w:right w:val="single" w:sz="4" w:space="0" w:color="auto"/>
            </w:tcBorders>
            <w:shd w:val="clear" w:color="000000" w:fill="FFFFFF"/>
            <w:noWrap/>
            <w:vAlign w:val="bottom"/>
            <w:hideMark/>
          </w:tcPr>
          <w:p w14:paraId="7E73B36E"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5,657,390 </w:t>
            </w:r>
          </w:p>
        </w:tc>
        <w:tc>
          <w:tcPr>
            <w:tcW w:w="1219" w:type="dxa"/>
            <w:tcBorders>
              <w:top w:val="nil"/>
              <w:left w:val="nil"/>
              <w:bottom w:val="single" w:sz="4" w:space="0" w:color="auto"/>
              <w:right w:val="single" w:sz="4" w:space="0" w:color="auto"/>
            </w:tcBorders>
            <w:shd w:val="clear" w:color="000000" w:fill="FFFFFF"/>
            <w:noWrap/>
            <w:vAlign w:val="bottom"/>
            <w:hideMark/>
          </w:tcPr>
          <w:p w14:paraId="153B5F13"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5,767,610 </w:t>
            </w:r>
          </w:p>
        </w:tc>
        <w:tc>
          <w:tcPr>
            <w:tcW w:w="1134" w:type="dxa"/>
            <w:tcBorders>
              <w:top w:val="nil"/>
              <w:left w:val="nil"/>
              <w:bottom w:val="single" w:sz="4" w:space="0" w:color="auto"/>
              <w:right w:val="single" w:sz="4" w:space="0" w:color="auto"/>
            </w:tcBorders>
            <w:shd w:val="clear" w:color="000000" w:fill="FFFFFF"/>
            <w:noWrap/>
            <w:vAlign w:val="bottom"/>
            <w:hideMark/>
          </w:tcPr>
          <w:p w14:paraId="21BB21E3"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11,425,000 </w:t>
            </w:r>
          </w:p>
        </w:tc>
        <w:tc>
          <w:tcPr>
            <w:tcW w:w="793" w:type="dxa"/>
            <w:tcBorders>
              <w:top w:val="nil"/>
              <w:left w:val="nil"/>
              <w:bottom w:val="single" w:sz="4" w:space="0" w:color="auto"/>
              <w:right w:val="single" w:sz="4" w:space="0" w:color="auto"/>
            </w:tcBorders>
            <w:shd w:val="clear" w:color="000000" w:fill="FFFFFF"/>
            <w:noWrap/>
            <w:vAlign w:val="bottom"/>
            <w:hideMark/>
          </w:tcPr>
          <w:p w14:paraId="230FCDF8"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89.79%</w:t>
            </w:r>
          </w:p>
        </w:tc>
        <w:tc>
          <w:tcPr>
            <w:tcW w:w="193" w:type="dxa"/>
            <w:vAlign w:val="center"/>
            <w:hideMark/>
          </w:tcPr>
          <w:p w14:paraId="305D6807" w14:textId="77777777" w:rsidR="00DF6433" w:rsidRPr="00DF6433" w:rsidRDefault="00DF6433" w:rsidP="00DF6433">
            <w:pPr>
              <w:spacing w:after="0" w:line="240" w:lineRule="auto"/>
              <w:rPr>
                <w:rFonts w:ascii="Times New Roman" w:eastAsia="Times New Roman" w:hAnsi="Times New Roman"/>
                <w:sz w:val="14"/>
                <w:szCs w:val="14"/>
                <w:lang w:val="es-US" w:eastAsia="es-US"/>
              </w:rPr>
            </w:pPr>
          </w:p>
        </w:tc>
      </w:tr>
      <w:tr w:rsidR="00DF6433" w:rsidRPr="00DF6433" w14:paraId="47334999" w14:textId="77777777" w:rsidTr="00101172">
        <w:trPr>
          <w:trHeight w:val="167"/>
        </w:trPr>
        <w:tc>
          <w:tcPr>
            <w:tcW w:w="801" w:type="dxa"/>
            <w:tcBorders>
              <w:top w:val="nil"/>
              <w:left w:val="single" w:sz="8" w:space="0" w:color="auto"/>
              <w:bottom w:val="single" w:sz="4" w:space="0" w:color="auto"/>
              <w:right w:val="single" w:sz="8" w:space="0" w:color="auto"/>
            </w:tcBorders>
            <w:shd w:val="clear" w:color="000000" w:fill="FFFFFF"/>
            <w:noWrap/>
            <w:vAlign w:val="center"/>
            <w:hideMark/>
          </w:tcPr>
          <w:p w14:paraId="070BB009"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0.04.02</w:t>
            </w:r>
          </w:p>
        </w:tc>
        <w:tc>
          <w:tcPr>
            <w:tcW w:w="4717" w:type="dxa"/>
            <w:tcBorders>
              <w:top w:val="nil"/>
              <w:left w:val="nil"/>
              <w:bottom w:val="single" w:sz="4" w:space="0" w:color="auto"/>
              <w:right w:val="single" w:sz="8" w:space="0" w:color="auto"/>
            </w:tcBorders>
            <w:shd w:val="clear" w:color="000000" w:fill="FFFFFF"/>
            <w:noWrap/>
            <w:vAlign w:val="center"/>
            <w:hideMark/>
          </w:tcPr>
          <w:p w14:paraId="666CFBB2"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Contribución Patronal al Instituto Mixto de Ayuda Social</w:t>
            </w:r>
          </w:p>
        </w:tc>
        <w:tc>
          <w:tcPr>
            <w:tcW w:w="1287" w:type="dxa"/>
            <w:tcBorders>
              <w:top w:val="nil"/>
              <w:left w:val="nil"/>
              <w:bottom w:val="single" w:sz="4" w:space="0" w:color="auto"/>
              <w:right w:val="single" w:sz="4" w:space="0" w:color="auto"/>
            </w:tcBorders>
            <w:shd w:val="clear" w:color="000000" w:fill="FFFFFF"/>
            <w:noWrap/>
            <w:vAlign w:val="center"/>
            <w:hideMark/>
          </w:tcPr>
          <w:p w14:paraId="7E00BEDE" w14:textId="77777777" w:rsidR="00DF6433" w:rsidRPr="00DF6433" w:rsidRDefault="00DF6433" w:rsidP="00DF6433">
            <w:pPr>
              <w:spacing w:after="0" w:line="240" w:lineRule="auto"/>
              <w:jc w:val="right"/>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687,691</w:t>
            </w:r>
          </w:p>
        </w:tc>
        <w:tc>
          <w:tcPr>
            <w:tcW w:w="1474" w:type="dxa"/>
            <w:tcBorders>
              <w:top w:val="nil"/>
              <w:left w:val="nil"/>
              <w:bottom w:val="single" w:sz="4" w:space="0" w:color="auto"/>
              <w:right w:val="single" w:sz="4" w:space="0" w:color="auto"/>
            </w:tcBorders>
            <w:shd w:val="clear" w:color="000000" w:fill="FFFFFF"/>
            <w:noWrap/>
            <w:vAlign w:val="bottom"/>
            <w:hideMark/>
          </w:tcPr>
          <w:p w14:paraId="7DA7375E"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305,391 </w:t>
            </w:r>
          </w:p>
        </w:tc>
        <w:tc>
          <w:tcPr>
            <w:tcW w:w="1219" w:type="dxa"/>
            <w:tcBorders>
              <w:top w:val="nil"/>
              <w:left w:val="nil"/>
              <w:bottom w:val="single" w:sz="4" w:space="0" w:color="auto"/>
              <w:right w:val="single" w:sz="4" w:space="0" w:color="auto"/>
            </w:tcBorders>
            <w:shd w:val="clear" w:color="000000" w:fill="FFFFFF"/>
            <w:noWrap/>
            <w:vAlign w:val="bottom"/>
            <w:hideMark/>
          </w:tcPr>
          <w:p w14:paraId="1B96986A"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311,767 </w:t>
            </w:r>
          </w:p>
        </w:tc>
        <w:tc>
          <w:tcPr>
            <w:tcW w:w="1134" w:type="dxa"/>
            <w:tcBorders>
              <w:top w:val="nil"/>
              <w:left w:val="nil"/>
              <w:bottom w:val="single" w:sz="4" w:space="0" w:color="auto"/>
              <w:right w:val="single" w:sz="4" w:space="0" w:color="auto"/>
            </w:tcBorders>
            <w:shd w:val="clear" w:color="000000" w:fill="FFFFFF"/>
            <w:noWrap/>
            <w:vAlign w:val="bottom"/>
            <w:hideMark/>
          </w:tcPr>
          <w:p w14:paraId="7B61D6E6"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617,158 </w:t>
            </w:r>
          </w:p>
        </w:tc>
        <w:tc>
          <w:tcPr>
            <w:tcW w:w="793" w:type="dxa"/>
            <w:tcBorders>
              <w:top w:val="nil"/>
              <w:left w:val="nil"/>
              <w:bottom w:val="single" w:sz="4" w:space="0" w:color="auto"/>
              <w:right w:val="single" w:sz="4" w:space="0" w:color="auto"/>
            </w:tcBorders>
            <w:shd w:val="clear" w:color="000000" w:fill="FFFFFF"/>
            <w:noWrap/>
            <w:vAlign w:val="bottom"/>
            <w:hideMark/>
          </w:tcPr>
          <w:p w14:paraId="737E1ED3"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89.74%</w:t>
            </w:r>
          </w:p>
        </w:tc>
        <w:tc>
          <w:tcPr>
            <w:tcW w:w="193" w:type="dxa"/>
            <w:vAlign w:val="center"/>
            <w:hideMark/>
          </w:tcPr>
          <w:p w14:paraId="48718CCC" w14:textId="77777777" w:rsidR="00DF6433" w:rsidRPr="00DF6433" w:rsidRDefault="00DF6433" w:rsidP="00DF6433">
            <w:pPr>
              <w:spacing w:after="0" w:line="240" w:lineRule="auto"/>
              <w:rPr>
                <w:rFonts w:ascii="Times New Roman" w:eastAsia="Times New Roman" w:hAnsi="Times New Roman"/>
                <w:sz w:val="14"/>
                <w:szCs w:val="14"/>
                <w:lang w:val="es-US" w:eastAsia="es-US"/>
              </w:rPr>
            </w:pPr>
          </w:p>
        </w:tc>
      </w:tr>
      <w:tr w:rsidR="00DF6433" w:rsidRPr="00DF6433" w14:paraId="4EC71966" w14:textId="77777777" w:rsidTr="00101172">
        <w:trPr>
          <w:trHeight w:val="167"/>
        </w:trPr>
        <w:tc>
          <w:tcPr>
            <w:tcW w:w="801" w:type="dxa"/>
            <w:tcBorders>
              <w:top w:val="nil"/>
              <w:left w:val="single" w:sz="8" w:space="0" w:color="auto"/>
              <w:bottom w:val="single" w:sz="4" w:space="0" w:color="auto"/>
              <w:right w:val="single" w:sz="8" w:space="0" w:color="auto"/>
            </w:tcBorders>
            <w:shd w:val="clear" w:color="000000" w:fill="FFFFFF"/>
            <w:noWrap/>
            <w:vAlign w:val="center"/>
            <w:hideMark/>
          </w:tcPr>
          <w:p w14:paraId="159B441B"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0.04.03</w:t>
            </w:r>
          </w:p>
        </w:tc>
        <w:tc>
          <w:tcPr>
            <w:tcW w:w="4717" w:type="dxa"/>
            <w:tcBorders>
              <w:top w:val="nil"/>
              <w:left w:val="nil"/>
              <w:bottom w:val="single" w:sz="4" w:space="0" w:color="auto"/>
              <w:right w:val="single" w:sz="8" w:space="0" w:color="auto"/>
            </w:tcBorders>
            <w:shd w:val="clear" w:color="000000" w:fill="FFFFFF"/>
            <w:noWrap/>
            <w:vAlign w:val="center"/>
            <w:hideMark/>
          </w:tcPr>
          <w:p w14:paraId="00908B44"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Contribución Patronal al Instituto Nacional de Aprendizaje</w:t>
            </w:r>
          </w:p>
        </w:tc>
        <w:tc>
          <w:tcPr>
            <w:tcW w:w="1287" w:type="dxa"/>
            <w:tcBorders>
              <w:top w:val="nil"/>
              <w:left w:val="nil"/>
              <w:bottom w:val="single" w:sz="4" w:space="0" w:color="auto"/>
              <w:right w:val="single" w:sz="4" w:space="0" w:color="auto"/>
            </w:tcBorders>
            <w:shd w:val="clear" w:color="000000" w:fill="FFFFFF"/>
            <w:noWrap/>
            <w:vAlign w:val="center"/>
            <w:hideMark/>
          </w:tcPr>
          <w:p w14:paraId="443B5FCF" w14:textId="77777777" w:rsidR="00DF6433" w:rsidRPr="00DF6433" w:rsidRDefault="00DF6433" w:rsidP="00DF6433">
            <w:pPr>
              <w:spacing w:after="0" w:line="240" w:lineRule="auto"/>
              <w:jc w:val="right"/>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2,063,241</w:t>
            </w:r>
          </w:p>
        </w:tc>
        <w:tc>
          <w:tcPr>
            <w:tcW w:w="1474" w:type="dxa"/>
            <w:tcBorders>
              <w:top w:val="nil"/>
              <w:left w:val="nil"/>
              <w:bottom w:val="single" w:sz="4" w:space="0" w:color="auto"/>
              <w:right w:val="single" w:sz="4" w:space="0" w:color="auto"/>
            </w:tcBorders>
            <w:shd w:val="clear" w:color="000000" w:fill="FFFFFF"/>
            <w:noWrap/>
            <w:vAlign w:val="bottom"/>
            <w:hideMark/>
          </w:tcPr>
          <w:p w14:paraId="34D75334"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916,171 </w:t>
            </w:r>
          </w:p>
        </w:tc>
        <w:tc>
          <w:tcPr>
            <w:tcW w:w="1219" w:type="dxa"/>
            <w:tcBorders>
              <w:top w:val="nil"/>
              <w:left w:val="nil"/>
              <w:bottom w:val="single" w:sz="4" w:space="0" w:color="auto"/>
              <w:right w:val="single" w:sz="4" w:space="0" w:color="auto"/>
            </w:tcBorders>
            <w:shd w:val="clear" w:color="000000" w:fill="FFFFFF"/>
            <w:noWrap/>
            <w:vAlign w:val="bottom"/>
            <w:hideMark/>
          </w:tcPr>
          <w:p w14:paraId="6509CE96"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935,289 </w:t>
            </w:r>
          </w:p>
        </w:tc>
        <w:tc>
          <w:tcPr>
            <w:tcW w:w="1134" w:type="dxa"/>
            <w:tcBorders>
              <w:top w:val="nil"/>
              <w:left w:val="nil"/>
              <w:bottom w:val="single" w:sz="4" w:space="0" w:color="auto"/>
              <w:right w:val="single" w:sz="4" w:space="0" w:color="auto"/>
            </w:tcBorders>
            <w:shd w:val="clear" w:color="000000" w:fill="FFFFFF"/>
            <w:noWrap/>
            <w:vAlign w:val="bottom"/>
            <w:hideMark/>
          </w:tcPr>
          <w:p w14:paraId="444736EB"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1,851,460 </w:t>
            </w:r>
          </w:p>
        </w:tc>
        <w:tc>
          <w:tcPr>
            <w:tcW w:w="793" w:type="dxa"/>
            <w:tcBorders>
              <w:top w:val="nil"/>
              <w:left w:val="nil"/>
              <w:bottom w:val="single" w:sz="4" w:space="0" w:color="auto"/>
              <w:right w:val="single" w:sz="4" w:space="0" w:color="auto"/>
            </w:tcBorders>
            <w:shd w:val="clear" w:color="000000" w:fill="FFFFFF"/>
            <w:noWrap/>
            <w:vAlign w:val="bottom"/>
            <w:hideMark/>
          </w:tcPr>
          <w:p w14:paraId="7B12BAD2"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89.74%</w:t>
            </w:r>
          </w:p>
        </w:tc>
        <w:tc>
          <w:tcPr>
            <w:tcW w:w="193" w:type="dxa"/>
            <w:vAlign w:val="center"/>
            <w:hideMark/>
          </w:tcPr>
          <w:p w14:paraId="1896083F" w14:textId="77777777" w:rsidR="00DF6433" w:rsidRPr="00DF6433" w:rsidRDefault="00DF6433" w:rsidP="00DF6433">
            <w:pPr>
              <w:spacing w:after="0" w:line="240" w:lineRule="auto"/>
              <w:rPr>
                <w:rFonts w:ascii="Times New Roman" w:eastAsia="Times New Roman" w:hAnsi="Times New Roman"/>
                <w:sz w:val="14"/>
                <w:szCs w:val="14"/>
                <w:lang w:val="es-US" w:eastAsia="es-US"/>
              </w:rPr>
            </w:pPr>
          </w:p>
        </w:tc>
      </w:tr>
      <w:tr w:rsidR="00DF6433" w:rsidRPr="00DF6433" w14:paraId="1422230D" w14:textId="77777777" w:rsidTr="00101172">
        <w:trPr>
          <w:trHeight w:val="167"/>
        </w:trPr>
        <w:tc>
          <w:tcPr>
            <w:tcW w:w="801" w:type="dxa"/>
            <w:tcBorders>
              <w:top w:val="nil"/>
              <w:left w:val="single" w:sz="8" w:space="0" w:color="auto"/>
              <w:bottom w:val="single" w:sz="4" w:space="0" w:color="auto"/>
              <w:right w:val="single" w:sz="8" w:space="0" w:color="auto"/>
            </w:tcBorders>
            <w:shd w:val="clear" w:color="000000" w:fill="FFFFFF"/>
            <w:noWrap/>
            <w:vAlign w:val="center"/>
            <w:hideMark/>
          </w:tcPr>
          <w:p w14:paraId="472646F4"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 xml:space="preserve">0.04.04 </w:t>
            </w:r>
          </w:p>
        </w:tc>
        <w:tc>
          <w:tcPr>
            <w:tcW w:w="4717" w:type="dxa"/>
            <w:tcBorders>
              <w:top w:val="nil"/>
              <w:left w:val="nil"/>
              <w:bottom w:val="single" w:sz="4" w:space="0" w:color="auto"/>
              <w:right w:val="single" w:sz="8" w:space="0" w:color="auto"/>
            </w:tcBorders>
            <w:shd w:val="clear" w:color="000000" w:fill="FFFFFF"/>
            <w:noWrap/>
            <w:vAlign w:val="center"/>
            <w:hideMark/>
          </w:tcPr>
          <w:p w14:paraId="227CE3DF"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Contribución Patronal al Fondo de Desarrollo Social y Asignaciones Familiares</w:t>
            </w:r>
          </w:p>
        </w:tc>
        <w:tc>
          <w:tcPr>
            <w:tcW w:w="1287" w:type="dxa"/>
            <w:tcBorders>
              <w:top w:val="nil"/>
              <w:left w:val="nil"/>
              <w:bottom w:val="single" w:sz="4" w:space="0" w:color="auto"/>
              <w:right w:val="single" w:sz="4" w:space="0" w:color="auto"/>
            </w:tcBorders>
            <w:shd w:val="clear" w:color="000000" w:fill="FFFFFF"/>
            <w:noWrap/>
            <w:vAlign w:val="center"/>
            <w:hideMark/>
          </w:tcPr>
          <w:p w14:paraId="2C3EA4B3" w14:textId="77777777" w:rsidR="00DF6433" w:rsidRPr="00DF6433" w:rsidRDefault="00DF6433" w:rsidP="00DF6433">
            <w:pPr>
              <w:spacing w:after="0" w:line="240" w:lineRule="auto"/>
              <w:jc w:val="right"/>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6,877,739</w:t>
            </w:r>
          </w:p>
        </w:tc>
        <w:tc>
          <w:tcPr>
            <w:tcW w:w="1474" w:type="dxa"/>
            <w:tcBorders>
              <w:top w:val="nil"/>
              <w:left w:val="nil"/>
              <w:bottom w:val="single" w:sz="4" w:space="0" w:color="auto"/>
              <w:right w:val="single" w:sz="4" w:space="0" w:color="auto"/>
            </w:tcBorders>
            <w:shd w:val="clear" w:color="000000" w:fill="FFFFFF"/>
            <w:noWrap/>
            <w:vAlign w:val="bottom"/>
            <w:hideMark/>
          </w:tcPr>
          <w:p w14:paraId="7A4133D3"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3,053,904 </w:t>
            </w:r>
          </w:p>
        </w:tc>
        <w:tc>
          <w:tcPr>
            <w:tcW w:w="1219" w:type="dxa"/>
            <w:tcBorders>
              <w:top w:val="nil"/>
              <w:left w:val="nil"/>
              <w:bottom w:val="single" w:sz="4" w:space="0" w:color="auto"/>
              <w:right w:val="single" w:sz="4" w:space="0" w:color="auto"/>
            </w:tcBorders>
            <w:shd w:val="clear" w:color="000000" w:fill="FFFFFF"/>
            <w:noWrap/>
            <w:vAlign w:val="bottom"/>
            <w:hideMark/>
          </w:tcPr>
          <w:p w14:paraId="47BA6834"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3,117,627 </w:t>
            </w:r>
          </w:p>
        </w:tc>
        <w:tc>
          <w:tcPr>
            <w:tcW w:w="1134" w:type="dxa"/>
            <w:tcBorders>
              <w:top w:val="nil"/>
              <w:left w:val="nil"/>
              <w:bottom w:val="single" w:sz="4" w:space="0" w:color="auto"/>
              <w:right w:val="single" w:sz="4" w:space="0" w:color="auto"/>
            </w:tcBorders>
            <w:shd w:val="clear" w:color="000000" w:fill="FFFFFF"/>
            <w:noWrap/>
            <w:vAlign w:val="bottom"/>
            <w:hideMark/>
          </w:tcPr>
          <w:p w14:paraId="553C6CA7"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6,171,531 </w:t>
            </w:r>
          </w:p>
        </w:tc>
        <w:tc>
          <w:tcPr>
            <w:tcW w:w="793" w:type="dxa"/>
            <w:tcBorders>
              <w:top w:val="nil"/>
              <w:left w:val="nil"/>
              <w:bottom w:val="single" w:sz="4" w:space="0" w:color="auto"/>
              <w:right w:val="single" w:sz="4" w:space="0" w:color="auto"/>
            </w:tcBorders>
            <w:shd w:val="clear" w:color="000000" w:fill="FFFFFF"/>
            <w:noWrap/>
            <w:vAlign w:val="bottom"/>
            <w:hideMark/>
          </w:tcPr>
          <w:p w14:paraId="0A2133BD"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89.73%</w:t>
            </w:r>
          </w:p>
        </w:tc>
        <w:tc>
          <w:tcPr>
            <w:tcW w:w="193" w:type="dxa"/>
            <w:vAlign w:val="center"/>
            <w:hideMark/>
          </w:tcPr>
          <w:p w14:paraId="36CA90CF" w14:textId="77777777" w:rsidR="00DF6433" w:rsidRPr="00DF6433" w:rsidRDefault="00DF6433" w:rsidP="00DF6433">
            <w:pPr>
              <w:spacing w:after="0" w:line="240" w:lineRule="auto"/>
              <w:rPr>
                <w:rFonts w:ascii="Times New Roman" w:eastAsia="Times New Roman" w:hAnsi="Times New Roman"/>
                <w:sz w:val="14"/>
                <w:szCs w:val="14"/>
                <w:lang w:val="es-US" w:eastAsia="es-US"/>
              </w:rPr>
            </w:pPr>
          </w:p>
        </w:tc>
      </w:tr>
      <w:tr w:rsidR="00DF6433" w:rsidRPr="00DF6433" w14:paraId="64BB4E20" w14:textId="77777777" w:rsidTr="00101172">
        <w:trPr>
          <w:trHeight w:val="167"/>
        </w:trPr>
        <w:tc>
          <w:tcPr>
            <w:tcW w:w="801" w:type="dxa"/>
            <w:tcBorders>
              <w:top w:val="nil"/>
              <w:left w:val="single" w:sz="8" w:space="0" w:color="auto"/>
              <w:bottom w:val="single" w:sz="4" w:space="0" w:color="auto"/>
              <w:right w:val="single" w:sz="8" w:space="0" w:color="auto"/>
            </w:tcBorders>
            <w:shd w:val="clear" w:color="000000" w:fill="FFFFFF"/>
            <w:noWrap/>
            <w:vAlign w:val="center"/>
            <w:hideMark/>
          </w:tcPr>
          <w:p w14:paraId="7CA778FE"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0.04.05</w:t>
            </w:r>
          </w:p>
        </w:tc>
        <w:tc>
          <w:tcPr>
            <w:tcW w:w="4717" w:type="dxa"/>
            <w:tcBorders>
              <w:top w:val="nil"/>
              <w:left w:val="nil"/>
              <w:bottom w:val="single" w:sz="4" w:space="0" w:color="auto"/>
              <w:right w:val="single" w:sz="8" w:space="0" w:color="auto"/>
            </w:tcBorders>
            <w:shd w:val="clear" w:color="000000" w:fill="FFFFFF"/>
            <w:noWrap/>
            <w:vAlign w:val="center"/>
            <w:hideMark/>
          </w:tcPr>
          <w:p w14:paraId="3FD9AF38"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Contribución patronal al Banco Popular y Desarrollo Comunal</w:t>
            </w:r>
          </w:p>
        </w:tc>
        <w:tc>
          <w:tcPr>
            <w:tcW w:w="1287" w:type="dxa"/>
            <w:tcBorders>
              <w:top w:val="nil"/>
              <w:left w:val="nil"/>
              <w:bottom w:val="single" w:sz="4" w:space="0" w:color="auto"/>
              <w:right w:val="single" w:sz="4" w:space="0" w:color="auto"/>
            </w:tcBorders>
            <w:shd w:val="clear" w:color="000000" w:fill="FFFFFF"/>
            <w:noWrap/>
            <w:vAlign w:val="center"/>
            <w:hideMark/>
          </w:tcPr>
          <w:p w14:paraId="1D23D66E" w14:textId="77777777" w:rsidR="00DF6433" w:rsidRPr="00DF6433" w:rsidRDefault="00DF6433" w:rsidP="00DF6433">
            <w:pPr>
              <w:spacing w:after="0" w:line="240" w:lineRule="auto"/>
              <w:jc w:val="right"/>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687,691</w:t>
            </w:r>
          </w:p>
        </w:tc>
        <w:tc>
          <w:tcPr>
            <w:tcW w:w="1474" w:type="dxa"/>
            <w:tcBorders>
              <w:top w:val="nil"/>
              <w:left w:val="nil"/>
              <w:bottom w:val="single" w:sz="4" w:space="0" w:color="auto"/>
              <w:right w:val="single" w:sz="4" w:space="0" w:color="auto"/>
            </w:tcBorders>
            <w:shd w:val="clear" w:color="000000" w:fill="FFFFFF"/>
            <w:noWrap/>
            <w:vAlign w:val="bottom"/>
            <w:hideMark/>
          </w:tcPr>
          <w:p w14:paraId="02E600B3"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305,390 </w:t>
            </w:r>
          </w:p>
        </w:tc>
        <w:tc>
          <w:tcPr>
            <w:tcW w:w="1219" w:type="dxa"/>
            <w:tcBorders>
              <w:top w:val="nil"/>
              <w:left w:val="nil"/>
              <w:bottom w:val="single" w:sz="4" w:space="0" w:color="auto"/>
              <w:right w:val="single" w:sz="4" w:space="0" w:color="auto"/>
            </w:tcBorders>
            <w:shd w:val="clear" w:color="000000" w:fill="FFFFFF"/>
            <w:noWrap/>
            <w:vAlign w:val="bottom"/>
            <w:hideMark/>
          </w:tcPr>
          <w:p w14:paraId="67E7F7B6"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311,760 </w:t>
            </w:r>
          </w:p>
        </w:tc>
        <w:tc>
          <w:tcPr>
            <w:tcW w:w="1134" w:type="dxa"/>
            <w:tcBorders>
              <w:top w:val="nil"/>
              <w:left w:val="nil"/>
              <w:bottom w:val="single" w:sz="4" w:space="0" w:color="auto"/>
              <w:right w:val="single" w:sz="4" w:space="0" w:color="auto"/>
            </w:tcBorders>
            <w:shd w:val="clear" w:color="000000" w:fill="FFFFFF"/>
            <w:noWrap/>
            <w:vAlign w:val="bottom"/>
            <w:hideMark/>
          </w:tcPr>
          <w:p w14:paraId="4916F9E7"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617,150 </w:t>
            </w:r>
          </w:p>
        </w:tc>
        <w:tc>
          <w:tcPr>
            <w:tcW w:w="793" w:type="dxa"/>
            <w:tcBorders>
              <w:top w:val="nil"/>
              <w:left w:val="nil"/>
              <w:bottom w:val="single" w:sz="4" w:space="0" w:color="auto"/>
              <w:right w:val="single" w:sz="4" w:space="0" w:color="auto"/>
            </w:tcBorders>
            <w:shd w:val="clear" w:color="000000" w:fill="FFFFFF"/>
            <w:noWrap/>
            <w:vAlign w:val="bottom"/>
            <w:hideMark/>
          </w:tcPr>
          <w:p w14:paraId="117DE544"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89.74%</w:t>
            </w:r>
          </w:p>
        </w:tc>
        <w:tc>
          <w:tcPr>
            <w:tcW w:w="193" w:type="dxa"/>
            <w:vAlign w:val="center"/>
            <w:hideMark/>
          </w:tcPr>
          <w:p w14:paraId="25D12D15" w14:textId="77777777" w:rsidR="00DF6433" w:rsidRPr="00DF6433" w:rsidRDefault="00DF6433" w:rsidP="00DF6433">
            <w:pPr>
              <w:spacing w:after="0" w:line="240" w:lineRule="auto"/>
              <w:rPr>
                <w:rFonts w:ascii="Times New Roman" w:eastAsia="Times New Roman" w:hAnsi="Times New Roman"/>
                <w:sz w:val="14"/>
                <w:szCs w:val="14"/>
                <w:lang w:val="es-US" w:eastAsia="es-US"/>
              </w:rPr>
            </w:pPr>
          </w:p>
        </w:tc>
      </w:tr>
      <w:tr w:rsidR="00DF6433" w:rsidRPr="00DF6433" w14:paraId="69911D46" w14:textId="77777777" w:rsidTr="00101172">
        <w:trPr>
          <w:trHeight w:val="167"/>
        </w:trPr>
        <w:tc>
          <w:tcPr>
            <w:tcW w:w="801" w:type="dxa"/>
            <w:tcBorders>
              <w:top w:val="nil"/>
              <w:left w:val="single" w:sz="8" w:space="0" w:color="auto"/>
              <w:bottom w:val="single" w:sz="4" w:space="0" w:color="auto"/>
              <w:right w:val="single" w:sz="8" w:space="0" w:color="auto"/>
            </w:tcBorders>
            <w:shd w:val="clear" w:color="000000" w:fill="FFFFFF"/>
            <w:noWrap/>
            <w:vAlign w:val="center"/>
            <w:hideMark/>
          </w:tcPr>
          <w:p w14:paraId="00B1171E"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0.05.01</w:t>
            </w:r>
          </w:p>
        </w:tc>
        <w:tc>
          <w:tcPr>
            <w:tcW w:w="4717" w:type="dxa"/>
            <w:tcBorders>
              <w:top w:val="nil"/>
              <w:left w:val="nil"/>
              <w:bottom w:val="single" w:sz="4" w:space="0" w:color="auto"/>
              <w:right w:val="single" w:sz="8" w:space="0" w:color="auto"/>
            </w:tcBorders>
            <w:shd w:val="clear" w:color="000000" w:fill="FFFFFF"/>
            <w:noWrap/>
            <w:vAlign w:val="center"/>
            <w:hideMark/>
          </w:tcPr>
          <w:p w14:paraId="24D0862F"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Contribución Patronal al Seguro de Pensiones de la Caja Costarricense del Seguro Social</w:t>
            </w:r>
          </w:p>
        </w:tc>
        <w:tc>
          <w:tcPr>
            <w:tcW w:w="1287" w:type="dxa"/>
            <w:tcBorders>
              <w:top w:val="nil"/>
              <w:left w:val="nil"/>
              <w:bottom w:val="single" w:sz="4" w:space="0" w:color="auto"/>
              <w:right w:val="single" w:sz="4" w:space="0" w:color="auto"/>
            </w:tcBorders>
            <w:shd w:val="clear" w:color="000000" w:fill="FFFFFF"/>
            <w:noWrap/>
            <w:vAlign w:val="center"/>
            <w:hideMark/>
          </w:tcPr>
          <w:p w14:paraId="6EB879F6" w14:textId="77777777" w:rsidR="00DF6433" w:rsidRPr="00DF6433" w:rsidRDefault="00DF6433" w:rsidP="00DF6433">
            <w:pPr>
              <w:spacing w:after="0" w:line="240" w:lineRule="auto"/>
              <w:jc w:val="right"/>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7,221,578</w:t>
            </w:r>
          </w:p>
        </w:tc>
        <w:tc>
          <w:tcPr>
            <w:tcW w:w="1474" w:type="dxa"/>
            <w:tcBorders>
              <w:top w:val="nil"/>
              <w:left w:val="nil"/>
              <w:bottom w:val="single" w:sz="4" w:space="0" w:color="auto"/>
              <w:right w:val="single" w:sz="4" w:space="0" w:color="auto"/>
            </w:tcBorders>
            <w:shd w:val="clear" w:color="000000" w:fill="FFFFFF"/>
            <w:noWrap/>
            <w:vAlign w:val="bottom"/>
            <w:hideMark/>
          </w:tcPr>
          <w:p w14:paraId="362BC33F"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3,209,960 </w:t>
            </w:r>
          </w:p>
        </w:tc>
        <w:tc>
          <w:tcPr>
            <w:tcW w:w="1219" w:type="dxa"/>
            <w:tcBorders>
              <w:top w:val="nil"/>
              <w:left w:val="nil"/>
              <w:bottom w:val="single" w:sz="4" w:space="0" w:color="auto"/>
              <w:right w:val="single" w:sz="4" w:space="0" w:color="auto"/>
            </w:tcBorders>
            <w:shd w:val="clear" w:color="000000" w:fill="FFFFFF"/>
            <w:noWrap/>
            <w:vAlign w:val="bottom"/>
            <w:hideMark/>
          </w:tcPr>
          <w:p w14:paraId="166564AD"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3,228,921 </w:t>
            </w:r>
          </w:p>
        </w:tc>
        <w:tc>
          <w:tcPr>
            <w:tcW w:w="1134" w:type="dxa"/>
            <w:tcBorders>
              <w:top w:val="nil"/>
              <w:left w:val="nil"/>
              <w:bottom w:val="single" w:sz="4" w:space="0" w:color="auto"/>
              <w:right w:val="single" w:sz="4" w:space="0" w:color="auto"/>
            </w:tcBorders>
            <w:shd w:val="clear" w:color="000000" w:fill="FFFFFF"/>
            <w:noWrap/>
            <w:vAlign w:val="bottom"/>
            <w:hideMark/>
          </w:tcPr>
          <w:p w14:paraId="4AD3F5D2"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6,438,881 </w:t>
            </w:r>
          </w:p>
        </w:tc>
        <w:tc>
          <w:tcPr>
            <w:tcW w:w="793" w:type="dxa"/>
            <w:tcBorders>
              <w:top w:val="nil"/>
              <w:left w:val="nil"/>
              <w:bottom w:val="single" w:sz="4" w:space="0" w:color="auto"/>
              <w:right w:val="single" w:sz="4" w:space="0" w:color="auto"/>
            </w:tcBorders>
            <w:shd w:val="clear" w:color="000000" w:fill="FFFFFF"/>
            <w:noWrap/>
            <w:vAlign w:val="bottom"/>
            <w:hideMark/>
          </w:tcPr>
          <w:p w14:paraId="408A633D"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89.16%</w:t>
            </w:r>
          </w:p>
        </w:tc>
        <w:tc>
          <w:tcPr>
            <w:tcW w:w="193" w:type="dxa"/>
            <w:vAlign w:val="center"/>
            <w:hideMark/>
          </w:tcPr>
          <w:p w14:paraId="180DEEDC" w14:textId="77777777" w:rsidR="00DF6433" w:rsidRPr="00DF6433" w:rsidRDefault="00DF6433" w:rsidP="00DF6433">
            <w:pPr>
              <w:spacing w:after="0" w:line="240" w:lineRule="auto"/>
              <w:rPr>
                <w:rFonts w:ascii="Times New Roman" w:eastAsia="Times New Roman" w:hAnsi="Times New Roman"/>
                <w:sz w:val="14"/>
                <w:szCs w:val="14"/>
                <w:lang w:val="es-US" w:eastAsia="es-US"/>
              </w:rPr>
            </w:pPr>
          </w:p>
        </w:tc>
      </w:tr>
      <w:tr w:rsidR="00DF6433" w:rsidRPr="00DF6433" w14:paraId="54850A2E" w14:textId="77777777" w:rsidTr="00101172">
        <w:trPr>
          <w:trHeight w:val="167"/>
        </w:trPr>
        <w:tc>
          <w:tcPr>
            <w:tcW w:w="801" w:type="dxa"/>
            <w:tcBorders>
              <w:top w:val="nil"/>
              <w:left w:val="single" w:sz="8" w:space="0" w:color="auto"/>
              <w:bottom w:val="single" w:sz="4" w:space="0" w:color="auto"/>
              <w:right w:val="single" w:sz="8" w:space="0" w:color="auto"/>
            </w:tcBorders>
            <w:shd w:val="clear" w:color="000000" w:fill="FFFFFF"/>
            <w:noWrap/>
            <w:vAlign w:val="center"/>
            <w:hideMark/>
          </w:tcPr>
          <w:p w14:paraId="7F1CFED6"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0.05.02</w:t>
            </w:r>
          </w:p>
        </w:tc>
        <w:tc>
          <w:tcPr>
            <w:tcW w:w="4717" w:type="dxa"/>
            <w:tcBorders>
              <w:top w:val="nil"/>
              <w:left w:val="nil"/>
              <w:bottom w:val="single" w:sz="4" w:space="0" w:color="auto"/>
              <w:right w:val="single" w:sz="8" w:space="0" w:color="auto"/>
            </w:tcBorders>
            <w:shd w:val="clear" w:color="000000" w:fill="FFFFFF"/>
            <w:noWrap/>
            <w:vAlign w:val="center"/>
            <w:hideMark/>
          </w:tcPr>
          <w:p w14:paraId="166953FA"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Aporte Patronal al Régimen obligatorio de pensiones complementarias</w:t>
            </w:r>
          </w:p>
        </w:tc>
        <w:tc>
          <w:tcPr>
            <w:tcW w:w="1287" w:type="dxa"/>
            <w:tcBorders>
              <w:top w:val="nil"/>
              <w:left w:val="nil"/>
              <w:bottom w:val="single" w:sz="4" w:space="0" w:color="auto"/>
              <w:right w:val="single" w:sz="4" w:space="0" w:color="auto"/>
            </w:tcBorders>
            <w:shd w:val="clear" w:color="000000" w:fill="FFFFFF"/>
            <w:noWrap/>
            <w:vAlign w:val="center"/>
            <w:hideMark/>
          </w:tcPr>
          <w:p w14:paraId="61C75797" w14:textId="77777777" w:rsidR="00DF6433" w:rsidRPr="00DF6433" w:rsidRDefault="00DF6433" w:rsidP="00DF6433">
            <w:pPr>
              <w:spacing w:after="0" w:line="240" w:lineRule="auto"/>
              <w:jc w:val="right"/>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4,126,590</w:t>
            </w:r>
          </w:p>
        </w:tc>
        <w:tc>
          <w:tcPr>
            <w:tcW w:w="1474" w:type="dxa"/>
            <w:tcBorders>
              <w:top w:val="nil"/>
              <w:left w:val="nil"/>
              <w:bottom w:val="single" w:sz="4" w:space="0" w:color="auto"/>
              <w:right w:val="single" w:sz="4" w:space="0" w:color="auto"/>
            </w:tcBorders>
            <w:shd w:val="clear" w:color="000000" w:fill="FFFFFF"/>
            <w:noWrap/>
            <w:vAlign w:val="bottom"/>
            <w:hideMark/>
          </w:tcPr>
          <w:p w14:paraId="3778176B"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1,832,360 </w:t>
            </w:r>
          </w:p>
        </w:tc>
        <w:tc>
          <w:tcPr>
            <w:tcW w:w="1219" w:type="dxa"/>
            <w:tcBorders>
              <w:top w:val="nil"/>
              <w:left w:val="nil"/>
              <w:bottom w:val="single" w:sz="4" w:space="0" w:color="auto"/>
              <w:right w:val="single" w:sz="4" w:space="0" w:color="auto"/>
            </w:tcBorders>
            <w:shd w:val="clear" w:color="000000" w:fill="FFFFFF"/>
            <w:noWrap/>
            <w:vAlign w:val="bottom"/>
            <w:hideMark/>
          </w:tcPr>
          <w:p w14:paraId="1D43831F"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1,870,601 </w:t>
            </w:r>
          </w:p>
        </w:tc>
        <w:tc>
          <w:tcPr>
            <w:tcW w:w="1134" w:type="dxa"/>
            <w:tcBorders>
              <w:top w:val="nil"/>
              <w:left w:val="nil"/>
              <w:bottom w:val="single" w:sz="4" w:space="0" w:color="auto"/>
              <w:right w:val="single" w:sz="4" w:space="0" w:color="auto"/>
            </w:tcBorders>
            <w:shd w:val="clear" w:color="000000" w:fill="FFFFFF"/>
            <w:noWrap/>
            <w:vAlign w:val="bottom"/>
            <w:hideMark/>
          </w:tcPr>
          <w:p w14:paraId="4209ECBE"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3,702,961 </w:t>
            </w:r>
          </w:p>
        </w:tc>
        <w:tc>
          <w:tcPr>
            <w:tcW w:w="793" w:type="dxa"/>
            <w:tcBorders>
              <w:top w:val="nil"/>
              <w:left w:val="nil"/>
              <w:bottom w:val="single" w:sz="4" w:space="0" w:color="auto"/>
              <w:right w:val="single" w:sz="4" w:space="0" w:color="auto"/>
            </w:tcBorders>
            <w:shd w:val="clear" w:color="000000" w:fill="FFFFFF"/>
            <w:noWrap/>
            <w:vAlign w:val="bottom"/>
            <w:hideMark/>
          </w:tcPr>
          <w:p w14:paraId="11CBFC82"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89.73%</w:t>
            </w:r>
          </w:p>
        </w:tc>
        <w:tc>
          <w:tcPr>
            <w:tcW w:w="193" w:type="dxa"/>
            <w:vAlign w:val="center"/>
            <w:hideMark/>
          </w:tcPr>
          <w:p w14:paraId="59A2C5A4" w14:textId="77777777" w:rsidR="00DF6433" w:rsidRPr="00DF6433" w:rsidRDefault="00DF6433" w:rsidP="00DF6433">
            <w:pPr>
              <w:spacing w:after="0" w:line="240" w:lineRule="auto"/>
              <w:rPr>
                <w:rFonts w:ascii="Times New Roman" w:eastAsia="Times New Roman" w:hAnsi="Times New Roman"/>
                <w:sz w:val="14"/>
                <w:szCs w:val="14"/>
                <w:lang w:val="es-US" w:eastAsia="es-US"/>
              </w:rPr>
            </w:pPr>
          </w:p>
        </w:tc>
      </w:tr>
      <w:tr w:rsidR="00DF6433" w:rsidRPr="00DF6433" w14:paraId="56C98BD7" w14:textId="77777777" w:rsidTr="00101172">
        <w:trPr>
          <w:trHeight w:val="167"/>
        </w:trPr>
        <w:tc>
          <w:tcPr>
            <w:tcW w:w="801" w:type="dxa"/>
            <w:tcBorders>
              <w:top w:val="nil"/>
              <w:left w:val="single" w:sz="8" w:space="0" w:color="auto"/>
              <w:bottom w:val="single" w:sz="4" w:space="0" w:color="auto"/>
              <w:right w:val="single" w:sz="8" w:space="0" w:color="auto"/>
            </w:tcBorders>
            <w:shd w:val="clear" w:color="000000" w:fill="FFFFFF"/>
            <w:noWrap/>
            <w:vAlign w:val="center"/>
            <w:hideMark/>
          </w:tcPr>
          <w:p w14:paraId="0EE46C3E"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0.05.03</w:t>
            </w:r>
          </w:p>
        </w:tc>
        <w:tc>
          <w:tcPr>
            <w:tcW w:w="4717" w:type="dxa"/>
            <w:tcBorders>
              <w:top w:val="nil"/>
              <w:left w:val="nil"/>
              <w:bottom w:val="single" w:sz="4" w:space="0" w:color="auto"/>
              <w:right w:val="single" w:sz="8" w:space="0" w:color="auto"/>
            </w:tcBorders>
            <w:shd w:val="clear" w:color="000000" w:fill="FFFFFF"/>
            <w:noWrap/>
            <w:vAlign w:val="center"/>
            <w:hideMark/>
          </w:tcPr>
          <w:p w14:paraId="6C193EB8"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Aporte Patronal al Fondo de Capitalización Laboral</w:t>
            </w:r>
          </w:p>
        </w:tc>
        <w:tc>
          <w:tcPr>
            <w:tcW w:w="1287" w:type="dxa"/>
            <w:tcBorders>
              <w:top w:val="nil"/>
              <w:left w:val="nil"/>
              <w:bottom w:val="single" w:sz="4" w:space="0" w:color="auto"/>
              <w:right w:val="single" w:sz="4" w:space="0" w:color="auto"/>
            </w:tcBorders>
            <w:shd w:val="clear" w:color="000000" w:fill="FFFFFF"/>
            <w:noWrap/>
            <w:vAlign w:val="center"/>
            <w:hideMark/>
          </w:tcPr>
          <w:p w14:paraId="1F87FB87" w14:textId="77777777" w:rsidR="00DF6433" w:rsidRPr="00DF6433" w:rsidRDefault="00DF6433" w:rsidP="00DF6433">
            <w:pPr>
              <w:spacing w:after="0" w:line="240" w:lineRule="auto"/>
              <w:jc w:val="right"/>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2,063,241</w:t>
            </w:r>
          </w:p>
        </w:tc>
        <w:tc>
          <w:tcPr>
            <w:tcW w:w="1474" w:type="dxa"/>
            <w:tcBorders>
              <w:top w:val="nil"/>
              <w:left w:val="nil"/>
              <w:bottom w:val="single" w:sz="4" w:space="0" w:color="auto"/>
              <w:right w:val="single" w:sz="4" w:space="0" w:color="auto"/>
            </w:tcBorders>
            <w:shd w:val="clear" w:color="000000" w:fill="FFFFFF"/>
            <w:noWrap/>
            <w:vAlign w:val="bottom"/>
            <w:hideMark/>
          </w:tcPr>
          <w:p w14:paraId="3EC92610"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916,171 </w:t>
            </w:r>
          </w:p>
        </w:tc>
        <w:tc>
          <w:tcPr>
            <w:tcW w:w="1219" w:type="dxa"/>
            <w:tcBorders>
              <w:top w:val="nil"/>
              <w:left w:val="nil"/>
              <w:bottom w:val="single" w:sz="4" w:space="0" w:color="auto"/>
              <w:right w:val="single" w:sz="4" w:space="0" w:color="auto"/>
            </w:tcBorders>
            <w:shd w:val="clear" w:color="000000" w:fill="FFFFFF"/>
            <w:noWrap/>
            <w:vAlign w:val="bottom"/>
            <w:hideMark/>
          </w:tcPr>
          <w:p w14:paraId="571E12D6"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935,294 </w:t>
            </w:r>
          </w:p>
        </w:tc>
        <w:tc>
          <w:tcPr>
            <w:tcW w:w="1134" w:type="dxa"/>
            <w:tcBorders>
              <w:top w:val="nil"/>
              <w:left w:val="nil"/>
              <w:bottom w:val="single" w:sz="4" w:space="0" w:color="auto"/>
              <w:right w:val="single" w:sz="4" w:space="0" w:color="auto"/>
            </w:tcBorders>
            <w:shd w:val="clear" w:color="000000" w:fill="FFFFFF"/>
            <w:noWrap/>
            <w:vAlign w:val="bottom"/>
            <w:hideMark/>
          </w:tcPr>
          <w:p w14:paraId="37C56E50"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1,851,465 </w:t>
            </w:r>
          </w:p>
        </w:tc>
        <w:tc>
          <w:tcPr>
            <w:tcW w:w="793" w:type="dxa"/>
            <w:tcBorders>
              <w:top w:val="nil"/>
              <w:left w:val="nil"/>
              <w:bottom w:val="single" w:sz="4" w:space="0" w:color="auto"/>
              <w:right w:val="single" w:sz="4" w:space="0" w:color="auto"/>
            </w:tcBorders>
            <w:shd w:val="clear" w:color="000000" w:fill="FFFFFF"/>
            <w:noWrap/>
            <w:vAlign w:val="bottom"/>
            <w:hideMark/>
          </w:tcPr>
          <w:p w14:paraId="2C25D359"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89.74%</w:t>
            </w:r>
          </w:p>
        </w:tc>
        <w:tc>
          <w:tcPr>
            <w:tcW w:w="193" w:type="dxa"/>
            <w:vAlign w:val="center"/>
            <w:hideMark/>
          </w:tcPr>
          <w:p w14:paraId="4229C078" w14:textId="77777777" w:rsidR="00DF6433" w:rsidRPr="00DF6433" w:rsidRDefault="00DF6433" w:rsidP="00DF6433">
            <w:pPr>
              <w:spacing w:after="0" w:line="240" w:lineRule="auto"/>
              <w:rPr>
                <w:rFonts w:ascii="Times New Roman" w:eastAsia="Times New Roman" w:hAnsi="Times New Roman"/>
                <w:sz w:val="14"/>
                <w:szCs w:val="14"/>
                <w:lang w:val="es-US" w:eastAsia="es-US"/>
              </w:rPr>
            </w:pPr>
          </w:p>
        </w:tc>
      </w:tr>
      <w:tr w:rsidR="00DF6433" w:rsidRPr="00DF6433" w14:paraId="47657194" w14:textId="77777777" w:rsidTr="00101172">
        <w:trPr>
          <w:trHeight w:val="167"/>
        </w:trPr>
        <w:tc>
          <w:tcPr>
            <w:tcW w:w="801" w:type="dxa"/>
            <w:tcBorders>
              <w:top w:val="nil"/>
              <w:left w:val="single" w:sz="8" w:space="0" w:color="auto"/>
              <w:bottom w:val="single" w:sz="4" w:space="0" w:color="auto"/>
              <w:right w:val="single" w:sz="8" w:space="0" w:color="auto"/>
            </w:tcBorders>
            <w:shd w:val="clear" w:color="000000" w:fill="FFFFFF"/>
            <w:noWrap/>
            <w:vAlign w:val="center"/>
            <w:hideMark/>
          </w:tcPr>
          <w:p w14:paraId="0D06A58E"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0.05.05</w:t>
            </w:r>
          </w:p>
        </w:tc>
        <w:tc>
          <w:tcPr>
            <w:tcW w:w="4717" w:type="dxa"/>
            <w:tcBorders>
              <w:top w:val="nil"/>
              <w:left w:val="nil"/>
              <w:bottom w:val="single" w:sz="4" w:space="0" w:color="auto"/>
              <w:right w:val="single" w:sz="8" w:space="0" w:color="auto"/>
            </w:tcBorders>
            <w:shd w:val="clear" w:color="000000" w:fill="FFFFFF"/>
            <w:noWrap/>
            <w:vAlign w:val="center"/>
            <w:hideMark/>
          </w:tcPr>
          <w:p w14:paraId="5309E205" w14:textId="77777777" w:rsidR="00DF6433" w:rsidRPr="00DF6433" w:rsidRDefault="00DF6433" w:rsidP="00DF6433">
            <w:pPr>
              <w:spacing w:after="0" w:line="240" w:lineRule="auto"/>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Contribución patronal a fondos administrados por entes privados</w:t>
            </w:r>
          </w:p>
        </w:tc>
        <w:tc>
          <w:tcPr>
            <w:tcW w:w="1287" w:type="dxa"/>
            <w:tcBorders>
              <w:top w:val="nil"/>
              <w:left w:val="nil"/>
              <w:bottom w:val="single" w:sz="4" w:space="0" w:color="auto"/>
              <w:right w:val="single" w:sz="4" w:space="0" w:color="auto"/>
            </w:tcBorders>
            <w:shd w:val="clear" w:color="000000" w:fill="FFFFFF"/>
            <w:noWrap/>
            <w:vAlign w:val="center"/>
            <w:hideMark/>
          </w:tcPr>
          <w:p w14:paraId="3D30C4D1" w14:textId="77777777" w:rsidR="00DF6433" w:rsidRPr="00DF6433" w:rsidRDefault="00DF6433" w:rsidP="00DF6433">
            <w:pPr>
              <w:spacing w:after="0" w:line="240" w:lineRule="auto"/>
              <w:jc w:val="right"/>
              <w:rPr>
                <w:rFonts w:ascii="Arial" w:eastAsia="Times New Roman" w:hAnsi="Arial" w:cs="Arial"/>
                <w:sz w:val="14"/>
                <w:szCs w:val="14"/>
                <w:lang w:val="es-US" w:eastAsia="es-US"/>
              </w:rPr>
            </w:pPr>
            <w:r w:rsidRPr="00DF6433">
              <w:rPr>
                <w:rFonts w:ascii="Arial" w:eastAsia="Times New Roman" w:hAnsi="Arial" w:cs="Arial"/>
                <w:sz w:val="14"/>
                <w:szCs w:val="14"/>
                <w:lang w:val="es-US" w:eastAsia="es-US"/>
              </w:rPr>
              <w:t>7,331,667</w:t>
            </w:r>
          </w:p>
        </w:tc>
        <w:tc>
          <w:tcPr>
            <w:tcW w:w="1474" w:type="dxa"/>
            <w:tcBorders>
              <w:top w:val="nil"/>
              <w:left w:val="nil"/>
              <w:bottom w:val="single" w:sz="4" w:space="0" w:color="auto"/>
              <w:right w:val="single" w:sz="4" w:space="0" w:color="auto"/>
            </w:tcBorders>
            <w:shd w:val="clear" w:color="000000" w:fill="FFFFFF"/>
            <w:noWrap/>
            <w:vAlign w:val="bottom"/>
            <w:hideMark/>
          </w:tcPr>
          <w:p w14:paraId="12FB4817"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1,377,803 </w:t>
            </w:r>
          </w:p>
        </w:tc>
        <w:tc>
          <w:tcPr>
            <w:tcW w:w="1219" w:type="dxa"/>
            <w:tcBorders>
              <w:top w:val="nil"/>
              <w:left w:val="nil"/>
              <w:bottom w:val="single" w:sz="4" w:space="0" w:color="auto"/>
              <w:right w:val="single" w:sz="4" w:space="0" w:color="auto"/>
            </w:tcBorders>
            <w:shd w:val="clear" w:color="000000" w:fill="FFFFFF"/>
            <w:noWrap/>
            <w:vAlign w:val="bottom"/>
            <w:hideMark/>
          </w:tcPr>
          <w:p w14:paraId="7B37BC50"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2,073,852 </w:t>
            </w:r>
          </w:p>
        </w:tc>
        <w:tc>
          <w:tcPr>
            <w:tcW w:w="1134" w:type="dxa"/>
            <w:tcBorders>
              <w:top w:val="nil"/>
              <w:left w:val="nil"/>
              <w:bottom w:val="single" w:sz="4" w:space="0" w:color="auto"/>
              <w:right w:val="single" w:sz="4" w:space="0" w:color="auto"/>
            </w:tcBorders>
            <w:shd w:val="clear" w:color="000000" w:fill="FFFFFF"/>
            <w:noWrap/>
            <w:vAlign w:val="bottom"/>
            <w:hideMark/>
          </w:tcPr>
          <w:p w14:paraId="24403A5B"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 xml:space="preserve">             3,451,655 </w:t>
            </w:r>
          </w:p>
        </w:tc>
        <w:tc>
          <w:tcPr>
            <w:tcW w:w="793" w:type="dxa"/>
            <w:tcBorders>
              <w:top w:val="nil"/>
              <w:left w:val="nil"/>
              <w:bottom w:val="single" w:sz="4" w:space="0" w:color="auto"/>
              <w:right w:val="single" w:sz="4" w:space="0" w:color="auto"/>
            </w:tcBorders>
            <w:shd w:val="clear" w:color="000000" w:fill="FFFFFF"/>
            <w:noWrap/>
            <w:vAlign w:val="bottom"/>
            <w:hideMark/>
          </w:tcPr>
          <w:p w14:paraId="4F0B811C" w14:textId="77777777" w:rsidR="00DF6433" w:rsidRPr="00DF6433" w:rsidRDefault="00DF6433" w:rsidP="00DF6433">
            <w:pPr>
              <w:spacing w:after="0" w:line="240" w:lineRule="auto"/>
              <w:jc w:val="right"/>
              <w:rPr>
                <w:rFonts w:eastAsia="Times New Roman" w:cs="Calibri"/>
                <w:color w:val="000000"/>
                <w:sz w:val="14"/>
                <w:szCs w:val="14"/>
                <w:lang w:val="es-US" w:eastAsia="es-US"/>
              </w:rPr>
            </w:pPr>
            <w:r w:rsidRPr="00DF6433">
              <w:rPr>
                <w:rFonts w:eastAsia="Times New Roman" w:cs="Calibri"/>
                <w:color w:val="000000"/>
                <w:sz w:val="14"/>
                <w:szCs w:val="14"/>
                <w:lang w:val="es-US" w:eastAsia="es-US"/>
              </w:rPr>
              <w:t>47.08%</w:t>
            </w:r>
          </w:p>
        </w:tc>
        <w:tc>
          <w:tcPr>
            <w:tcW w:w="193" w:type="dxa"/>
            <w:vAlign w:val="center"/>
            <w:hideMark/>
          </w:tcPr>
          <w:p w14:paraId="0764F707" w14:textId="77777777" w:rsidR="00DF6433" w:rsidRPr="00DF6433" w:rsidRDefault="00DF6433" w:rsidP="00DF6433">
            <w:pPr>
              <w:spacing w:after="0" w:line="240" w:lineRule="auto"/>
              <w:rPr>
                <w:rFonts w:ascii="Times New Roman" w:eastAsia="Times New Roman" w:hAnsi="Times New Roman"/>
                <w:sz w:val="14"/>
                <w:szCs w:val="14"/>
                <w:lang w:val="es-US" w:eastAsia="es-US"/>
              </w:rPr>
            </w:pPr>
          </w:p>
        </w:tc>
      </w:tr>
      <w:bookmarkEnd w:id="19"/>
    </w:tbl>
    <w:p w14:paraId="49AA90BE" w14:textId="77777777" w:rsidR="00AC2578" w:rsidRPr="008E0B36" w:rsidRDefault="00AC2578" w:rsidP="0064010E">
      <w:pPr>
        <w:jc w:val="both"/>
        <w:rPr>
          <w:rFonts w:ascii="Arial" w:hAnsi="Arial" w:cs="Arial"/>
        </w:rPr>
      </w:pPr>
    </w:p>
    <w:p w14:paraId="5132ABF4" w14:textId="77777777" w:rsidR="00315DAD" w:rsidRDefault="00315DAD" w:rsidP="0064010E">
      <w:pPr>
        <w:spacing w:after="0" w:line="240" w:lineRule="auto"/>
        <w:jc w:val="both"/>
        <w:rPr>
          <w:rFonts w:ascii="Arial" w:hAnsi="Arial" w:cs="Arial"/>
          <w:highlight w:val="yellow"/>
        </w:rPr>
      </w:pPr>
    </w:p>
    <w:p w14:paraId="1FFB8C08" w14:textId="77777777" w:rsidR="00315DAD" w:rsidRDefault="00315DAD" w:rsidP="0064010E">
      <w:pPr>
        <w:spacing w:after="0" w:line="240" w:lineRule="auto"/>
        <w:jc w:val="both"/>
        <w:rPr>
          <w:rFonts w:ascii="Arial" w:hAnsi="Arial" w:cs="Arial"/>
          <w:highlight w:val="yellow"/>
        </w:rPr>
      </w:pPr>
    </w:p>
    <w:p w14:paraId="4C39A5B4" w14:textId="77777777" w:rsidR="0064010E" w:rsidRDefault="0064010E" w:rsidP="007D69D5">
      <w:pPr>
        <w:rPr>
          <w:rFonts w:ascii="Arial" w:hAnsi="Arial" w:cs="Arial"/>
          <w:b/>
        </w:rPr>
      </w:pPr>
      <w:r w:rsidRPr="00F82012">
        <w:rPr>
          <w:rFonts w:ascii="Arial" w:hAnsi="Arial" w:cs="Arial"/>
          <w:b/>
        </w:rPr>
        <w:t>SERVICIOS</w:t>
      </w:r>
    </w:p>
    <w:p w14:paraId="5A96BC96" w14:textId="2DF0EEF5" w:rsidR="004036B4" w:rsidRDefault="00FE17A9" w:rsidP="00544D70">
      <w:pPr>
        <w:jc w:val="both"/>
        <w:rPr>
          <w:rFonts w:ascii="Arial" w:hAnsi="Arial" w:cs="Arial"/>
        </w:rPr>
      </w:pPr>
      <w:r w:rsidRPr="00C44D85">
        <w:rPr>
          <w:rFonts w:ascii="Arial" w:hAnsi="Arial" w:cs="Arial"/>
        </w:rPr>
        <w:t xml:space="preserve">En esta partida se presupuestó la suma de </w:t>
      </w:r>
      <w:r w:rsidRPr="009C3D32">
        <w:rPr>
          <w:rFonts w:ascii="Arial" w:eastAsia="Times New Roman" w:hAnsi="Arial" w:cs="Arial"/>
          <w:b/>
          <w:bCs/>
          <w:lang w:eastAsia="es-CR"/>
        </w:rPr>
        <w:t>¢</w:t>
      </w:r>
      <w:r w:rsidR="00DF6433">
        <w:rPr>
          <w:rFonts w:ascii="Arial" w:eastAsia="Times New Roman" w:hAnsi="Arial" w:cs="Arial"/>
          <w:b/>
          <w:bCs/>
          <w:lang w:eastAsia="es-CR"/>
        </w:rPr>
        <w:t>19</w:t>
      </w:r>
      <w:r w:rsidR="007756AC">
        <w:rPr>
          <w:rFonts w:ascii="Arial" w:eastAsia="Times New Roman" w:hAnsi="Arial" w:cs="Arial"/>
          <w:b/>
          <w:bCs/>
          <w:lang w:eastAsia="es-CR"/>
        </w:rPr>
        <w:t>0.431.679</w:t>
      </w:r>
      <w:r w:rsidRPr="00C44D85">
        <w:rPr>
          <w:rFonts w:ascii="Arial" w:hAnsi="Arial" w:cs="Arial"/>
          <w:b/>
        </w:rPr>
        <w:t xml:space="preserve">, </w:t>
      </w:r>
      <w:r w:rsidRPr="00C44D85">
        <w:rPr>
          <w:rFonts w:ascii="Arial" w:hAnsi="Arial" w:cs="Arial"/>
        </w:rPr>
        <w:t>de lo</w:t>
      </w:r>
      <w:r w:rsidR="009C3D32">
        <w:rPr>
          <w:rFonts w:ascii="Arial" w:hAnsi="Arial" w:cs="Arial"/>
        </w:rPr>
        <w:t>s cuales</w:t>
      </w:r>
      <w:r w:rsidR="004036B4">
        <w:rPr>
          <w:rFonts w:ascii="Arial" w:hAnsi="Arial" w:cs="Arial"/>
        </w:rPr>
        <w:t xml:space="preserve"> se ejecutó la suma total de ¢1</w:t>
      </w:r>
      <w:r w:rsidR="007756AC">
        <w:rPr>
          <w:rFonts w:ascii="Arial" w:hAnsi="Arial" w:cs="Arial"/>
        </w:rPr>
        <w:t>11.669.411</w:t>
      </w:r>
      <w:r w:rsidR="004036B4">
        <w:rPr>
          <w:rFonts w:ascii="Arial" w:hAnsi="Arial" w:cs="Arial"/>
        </w:rPr>
        <w:t xml:space="preserve"> equivalente a un </w:t>
      </w:r>
      <w:r w:rsidR="007756AC" w:rsidRPr="007756AC">
        <w:rPr>
          <w:rFonts w:ascii="Arial" w:hAnsi="Arial" w:cs="Arial"/>
          <w:b/>
          <w:bCs/>
        </w:rPr>
        <w:t>58.64</w:t>
      </w:r>
      <w:r w:rsidR="004036B4" w:rsidRPr="007756AC">
        <w:rPr>
          <w:rFonts w:ascii="Arial" w:hAnsi="Arial" w:cs="Arial"/>
          <w:b/>
          <w:bCs/>
        </w:rPr>
        <w:t>%,</w:t>
      </w:r>
      <w:r w:rsidR="004036B4">
        <w:rPr>
          <w:rFonts w:ascii="Arial" w:hAnsi="Arial" w:cs="Arial"/>
        </w:rPr>
        <w:t xml:space="preserve"> de monto indicado, durante el segundo semestre se ejecutó la suma de ¢</w:t>
      </w:r>
      <w:r w:rsidR="007756AC">
        <w:rPr>
          <w:rFonts w:ascii="Arial" w:hAnsi="Arial" w:cs="Arial"/>
        </w:rPr>
        <w:t>40.874.295</w:t>
      </w:r>
      <w:r w:rsidR="004036B4">
        <w:rPr>
          <w:rFonts w:ascii="Arial" w:hAnsi="Arial" w:cs="Arial"/>
        </w:rPr>
        <w:t>.</w:t>
      </w:r>
    </w:p>
    <w:p w14:paraId="63CDAA4B" w14:textId="15FFAF34" w:rsidR="00745D8A" w:rsidRDefault="009874F8" w:rsidP="00544D70">
      <w:pPr>
        <w:jc w:val="both"/>
        <w:rPr>
          <w:rFonts w:ascii="Arial" w:hAnsi="Arial" w:cs="Arial"/>
        </w:rPr>
      </w:pPr>
      <w:r>
        <w:rPr>
          <w:rFonts w:ascii="Arial" w:hAnsi="Arial" w:cs="Arial"/>
        </w:rPr>
        <w:t>Con estos recursos se realiza</w:t>
      </w:r>
      <w:r w:rsidR="00544D70" w:rsidRPr="00544D70">
        <w:rPr>
          <w:rFonts w:ascii="Arial" w:hAnsi="Arial" w:cs="Arial"/>
        </w:rPr>
        <w:t xml:space="preserve"> principalmente contrataciones </w:t>
      </w:r>
      <w:r>
        <w:rPr>
          <w:rFonts w:ascii="Arial" w:hAnsi="Arial" w:cs="Arial"/>
        </w:rPr>
        <w:t>de</w:t>
      </w:r>
      <w:r w:rsidR="00544D70" w:rsidRPr="00544D70">
        <w:rPr>
          <w:rFonts w:ascii="Arial" w:hAnsi="Arial" w:cs="Arial"/>
        </w:rPr>
        <w:t xml:space="preserve"> gastos operativos del Fideicomiso, tales como alquileres, </w:t>
      </w:r>
      <w:r w:rsidR="004036B4">
        <w:rPr>
          <w:rFonts w:ascii="Arial" w:hAnsi="Arial" w:cs="Arial"/>
        </w:rPr>
        <w:t>pago de seguros, servicios profesionales</w:t>
      </w:r>
      <w:r w:rsidR="00544D70" w:rsidRPr="00544D70">
        <w:rPr>
          <w:rFonts w:ascii="Arial" w:hAnsi="Arial" w:cs="Arial"/>
        </w:rPr>
        <w:t>, entre otros.</w:t>
      </w:r>
      <w:r w:rsidR="00544D70">
        <w:rPr>
          <w:rFonts w:ascii="Arial" w:hAnsi="Arial" w:cs="Arial"/>
        </w:rPr>
        <w:t xml:space="preserve"> </w:t>
      </w:r>
      <w:r>
        <w:rPr>
          <w:rFonts w:ascii="Arial" w:hAnsi="Arial" w:cs="Arial"/>
        </w:rPr>
        <w:t>Estos egresos se d</w:t>
      </w:r>
      <w:r w:rsidR="00544D70" w:rsidRPr="001B346F">
        <w:rPr>
          <w:rFonts w:ascii="Arial" w:hAnsi="Arial" w:cs="Arial"/>
        </w:rPr>
        <w:t>istribu</w:t>
      </w:r>
      <w:r>
        <w:rPr>
          <w:rFonts w:ascii="Arial" w:hAnsi="Arial" w:cs="Arial"/>
        </w:rPr>
        <w:t>yen en</w:t>
      </w:r>
      <w:r w:rsidR="00544D70" w:rsidRPr="001B346F">
        <w:rPr>
          <w:rFonts w:ascii="Arial" w:hAnsi="Arial" w:cs="Arial"/>
        </w:rPr>
        <w:t xml:space="preserve"> la</w:t>
      </w:r>
      <w:r>
        <w:rPr>
          <w:rFonts w:ascii="Arial" w:hAnsi="Arial" w:cs="Arial"/>
        </w:rPr>
        <w:t>s</w:t>
      </w:r>
      <w:r w:rsidR="00544D70" w:rsidRPr="001B346F">
        <w:rPr>
          <w:rFonts w:ascii="Arial" w:hAnsi="Arial" w:cs="Arial"/>
        </w:rPr>
        <w:t xml:space="preserve"> siguientes</w:t>
      </w:r>
      <w:r w:rsidR="00544D70">
        <w:rPr>
          <w:rFonts w:ascii="Arial" w:hAnsi="Arial" w:cs="Arial"/>
        </w:rPr>
        <w:t xml:space="preserve"> </w:t>
      </w:r>
      <w:r w:rsidR="00544D70" w:rsidRPr="001B346F">
        <w:rPr>
          <w:rFonts w:ascii="Arial" w:hAnsi="Arial" w:cs="Arial"/>
        </w:rPr>
        <w:t>subpartidas presupuestarias</w:t>
      </w:r>
      <w:r w:rsidR="00544D70">
        <w:rPr>
          <w:rFonts w:ascii="Arial" w:hAnsi="Arial" w:cs="Arial"/>
        </w:rPr>
        <w:t>:</w:t>
      </w:r>
    </w:p>
    <w:p w14:paraId="0CF12334" w14:textId="19E0360B" w:rsidR="00F940EE" w:rsidRDefault="00F940EE" w:rsidP="00544D70">
      <w:pPr>
        <w:jc w:val="both"/>
        <w:rPr>
          <w:rFonts w:ascii="Arial" w:hAnsi="Arial" w:cs="Arial"/>
        </w:rPr>
      </w:pPr>
    </w:p>
    <w:p w14:paraId="498607A8" w14:textId="35E092B2" w:rsidR="00F940EE" w:rsidRDefault="00F940EE" w:rsidP="00544D70">
      <w:pPr>
        <w:jc w:val="both"/>
        <w:rPr>
          <w:rFonts w:ascii="Arial" w:hAnsi="Arial" w:cs="Arial"/>
        </w:rPr>
      </w:pPr>
    </w:p>
    <w:p w14:paraId="03688844" w14:textId="5D7FAFAC" w:rsidR="00F940EE" w:rsidRDefault="00F940EE" w:rsidP="00544D70">
      <w:pPr>
        <w:jc w:val="both"/>
        <w:rPr>
          <w:rFonts w:ascii="Arial" w:hAnsi="Arial" w:cs="Arial"/>
        </w:rPr>
      </w:pPr>
    </w:p>
    <w:p w14:paraId="06833A12" w14:textId="73577D2F" w:rsidR="00101172" w:rsidRDefault="00101172" w:rsidP="00544D70">
      <w:pPr>
        <w:jc w:val="both"/>
        <w:rPr>
          <w:rFonts w:ascii="Arial" w:hAnsi="Arial" w:cs="Arial"/>
        </w:rPr>
      </w:pPr>
    </w:p>
    <w:p w14:paraId="7E6A5A33" w14:textId="77777777" w:rsidR="00101172" w:rsidRDefault="00101172" w:rsidP="00544D70">
      <w:pPr>
        <w:jc w:val="both"/>
        <w:rPr>
          <w:rFonts w:ascii="Arial" w:hAnsi="Arial" w:cs="Arial"/>
        </w:rPr>
      </w:pPr>
    </w:p>
    <w:p w14:paraId="4FE89CA3" w14:textId="29CDF78D" w:rsidR="004F5C6C" w:rsidRDefault="004F5C6C" w:rsidP="00544D70">
      <w:pPr>
        <w:jc w:val="both"/>
        <w:rPr>
          <w:rFonts w:ascii="Arial" w:hAnsi="Arial" w:cs="Arial"/>
        </w:rPr>
      </w:pPr>
    </w:p>
    <w:p w14:paraId="5D9EA9FF" w14:textId="77777777" w:rsidR="004F5C6C" w:rsidRDefault="004F5C6C" w:rsidP="00544D70">
      <w:pPr>
        <w:jc w:val="both"/>
        <w:rPr>
          <w:rFonts w:ascii="Arial" w:hAnsi="Arial" w:cs="Arial"/>
        </w:rPr>
      </w:pPr>
    </w:p>
    <w:p w14:paraId="289ABF30" w14:textId="77777777" w:rsidR="00F940EE" w:rsidRDefault="00F940EE" w:rsidP="00544D70">
      <w:pPr>
        <w:jc w:val="both"/>
        <w:rPr>
          <w:rFonts w:ascii="Arial" w:hAnsi="Arial" w:cs="Arial"/>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3"/>
        <w:gridCol w:w="3173"/>
        <w:gridCol w:w="1456"/>
        <w:gridCol w:w="1324"/>
        <w:gridCol w:w="1361"/>
        <w:gridCol w:w="1361"/>
        <w:gridCol w:w="1104"/>
      </w:tblGrid>
      <w:tr w:rsidR="00F940EE" w:rsidRPr="00F940EE" w14:paraId="42BC047D" w14:textId="77777777" w:rsidTr="00101172">
        <w:trPr>
          <w:trHeight w:val="509"/>
          <w:jc w:val="center"/>
        </w:trPr>
        <w:tc>
          <w:tcPr>
            <w:tcW w:w="853" w:type="dxa"/>
            <w:vMerge w:val="restart"/>
            <w:shd w:val="clear" w:color="auto" w:fill="D6E3BC" w:themeFill="accent3" w:themeFillTint="66"/>
            <w:noWrap/>
            <w:vAlign w:val="center"/>
            <w:hideMark/>
          </w:tcPr>
          <w:p w14:paraId="52F00BED" w14:textId="77777777" w:rsidR="00F940EE" w:rsidRPr="00F940EE" w:rsidRDefault="00F940EE" w:rsidP="00F940EE">
            <w:pPr>
              <w:spacing w:after="0" w:line="240" w:lineRule="auto"/>
              <w:jc w:val="center"/>
              <w:rPr>
                <w:rFonts w:ascii="Arial" w:eastAsia="Times New Roman" w:hAnsi="Arial" w:cs="Arial"/>
                <w:b/>
                <w:bCs/>
                <w:color w:val="000000"/>
                <w:sz w:val="14"/>
                <w:szCs w:val="14"/>
                <w:lang w:val="es-US" w:eastAsia="es-US"/>
              </w:rPr>
            </w:pPr>
            <w:r w:rsidRPr="00F940EE">
              <w:rPr>
                <w:rFonts w:ascii="Arial" w:eastAsia="Times New Roman" w:hAnsi="Arial" w:cs="Arial"/>
                <w:b/>
                <w:bCs/>
                <w:color w:val="000000"/>
                <w:sz w:val="14"/>
                <w:szCs w:val="14"/>
                <w:lang w:val="es-US" w:eastAsia="es-US"/>
              </w:rPr>
              <w:t>CUENTA</w:t>
            </w:r>
          </w:p>
        </w:tc>
        <w:tc>
          <w:tcPr>
            <w:tcW w:w="3173" w:type="dxa"/>
            <w:vMerge w:val="restart"/>
            <w:shd w:val="clear" w:color="auto" w:fill="D6E3BC" w:themeFill="accent3" w:themeFillTint="66"/>
            <w:noWrap/>
            <w:vAlign w:val="center"/>
            <w:hideMark/>
          </w:tcPr>
          <w:p w14:paraId="5E0674EA" w14:textId="77777777" w:rsidR="00F940EE" w:rsidRPr="00F940EE" w:rsidRDefault="00F940EE" w:rsidP="00F940EE">
            <w:pPr>
              <w:spacing w:after="0" w:line="240" w:lineRule="auto"/>
              <w:jc w:val="center"/>
              <w:rPr>
                <w:rFonts w:ascii="Arial" w:eastAsia="Times New Roman" w:hAnsi="Arial" w:cs="Arial"/>
                <w:b/>
                <w:bCs/>
                <w:color w:val="000000"/>
                <w:sz w:val="14"/>
                <w:szCs w:val="14"/>
                <w:lang w:val="es-US" w:eastAsia="es-US"/>
              </w:rPr>
            </w:pPr>
            <w:r w:rsidRPr="00F940EE">
              <w:rPr>
                <w:rFonts w:ascii="Arial" w:eastAsia="Times New Roman" w:hAnsi="Arial" w:cs="Arial"/>
                <w:b/>
                <w:bCs/>
                <w:color w:val="000000"/>
                <w:sz w:val="14"/>
                <w:szCs w:val="14"/>
                <w:lang w:val="es-US" w:eastAsia="es-US"/>
              </w:rPr>
              <w:t>NOMBRE PARTIDA, GRUPO Y SUBPARTIDA</w:t>
            </w:r>
          </w:p>
        </w:tc>
        <w:tc>
          <w:tcPr>
            <w:tcW w:w="1456" w:type="dxa"/>
            <w:vMerge w:val="restart"/>
            <w:shd w:val="clear" w:color="auto" w:fill="D6E3BC" w:themeFill="accent3" w:themeFillTint="66"/>
            <w:vAlign w:val="center"/>
            <w:hideMark/>
          </w:tcPr>
          <w:p w14:paraId="38C00B7A" w14:textId="77777777" w:rsidR="00F940EE" w:rsidRPr="00F940EE" w:rsidRDefault="00F940EE" w:rsidP="00F940EE">
            <w:pPr>
              <w:spacing w:after="0" w:line="240" w:lineRule="auto"/>
              <w:jc w:val="center"/>
              <w:rPr>
                <w:rFonts w:ascii="Arial" w:eastAsia="Times New Roman" w:hAnsi="Arial" w:cs="Arial"/>
                <w:b/>
                <w:bCs/>
                <w:color w:val="000000"/>
                <w:sz w:val="14"/>
                <w:szCs w:val="14"/>
                <w:lang w:val="es-US" w:eastAsia="es-US"/>
              </w:rPr>
            </w:pPr>
            <w:r w:rsidRPr="00F940EE">
              <w:rPr>
                <w:rFonts w:ascii="Arial" w:eastAsia="Times New Roman" w:hAnsi="Arial" w:cs="Arial"/>
                <w:b/>
                <w:bCs/>
                <w:color w:val="000000"/>
                <w:sz w:val="14"/>
                <w:szCs w:val="14"/>
                <w:lang w:val="es-US" w:eastAsia="es-US"/>
              </w:rPr>
              <w:t>PRESUPUESTO APROBADO</w:t>
            </w:r>
          </w:p>
        </w:tc>
        <w:tc>
          <w:tcPr>
            <w:tcW w:w="1324" w:type="dxa"/>
            <w:vMerge w:val="restart"/>
            <w:shd w:val="clear" w:color="auto" w:fill="D6E3BC" w:themeFill="accent3" w:themeFillTint="66"/>
            <w:vAlign w:val="center"/>
            <w:hideMark/>
          </w:tcPr>
          <w:p w14:paraId="3A851253" w14:textId="77777777" w:rsidR="00F940EE" w:rsidRPr="00F940EE" w:rsidRDefault="00F940EE" w:rsidP="00F940EE">
            <w:pPr>
              <w:spacing w:after="0" w:line="240" w:lineRule="auto"/>
              <w:jc w:val="center"/>
              <w:rPr>
                <w:rFonts w:ascii="Arial" w:eastAsia="Times New Roman" w:hAnsi="Arial" w:cs="Arial"/>
                <w:b/>
                <w:bCs/>
                <w:color w:val="000000"/>
                <w:sz w:val="14"/>
                <w:szCs w:val="14"/>
                <w:lang w:val="es-US" w:eastAsia="es-US"/>
              </w:rPr>
            </w:pPr>
            <w:r w:rsidRPr="00F940EE">
              <w:rPr>
                <w:rFonts w:ascii="Arial" w:eastAsia="Times New Roman" w:hAnsi="Arial" w:cs="Arial"/>
                <w:b/>
                <w:bCs/>
                <w:color w:val="000000"/>
                <w:sz w:val="14"/>
                <w:szCs w:val="14"/>
                <w:lang w:val="es-US" w:eastAsia="es-US"/>
              </w:rPr>
              <w:t>TOTAL I SEMESTRE</w:t>
            </w:r>
          </w:p>
        </w:tc>
        <w:tc>
          <w:tcPr>
            <w:tcW w:w="1361" w:type="dxa"/>
            <w:vMerge w:val="restart"/>
            <w:shd w:val="clear" w:color="auto" w:fill="D6E3BC" w:themeFill="accent3" w:themeFillTint="66"/>
            <w:vAlign w:val="center"/>
            <w:hideMark/>
          </w:tcPr>
          <w:p w14:paraId="51F7F4B7" w14:textId="77777777" w:rsidR="00F940EE" w:rsidRPr="00F940EE" w:rsidRDefault="00F940EE" w:rsidP="00F940EE">
            <w:pPr>
              <w:spacing w:after="0" w:line="240" w:lineRule="auto"/>
              <w:jc w:val="center"/>
              <w:rPr>
                <w:rFonts w:ascii="Arial" w:eastAsia="Times New Roman" w:hAnsi="Arial" w:cs="Arial"/>
                <w:b/>
                <w:bCs/>
                <w:color w:val="000000"/>
                <w:sz w:val="14"/>
                <w:szCs w:val="14"/>
                <w:lang w:val="es-US" w:eastAsia="es-US"/>
              </w:rPr>
            </w:pPr>
            <w:r w:rsidRPr="00F940EE">
              <w:rPr>
                <w:rFonts w:ascii="Arial" w:eastAsia="Times New Roman" w:hAnsi="Arial" w:cs="Arial"/>
                <w:b/>
                <w:bCs/>
                <w:color w:val="000000"/>
                <w:sz w:val="14"/>
                <w:szCs w:val="14"/>
                <w:lang w:val="es-US" w:eastAsia="es-US"/>
              </w:rPr>
              <w:t>TOTAL II SEMESTRE</w:t>
            </w:r>
          </w:p>
        </w:tc>
        <w:tc>
          <w:tcPr>
            <w:tcW w:w="1361" w:type="dxa"/>
            <w:vMerge w:val="restart"/>
            <w:shd w:val="clear" w:color="auto" w:fill="D6E3BC" w:themeFill="accent3" w:themeFillTint="66"/>
            <w:vAlign w:val="center"/>
            <w:hideMark/>
          </w:tcPr>
          <w:p w14:paraId="3073E141" w14:textId="77777777" w:rsidR="00F940EE" w:rsidRPr="00F940EE" w:rsidRDefault="00F940EE" w:rsidP="00F940EE">
            <w:pPr>
              <w:spacing w:after="0" w:line="240" w:lineRule="auto"/>
              <w:jc w:val="center"/>
              <w:rPr>
                <w:rFonts w:ascii="Arial" w:eastAsia="Times New Roman" w:hAnsi="Arial" w:cs="Arial"/>
                <w:b/>
                <w:bCs/>
                <w:color w:val="000000"/>
                <w:sz w:val="14"/>
                <w:szCs w:val="14"/>
                <w:lang w:val="es-US" w:eastAsia="es-US"/>
              </w:rPr>
            </w:pPr>
            <w:r w:rsidRPr="00F940EE">
              <w:rPr>
                <w:rFonts w:ascii="Arial" w:eastAsia="Times New Roman" w:hAnsi="Arial" w:cs="Arial"/>
                <w:b/>
                <w:bCs/>
                <w:color w:val="000000"/>
                <w:sz w:val="14"/>
                <w:szCs w:val="14"/>
                <w:lang w:val="es-US" w:eastAsia="es-US"/>
              </w:rPr>
              <w:t>TOTAL EJECUTADO</w:t>
            </w:r>
          </w:p>
        </w:tc>
        <w:tc>
          <w:tcPr>
            <w:tcW w:w="1104" w:type="dxa"/>
            <w:vMerge w:val="restart"/>
            <w:shd w:val="clear" w:color="auto" w:fill="D6E3BC" w:themeFill="accent3" w:themeFillTint="66"/>
            <w:vAlign w:val="center"/>
            <w:hideMark/>
          </w:tcPr>
          <w:p w14:paraId="68954D1B" w14:textId="77777777" w:rsidR="00F940EE" w:rsidRPr="00F940EE" w:rsidRDefault="00F940EE" w:rsidP="00F940EE">
            <w:pPr>
              <w:spacing w:after="0" w:line="240" w:lineRule="auto"/>
              <w:jc w:val="center"/>
              <w:rPr>
                <w:rFonts w:ascii="Arial" w:eastAsia="Times New Roman" w:hAnsi="Arial" w:cs="Arial"/>
                <w:b/>
                <w:bCs/>
                <w:color w:val="000000"/>
                <w:sz w:val="14"/>
                <w:szCs w:val="14"/>
                <w:lang w:val="es-US" w:eastAsia="es-US"/>
              </w:rPr>
            </w:pPr>
            <w:r w:rsidRPr="00F940EE">
              <w:rPr>
                <w:rFonts w:ascii="Arial" w:eastAsia="Times New Roman" w:hAnsi="Arial" w:cs="Arial"/>
                <w:b/>
                <w:bCs/>
                <w:color w:val="000000"/>
                <w:sz w:val="14"/>
                <w:szCs w:val="14"/>
                <w:lang w:val="es-US" w:eastAsia="es-US"/>
              </w:rPr>
              <w:t>% EJECUTADO</w:t>
            </w:r>
          </w:p>
        </w:tc>
      </w:tr>
      <w:tr w:rsidR="00F940EE" w:rsidRPr="00F940EE" w14:paraId="47849A65" w14:textId="77777777" w:rsidTr="00101172">
        <w:trPr>
          <w:trHeight w:val="509"/>
          <w:jc w:val="center"/>
        </w:trPr>
        <w:tc>
          <w:tcPr>
            <w:tcW w:w="853" w:type="dxa"/>
            <w:vMerge/>
            <w:shd w:val="clear" w:color="auto" w:fill="D6E3BC" w:themeFill="accent3" w:themeFillTint="66"/>
            <w:vAlign w:val="center"/>
            <w:hideMark/>
          </w:tcPr>
          <w:p w14:paraId="4204F6AB" w14:textId="77777777" w:rsidR="00F940EE" w:rsidRPr="00F940EE" w:rsidRDefault="00F940EE" w:rsidP="00F940EE">
            <w:pPr>
              <w:spacing w:after="0" w:line="240" w:lineRule="auto"/>
              <w:rPr>
                <w:rFonts w:ascii="Arial" w:eastAsia="Times New Roman" w:hAnsi="Arial" w:cs="Arial"/>
                <w:b/>
                <w:bCs/>
                <w:color w:val="000000"/>
                <w:sz w:val="14"/>
                <w:szCs w:val="14"/>
                <w:lang w:val="es-US" w:eastAsia="es-US"/>
              </w:rPr>
            </w:pPr>
          </w:p>
        </w:tc>
        <w:tc>
          <w:tcPr>
            <w:tcW w:w="3173" w:type="dxa"/>
            <w:vMerge/>
            <w:shd w:val="clear" w:color="auto" w:fill="D6E3BC" w:themeFill="accent3" w:themeFillTint="66"/>
            <w:vAlign w:val="center"/>
            <w:hideMark/>
          </w:tcPr>
          <w:p w14:paraId="5377CDFE" w14:textId="77777777" w:rsidR="00F940EE" w:rsidRPr="00F940EE" w:rsidRDefault="00F940EE" w:rsidP="00F940EE">
            <w:pPr>
              <w:spacing w:after="0" w:line="240" w:lineRule="auto"/>
              <w:rPr>
                <w:rFonts w:ascii="Arial" w:eastAsia="Times New Roman" w:hAnsi="Arial" w:cs="Arial"/>
                <w:b/>
                <w:bCs/>
                <w:color w:val="000000"/>
                <w:sz w:val="14"/>
                <w:szCs w:val="14"/>
                <w:lang w:val="es-US" w:eastAsia="es-US"/>
              </w:rPr>
            </w:pPr>
          </w:p>
        </w:tc>
        <w:tc>
          <w:tcPr>
            <w:tcW w:w="1456" w:type="dxa"/>
            <w:vMerge/>
            <w:shd w:val="clear" w:color="auto" w:fill="D6E3BC" w:themeFill="accent3" w:themeFillTint="66"/>
            <w:vAlign w:val="center"/>
            <w:hideMark/>
          </w:tcPr>
          <w:p w14:paraId="36267B3E" w14:textId="77777777" w:rsidR="00F940EE" w:rsidRPr="00F940EE" w:rsidRDefault="00F940EE" w:rsidP="00F940EE">
            <w:pPr>
              <w:spacing w:after="0" w:line="240" w:lineRule="auto"/>
              <w:rPr>
                <w:rFonts w:ascii="Arial" w:eastAsia="Times New Roman" w:hAnsi="Arial" w:cs="Arial"/>
                <w:b/>
                <w:bCs/>
                <w:color w:val="000000"/>
                <w:sz w:val="14"/>
                <w:szCs w:val="14"/>
                <w:lang w:val="es-US" w:eastAsia="es-US"/>
              </w:rPr>
            </w:pPr>
          </w:p>
        </w:tc>
        <w:tc>
          <w:tcPr>
            <w:tcW w:w="1324" w:type="dxa"/>
            <w:vMerge/>
            <w:shd w:val="clear" w:color="auto" w:fill="D6E3BC" w:themeFill="accent3" w:themeFillTint="66"/>
            <w:vAlign w:val="center"/>
            <w:hideMark/>
          </w:tcPr>
          <w:p w14:paraId="7D52B790" w14:textId="77777777" w:rsidR="00F940EE" w:rsidRPr="00F940EE" w:rsidRDefault="00F940EE" w:rsidP="00F940EE">
            <w:pPr>
              <w:spacing w:after="0" w:line="240" w:lineRule="auto"/>
              <w:rPr>
                <w:rFonts w:ascii="Arial" w:eastAsia="Times New Roman" w:hAnsi="Arial" w:cs="Arial"/>
                <w:b/>
                <w:bCs/>
                <w:color w:val="000000"/>
                <w:sz w:val="14"/>
                <w:szCs w:val="14"/>
                <w:lang w:val="es-US" w:eastAsia="es-US"/>
              </w:rPr>
            </w:pPr>
          </w:p>
        </w:tc>
        <w:tc>
          <w:tcPr>
            <w:tcW w:w="1361" w:type="dxa"/>
            <w:vMerge/>
            <w:shd w:val="clear" w:color="auto" w:fill="D6E3BC" w:themeFill="accent3" w:themeFillTint="66"/>
            <w:vAlign w:val="center"/>
            <w:hideMark/>
          </w:tcPr>
          <w:p w14:paraId="153FB489" w14:textId="77777777" w:rsidR="00F940EE" w:rsidRPr="00F940EE" w:rsidRDefault="00F940EE" w:rsidP="00F940EE">
            <w:pPr>
              <w:spacing w:after="0" w:line="240" w:lineRule="auto"/>
              <w:rPr>
                <w:rFonts w:ascii="Arial" w:eastAsia="Times New Roman" w:hAnsi="Arial" w:cs="Arial"/>
                <w:b/>
                <w:bCs/>
                <w:color w:val="000000"/>
                <w:sz w:val="14"/>
                <w:szCs w:val="14"/>
                <w:lang w:val="es-US" w:eastAsia="es-US"/>
              </w:rPr>
            </w:pPr>
          </w:p>
        </w:tc>
        <w:tc>
          <w:tcPr>
            <w:tcW w:w="1361" w:type="dxa"/>
            <w:vMerge/>
            <w:shd w:val="clear" w:color="auto" w:fill="D6E3BC" w:themeFill="accent3" w:themeFillTint="66"/>
            <w:vAlign w:val="center"/>
            <w:hideMark/>
          </w:tcPr>
          <w:p w14:paraId="47FDA910" w14:textId="77777777" w:rsidR="00F940EE" w:rsidRPr="00F940EE" w:rsidRDefault="00F940EE" w:rsidP="00F940EE">
            <w:pPr>
              <w:spacing w:after="0" w:line="240" w:lineRule="auto"/>
              <w:rPr>
                <w:rFonts w:ascii="Arial" w:eastAsia="Times New Roman" w:hAnsi="Arial" w:cs="Arial"/>
                <w:b/>
                <w:bCs/>
                <w:color w:val="000000"/>
                <w:sz w:val="14"/>
                <w:szCs w:val="14"/>
                <w:lang w:val="es-US" w:eastAsia="es-US"/>
              </w:rPr>
            </w:pPr>
          </w:p>
        </w:tc>
        <w:tc>
          <w:tcPr>
            <w:tcW w:w="1104" w:type="dxa"/>
            <w:vMerge/>
            <w:shd w:val="clear" w:color="auto" w:fill="D6E3BC" w:themeFill="accent3" w:themeFillTint="66"/>
            <w:vAlign w:val="center"/>
            <w:hideMark/>
          </w:tcPr>
          <w:p w14:paraId="694B949D" w14:textId="77777777" w:rsidR="00F940EE" w:rsidRPr="00F940EE" w:rsidRDefault="00F940EE" w:rsidP="00F940EE">
            <w:pPr>
              <w:spacing w:after="0" w:line="240" w:lineRule="auto"/>
              <w:rPr>
                <w:rFonts w:ascii="Arial" w:eastAsia="Times New Roman" w:hAnsi="Arial" w:cs="Arial"/>
                <w:b/>
                <w:bCs/>
                <w:color w:val="000000"/>
                <w:sz w:val="14"/>
                <w:szCs w:val="14"/>
                <w:lang w:val="es-US" w:eastAsia="es-US"/>
              </w:rPr>
            </w:pPr>
          </w:p>
        </w:tc>
      </w:tr>
      <w:tr w:rsidR="00F940EE" w:rsidRPr="00F940EE" w14:paraId="0C8F0187" w14:textId="77777777" w:rsidTr="004F5C6C">
        <w:trPr>
          <w:trHeight w:val="473"/>
          <w:jc w:val="center"/>
        </w:trPr>
        <w:tc>
          <w:tcPr>
            <w:tcW w:w="853" w:type="dxa"/>
            <w:shd w:val="clear" w:color="000000" w:fill="E7E6E6"/>
            <w:noWrap/>
            <w:vAlign w:val="center"/>
            <w:hideMark/>
          </w:tcPr>
          <w:p w14:paraId="4523DF78" w14:textId="77777777" w:rsidR="00F940EE" w:rsidRPr="00F940EE" w:rsidRDefault="00F940EE" w:rsidP="00F940EE">
            <w:pPr>
              <w:spacing w:after="0" w:line="240" w:lineRule="auto"/>
              <w:rPr>
                <w:rFonts w:ascii="Arial" w:eastAsia="Times New Roman" w:hAnsi="Arial" w:cs="Arial"/>
                <w:b/>
                <w:bCs/>
                <w:sz w:val="14"/>
                <w:szCs w:val="14"/>
                <w:lang w:val="es-US" w:eastAsia="es-US"/>
              </w:rPr>
            </w:pPr>
            <w:r w:rsidRPr="00F940EE">
              <w:rPr>
                <w:rFonts w:ascii="Arial" w:eastAsia="Times New Roman" w:hAnsi="Arial" w:cs="Arial"/>
                <w:b/>
                <w:bCs/>
                <w:sz w:val="14"/>
                <w:szCs w:val="14"/>
                <w:lang w:val="es-US" w:eastAsia="es-US"/>
              </w:rPr>
              <w:t>1</w:t>
            </w:r>
          </w:p>
        </w:tc>
        <w:tc>
          <w:tcPr>
            <w:tcW w:w="3173" w:type="dxa"/>
            <w:shd w:val="clear" w:color="000000" w:fill="E7E6E6"/>
            <w:noWrap/>
            <w:vAlign w:val="center"/>
            <w:hideMark/>
          </w:tcPr>
          <w:p w14:paraId="0C40E313" w14:textId="77777777" w:rsidR="00F940EE" w:rsidRPr="00F940EE" w:rsidRDefault="00F940EE" w:rsidP="00F940EE">
            <w:pPr>
              <w:spacing w:after="0" w:line="240" w:lineRule="auto"/>
              <w:rPr>
                <w:rFonts w:ascii="Arial" w:eastAsia="Times New Roman" w:hAnsi="Arial" w:cs="Arial"/>
                <w:b/>
                <w:bCs/>
                <w:sz w:val="14"/>
                <w:szCs w:val="14"/>
                <w:lang w:val="es-US" w:eastAsia="es-US"/>
              </w:rPr>
            </w:pPr>
            <w:r w:rsidRPr="00F940EE">
              <w:rPr>
                <w:rFonts w:ascii="Arial" w:eastAsia="Times New Roman" w:hAnsi="Arial" w:cs="Arial"/>
                <w:b/>
                <w:bCs/>
                <w:sz w:val="14"/>
                <w:szCs w:val="14"/>
                <w:lang w:val="es-US" w:eastAsia="es-US"/>
              </w:rPr>
              <w:t>Servicios</w:t>
            </w:r>
          </w:p>
        </w:tc>
        <w:tc>
          <w:tcPr>
            <w:tcW w:w="1456" w:type="dxa"/>
            <w:shd w:val="clear" w:color="000000" w:fill="E7E6E6"/>
            <w:noWrap/>
            <w:vAlign w:val="center"/>
            <w:hideMark/>
          </w:tcPr>
          <w:p w14:paraId="305419A2" w14:textId="77777777" w:rsidR="00F940EE" w:rsidRPr="00F940EE" w:rsidRDefault="00F940EE" w:rsidP="00F940EE">
            <w:pPr>
              <w:spacing w:after="0" w:line="240" w:lineRule="auto"/>
              <w:rPr>
                <w:rFonts w:ascii="Arial" w:eastAsia="Times New Roman" w:hAnsi="Arial" w:cs="Arial"/>
                <w:b/>
                <w:bCs/>
                <w:sz w:val="14"/>
                <w:szCs w:val="14"/>
                <w:lang w:val="es-US" w:eastAsia="es-US"/>
              </w:rPr>
            </w:pPr>
            <w:r w:rsidRPr="00F940EE">
              <w:rPr>
                <w:rFonts w:ascii="Arial" w:eastAsia="Times New Roman" w:hAnsi="Arial" w:cs="Arial"/>
                <w:b/>
                <w:bCs/>
                <w:sz w:val="14"/>
                <w:szCs w:val="14"/>
                <w:lang w:val="es-US" w:eastAsia="es-US"/>
              </w:rPr>
              <w:t xml:space="preserve">                   190,431,679 </w:t>
            </w:r>
          </w:p>
        </w:tc>
        <w:tc>
          <w:tcPr>
            <w:tcW w:w="1324" w:type="dxa"/>
            <w:shd w:val="clear" w:color="000000" w:fill="E7E6E6"/>
            <w:noWrap/>
            <w:vAlign w:val="center"/>
            <w:hideMark/>
          </w:tcPr>
          <w:p w14:paraId="25682B81" w14:textId="77777777" w:rsidR="00F940EE" w:rsidRPr="00F940EE" w:rsidRDefault="00F940EE" w:rsidP="00F940EE">
            <w:pPr>
              <w:spacing w:after="0" w:line="240" w:lineRule="auto"/>
              <w:rPr>
                <w:rFonts w:ascii="Arial" w:eastAsia="Times New Roman" w:hAnsi="Arial" w:cs="Arial"/>
                <w:b/>
                <w:bCs/>
                <w:sz w:val="14"/>
                <w:szCs w:val="14"/>
                <w:lang w:val="es-US" w:eastAsia="es-US"/>
              </w:rPr>
            </w:pPr>
            <w:r w:rsidRPr="00F940EE">
              <w:rPr>
                <w:rFonts w:ascii="Arial" w:eastAsia="Times New Roman" w:hAnsi="Arial" w:cs="Arial"/>
                <w:b/>
                <w:bCs/>
                <w:sz w:val="14"/>
                <w:szCs w:val="14"/>
                <w:lang w:val="es-US" w:eastAsia="es-US"/>
              </w:rPr>
              <w:t xml:space="preserve">            70,795,115 </w:t>
            </w:r>
          </w:p>
        </w:tc>
        <w:tc>
          <w:tcPr>
            <w:tcW w:w="1361" w:type="dxa"/>
            <w:shd w:val="clear" w:color="000000" w:fill="E7E6E6"/>
            <w:noWrap/>
            <w:vAlign w:val="center"/>
            <w:hideMark/>
          </w:tcPr>
          <w:p w14:paraId="12F120B8" w14:textId="77777777" w:rsidR="00F940EE" w:rsidRPr="00F940EE" w:rsidRDefault="00F940EE" w:rsidP="00F940EE">
            <w:pPr>
              <w:spacing w:after="0" w:line="240" w:lineRule="auto"/>
              <w:rPr>
                <w:rFonts w:ascii="Arial" w:eastAsia="Times New Roman" w:hAnsi="Arial" w:cs="Arial"/>
                <w:b/>
                <w:bCs/>
                <w:sz w:val="14"/>
                <w:szCs w:val="14"/>
                <w:lang w:val="es-US" w:eastAsia="es-US"/>
              </w:rPr>
            </w:pPr>
            <w:r w:rsidRPr="00F940EE">
              <w:rPr>
                <w:rFonts w:ascii="Arial" w:eastAsia="Times New Roman" w:hAnsi="Arial" w:cs="Arial"/>
                <w:b/>
                <w:bCs/>
                <w:sz w:val="14"/>
                <w:szCs w:val="14"/>
                <w:lang w:val="es-US" w:eastAsia="es-US"/>
              </w:rPr>
              <w:t xml:space="preserve">         40,874,295 </w:t>
            </w:r>
          </w:p>
        </w:tc>
        <w:tc>
          <w:tcPr>
            <w:tcW w:w="1361" w:type="dxa"/>
            <w:shd w:val="clear" w:color="000000" w:fill="E7E6E6"/>
            <w:noWrap/>
            <w:vAlign w:val="center"/>
            <w:hideMark/>
          </w:tcPr>
          <w:p w14:paraId="4780F47B" w14:textId="77777777" w:rsidR="00F940EE" w:rsidRPr="00F940EE" w:rsidRDefault="00F940EE" w:rsidP="00F940EE">
            <w:pPr>
              <w:spacing w:after="0" w:line="240" w:lineRule="auto"/>
              <w:rPr>
                <w:rFonts w:ascii="Arial" w:eastAsia="Times New Roman" w:hAnsi="Arial" w:cs="Arial"/>
                <w:b/>
                <w:bCs/>
                <w:sz w:val="14"/>
                <w:szCs w:val="14"/>
                <w:lang w:val="es-US" w:eastAsia="es-US"/>
              </w:rPr>
            </w:pPr>
            <w:r w:rsidRPr="00F940EE">
              <w:rPr>
                <w:rFonts w:ascii="Arial" w:eastAsia="Times New Roman" w:hAnsi="Arial" w:cs="Arial"/>
                <w:b/>
                <w:bCs/>
                <w:sz w:val="14"/>
                <w:szCs w:val="14"/>
                <w:lang w:val="es-US" w:eastAsia="es-US"/>
              </w:rPr>
              <w:t xml:space="preserve">      111,669,411 </w:t>
            </w:r>
          </w:p>
        </w:tc>
        <w:tc>
          <w:tcPr>
            <w:tcW w:w="1104" w:type="dxa"/>
            <w:shd w:val="clear" w:color="000000" w:fill="E7E6E6"/>
            <w:noWrap/>
            <w:vAlign w:val="center"/>
            <w:hideMark/>
          </w:tcPr>
          <w:p w14:paraId="392FF105" w14:textId="77777777" w:rsidR="00F940EE" w:rsidRPr="00F940EE" w:rsidRDefault="00F940EE" w:rsidP="00F940EE">
            <w:pPr>
              <w:spacing w:after="0" w:line="240" w:lineRule="auto"/>
              <w:jc w:val="right"/>
              <w:rPr>
                <w:rFonts w:ascii="Arial" w:eastAsia="Times New Roman" w:hAnsi="Arial" w:cs="Arial"/>
                <w:b/>
                <w:bCs/>
                <w:sz w:val="14"/>
                <w:szCs w:val="14"/>
                <w:lang w:val="es-US" w:eastAsia="es-US"/>
              </w:rPr>
            </w:pPr>
            <w:r w:rsidRPr="00F940EE">
              <w:rPr>
                <w:rFonts w:ascii="Arial" w:eastAsia="Times New Roman" w:hAnsi="Arial" w:cs="Arial"/>
                <w:b/>
                <w:bCs/>
                <w:sz w:val="14"/>
                <w:szCs w:val="14"/>
                <w:lang w:val="es-US" w:eastAsia="es-US"/>
              </w:rPr>
              <w:t>58.64%</w:t>
            </w:r>
          </w:p>
        </w:tc>
      </w:tr>
      <w:tr w:rsidR="00F940EE" w:rsidRPr="00F940EE" w14:paraId="2B3DCA07" w14:textId="77777777" w:rsidTr="004F5C6C">
        <w:trPr>
          <w:trHeight w:val="284"/>
          <w:jc w:val="center"/>
        </w:trPr>
        <w:tc>
          <w:tcPr>
            <w:tcW w:w="853" w:type="dxa"/>
            <w:shd w:val="clear" w:color="000000" w:fill="FFFFFF"/>
            <w:noWrap/>
            <w:vAlign w:val="center"/>
            <w:hideMark/>
          </w:tcPr>
          <w:p w14:paraId="653A5675"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1.01.01</w:t>
            </w:r>
          </w:p>
        </w:tc>
        <w:tc>
          <w:tcPr>
            <w:tcW w:w="3173" w:type="dxa"/>
            <w:shd w:val="clear" w:color="000000" w:fill="FFFFFF"/>
            <w:noWrap/>
            <w:vAlign w:val="center"/>
            <w:hideMark/>
          </w:tcPr>
          <w:p w14:paraId="0A13AC1C"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 xml:space="preserve">Alquiler de edificios, locales y terrenos </w:t>
            </w:r>
          </w:p>
        </w:tc>
        <w:tc>
          <w:tcPr>
            <w:tcW w:w="1456" w:type="dxa"/>
            <w:shd w:val="clear" w:color="000000" w:fill="FFFFFF"/>
            <w:noWrap/>
            <w:vAlign w:val="center"/>
            <w:hideMark/>
          </w:tcPr>
          <w:p w14:paraId="2FBE6D56" w14:textId="77777777" w:rsidR="00F940EE" w:rsidRPr="00F940EE" w:rsidRDefault="00F940EE" w:rsidP="00F940EE">
            <w:pPr>
              <w:spacing w:after="0" w:line="240" w:lineRule="auto"/>
              <w:jc w:val="right"/>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5,656,598</w:t>
            </w:r>
          </w:p>
        </w:tc>
        <w:tc>
          <w:tcPr>
            <w:tcW w:w="1324" w:type="dxa"/>
            <w:shd w:val="clear" w:color="000000" w:fill="FFFFFF"/>
            <w:noWrap/>
            <w:vAlign w:val="bottom"/>
            <w:hideMark/>
          </w:tcPr>
          <w:p w14:paraId="37755ACD"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3,377,964 </w:t>
            </w:r>
          </w:p>
        </w:tc>
        <w:tc>
          <w:tcPr>
            <w:tcW w:w="1361" w:type="dxa"/>
            <w:shd w:val="clear" w:color="000000" w:fill="FFFFFF"/>
            <w:noWrap/>
            <w:vAlign w:val="bottom"/>
            <w:hideMark/>
          </w:tcPr>
          <w:p w14:paraId="4781B379"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2,110,939 </w:t>
            </w:r>
          </w:p>
        </w:tc>
        <w:tc>
          <w:tcPr>
            <w:tcW w:w="1361" w:type="dxa"/>
            <w:shd w:val="clear" w:color="000000" w:fill="FFFFFF"/>
            <w:noWrap/>
            <w:vAlign w:val="bottom"/>
            <w:hideMark/>
          </w:tcPr>
          <w:p w14:paraId="55CF0EC9"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5,488,902 </w:t>
            </w:r>
          </w:p>
        </w:tc>
        <w:tc>
          <w:tcPr>
            <w:tcW w:w="1104" w:type="dxa"/>
            <w:shd w:val="clear" w:color="000000" w:fill="FFFFFF"/>
            <w:noWrap/>
            <w:vAlign w:val="bottom"/>
            <w:hideMark/>
          </w:tcPr>
          <w:p w14:paraId="03770918" w14:textId="77777777" w:rsidR="00F940EE" w:rsidRPr="00F940EE" w:rsidRDefault="00F940EE" w:rsidP="00F940EE">
            <w:pPr>
              <w:spacing w:after="0" w:line="240" w:lineRule="auto"/>
              <w:jc w:val="right"/>
              <w:rPr>
                <w:rFonts w:eastAsia="Times New Roman" w:cs="Calibri"/>
                <w:color w:val="000000"/>
                <w:sz w:val="14"/>
                <w:szCs w:val="14"/>
                <w:lang w:val="es-US" w:eastAsia="es-US"/>
              </w:rPr>
            </w:pPr>
            <w:r w:rsidRPr="00F940EE">
              <w:rPr>
                <w:rFonts w:eastAsia="Times New Roman" w:cs="Calibri"/>
                <w:color w:val="000000"/>
                <w:sz w:val="14"/>
                <w:szCs w:val="14"/>
                <w:lang w:val="es-US" w:eastAsia="es-US"/>
              </w:rPr>
              <w:t>97.04%</w:t>
            </w:r>
          </w:p>
        </w:tc>
      </w:tr>
      <w:tr w:rsidR="00F940EE" w:rsidRPr="00F940EE" w14:paraId="2392D910" w14:textId="77777777" w:rsidTr="004F5C6C">
        <w:trPr>
          <w:trHeight w:val="284"/>
          <w:jc w:val="center"/>
        </w:trPr>
        <w:tc>
          <w:tcPr>
            <w:tcW w:w="853" w:type="dxa"/>
            <w:shd w:val="clear" w:color="000000" w:fill="FFFFFF"/>
            <w:noWrap/>
            <w:vAlign w:val="center"/>
            <w:hideMark/>
          </w:tcPr>
          <w:p w14:paraId="7C7C4648"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1.02.99</w:t>
            </w:r>
          </w:p>
        </w:tc>
        <w:tc>
          <w:tcPr>
            <w:tcW w:w="3173" w:type="dxa"/>
            <w:shd w:val="clear" w:color="000000" w:fill="FFFFFF"/>
            <w:noWrap/>
            <w:vAlign w:val="center"/>
            <w:hideMark/>
          </w:tcPr>
          <w:p w14:paraId="46A12CE5"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Otros servicios básicos</w:t>
            </w:r>
          </w:p>
        </w:tc>
        <w:tc>
          <w:tcPr>
            <w:tcW w:w="1456" w:type="dxa"/>
            <w:shd w:val="clear" w:color="000000" w:fill="FFFFFF"/>
            <w:noWrap/>
            <w:vAlign w:val="center"/>
            <w:hideMark/>
          </w:tcPr>
          <w:p w14:paraId="30442708" w14:textId="77777777" w:rsidR="00F940EE" w:rsidRPr="00F940EE" w:rsidRDefault="00F940EE" w:rsidP="00F940EE">
            <w:pPr>
              <w:spacing w:after="0" w:line="240" w:lineRule="auto"/>
              <w:jc w:val="right"/>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1,540,000</w:t>
            </w:r>
          </w:p>
        </w:tc>
        <w:tc>
          <w:tcPr>
            <w:tcW w:w="1324" w:type="dxa"/>
            <w:shd w:val="clear" w:color="000000" w:fill="FFFFFF"/>
            <w:noWrap/>
            <w:vAlign w:val="bottom"/>
            <w:hideMark/>
          </w:tcPr>
          <w:p w14:paraId="419A2F94"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594,986 </w:t>
            </w:r>
          </w:p>
        </w:tc>
        <w:tc>
          <w:tcPr>
            <w:tcW w:w="1361" w:type="dxa"/>
            <w:shd w:val="clear" w:color="000000" w:fill="FFFFFF"/>
            <w:noWrap/>
            <w:vAlign w:val="bottom"/>
            <w:hideMark/>
          </w:tcPr>
          <w:p w14:paraId="11983EC2"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537,975 </w:t>
            </w:r>
          </w:p>
        </w:tc>
        <w:tc>
          <w:tcPr>
            <w:tcW w:w="1361" w:type="dxa"/>
            <w:shd w:val="clear" w:color="000000" w:fill="FFFFFF"/>
            <w:noWrap/>
            <w:vAlign w:val="bottom"/>
            <w:hideMark/>
          </w:tcPr>
          <w:p w14:paraId="18AC643B"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1,132,961 </w:t>
            </w:r>
          </w:p>
        </w:tc>
        <w:tc>
          <w:tcPr>
            <w:tcW w:w="1104" w:type="dxa"/>
            <w:shd w:val="clear" w:color="000000" w:fill="FFFFFF"/>
            <w:noWrap/>
            <w:vAlign w:val="bottom"/>
            <w:hideMark/>
          </w:tcPr>
          <w:p w14:paraId="288DF76A" w14:textId="77777777" w:rsidR="00F940EE" w:rsidRPr="00F940EE" w:rsidRDefault="00F940EE" w:rsidP="00F940EE">
            <w:pPr>
              <w:spacing w:after="0" w:line="240" w:lineRule="auto"/>
              <w:jc w:val="right"/>
              <w:rPr>
                <w:rFonts w:eastAsia="Times New Roman" w:cs="Calibri"/>
                <w:color w:val="000000"/>
                <w:sz w:val="14"/>
                <w:szCs w:val="14"/>
                <w:lang w:val="es-US" w:eastAsia="es-US"/>
              </w:rPr>
            </w:pPr>
            <w:r w:rsidRPr="00F940EE">
              <w:rPr>
                <w:rFonts w:eastAsia="Times New Roman" w:cs="Calibri"/>
                <w:color w:val="000000"/>
                <w:sz w:val="14"/>
                <w:szCs w:val="14"/>
                <w:lang w:val="es-US" w:eastAsia="es-US"/>
              </w:rPr>
              <w:t>73.57%</w:t>
            </w:r>
          </w:p>
        </w:tc>
      </w:tr>
      <w:tr w:rsidR="00F940EE" w:rsidRPr="00F940EE" w14:paraId="10FE97C1" w14:textId="77777777" w:rsidTr="004F5C6C">
        <w:trPr>
          <w:trHeight w:val="284"/>
          <w:jc w:val="center"/>
        </w:trPr>
        <w:tc>
          <w:tcPr>
            <w:tcW w:w="853" w:type="dxa"/>
            <w:shd w:val="clear" w:color="000000" w:fill="FFFFFF"/>
            <w:noWrap/>
            <w:vAlign w:val="center"/>
            <w:hideMark/>
          </w:tcPr>
          <w:p w14:paraId="539E1074"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1.03.03</w:t>
            </w:r>
          </w:p>
        </w:tc>
        <w:tc>
          <w:tcPr>
            <w:tcW w:w="3173" w:type="dxa"/>
            <w:shd w:val="clear" w:color="000000" w:fill="FFFFFF"/>
            <w:noWrap/>
            <w:vAlign w:val="center"/>
            <w:hideMark/>
          </w:tcPr>
          <w:p w14:paraId="71EA2394"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Impresión, encuadernación y otros</w:t>
            </w:r>
          </w:p>
        </w:tc>
        <w:tc>
          <w:tcPr>
            <w:tcW w:w="1456" w:type="dxa"/>
            <w:shd w:val="clear" w:color="000000" w:fill="FFFFFF"/>
            <w:noWrap/>
            <w:vAlign w:val="center"/>
            <w:hideMark/>
          </w:tcPr>
          <w:p w14:paraId="3E63E51E" w14:textId="77777777" w:rsidR="00F940EE" w:rsidRPr="00F940EE" w:rsidRDefault="00F940EE" w:rsidP="00F940EE">
            <w:pPr>
              <w:spacing w:after="0" w:line="240" w:lineRule="auto"/>
              <w:jc w:val="right"/>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300,000</w:t>
            </w:r>
          </w:p>
        </w:tc>
        <w:tc>
          <w:tcPr>
            <w:tcW w:w="1324" w:type="dxa"/>
            <w:shd w:val="clear" w:color="000000" w:fill="FFFFFF"/>
            <w:noWrap/>
            <w:vAlign w:val="bottom"/>
            <w:hideMark/>
          </w:tcPr>
          <w:p w14:paraId="19598F96"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   </w:t>
            </w:r>
          </w:p>
        </w:tc>
        <w:tc>
          <w:tcPr>
            <w:tcW w:w="1361" w:type="dxa"/>
            <w:shd w:val="clear" w:color="000000" w:fill="FFFFFF"/>
            <w:noWrap/>
            <w:vAlign w:val="bottom"/>
            <w:hideMark/>
          </w:tcPr>
          <w:p w14:paraId="66497EBD"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298,223 </w:t>
            </w:r>
          </w:p>
        </w:tc>
        <w:tc>
          <w:tcPr>
            <w:tcW w:w="1361" w:type="dxa"/>
            <w:shd w:val="clear" w:color="000000" w:fill="FFFFFF"/>
            <w:noWrap/>
            <w:vAlign w:val="bottom"/>
            <w:hideMark/>
          </w:tcPr>
          <w:p w14:paraId="2C90041C"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298,223 </w:t>
            </w:r>
          </w:p>
        </w:tc>
        <w:tc>
          <w:tcPr>
            <w:tcW w:w="1104" w:type="dxa"/>
            <w:shd w:val="clear" w:color="000000" w:fill="FFFFFF"/>
            <w:noWrap/>
            <w:vAlign w:val="bottom"/>
            <w:hideMark/>
          </w:tcPr>
          <w:p w14:paraId="2BFA6BC8" w14:textId="77777777" w:rsidR="00F940EE" w:rsidRPr="00F940EE" w:rsidRDefault="00F940EE" w:rsidP="00F940EE">
            <w:pPr>
              <w:spacing w:after="0" w:line="240" w:lineRule="auto"/>
              <w:jc w:val="right"/>
              <w:rPr>
                <w:rFonts w:eastAsia="Times New Roman" w:cs="Calibri"/>
                <w:color w:val="000000"/>
                <w:sz w:val="14"/>
                <w:szCs w:val="14"/>
                <w:lang w:val="es-US" w:eastAsia="es-US"/>
              </w:rPr>
            </w:pPr>
            <w:r w:rsidRPr="00F940EE">
              <w:rPr>
                <w:rFonts w:eastAsia="Times New Roman" w:cs="Calibri"/>
                <w:color w:val="000000"/>
                <w:sz w:val="14"/>
                <w:szCs w:val="14"/>
                <w:lang w:val="es-US" w:eastAsia="es-US"/>
              </w:rPr>
              <w:t>99.41%</w:t>
            </w:r>
          </w:p>
        </w:tc>
      </w:tr>
      <w:tr w:rsidR="00F940EE" w:rsidRPr="00F940EE" w14:paraId="3DB4DE20" w14:textId="77777777" w:rsidTr="004F5C6C">
        <w:trPr>
          <w:trHeight w:val="284"/>
          <w:jc w:val="center"/>
        </w:trPr>
        <w:tc>
          <w:tcPr>
            <w:tcW w:w="853" w:type="dxa"/>
            <w:shd w:val="clear" w:color="000000" w:fill="FFFFFF"/>
            <w:noWrap/>
            <w:vAlign w:val="center"/>
            <w:hideMark/>
          </w:tcPr>
          <w:p w14:paraId="12107CEA"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1.04.02</w:t>
            </w:r>
          </w:p>
        </w:tc>
        <w:tc>
          <w:tcPr>
            <w:tcW w:w="3173" w:type="dxa"/>
            <w:shd w:val="clear" w:color="000000" w:fill="FFFFFF"/>
            <w:noWrap/>
            <w:vAlign w:val="center"/>
            <w:hideMark/>
          </w:tcPr>
          <w:p w14:paraId="1D94E085"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Servicios jurídicos</w:t>
            </w:r>
          </w:p>
        </w:tc>
        <w:tc>
          <w:tcPr>
            <w:tcW w:w="1456" w:type="dxa"/>
            <w:shd w:val="clear" w:color="000000" w:fill="FFFFFF"/>
            <w:noWrap/>
            <w:vAlign w:val="center"/>
            <w:hideMark/>
          </w:tcPr>
          <w:p w14:paraId="73761B0A" w14:textId="77777777" w:rsidR="00F940EE" w:rsidRPr="00F940EE" w:rsidRDefault="00F940EE" w:rsidP="00F940EE">
            <w:pPr>
              <w:spacing w:after="0" w:line="240" w:lineRule="auto"/>
              <w:jc w:val="right"/>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21,375,206</w:t>
            </w:r>
          </w:p>
        </w:tc>
        <w:tc>
          <w:tcPr>
            <w:tcW w:w="1324" w:type="dxa"/>
            <w:shd w:val="clear" w:color="000000" w:fill="FFFFFF"/>
            <w:noWrap/>
            <w:vAlign w:val="bottom"/>
            <w:hideMark/>
          </w:tcPr>
          <w:p w14:paraId="14F84ED7"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10,299,293 </w:t>
            </w:r>
          </w:p>
        </w:tc>
        <w:tc>
          <w:tcPr>
            <w:tcW w:w="1361" w:type="dxa"/>
            <w:shd w:val="clear" w:color="000000" w:fill="FFFFFF"/>
            <w:noWrap/>
            <w:vAlign w:val="bottom"/>
            <w:hideMark/>
          </w:tcPr>
          <w:p w14:paraId="1EAB50C5"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3,356,581 </w:t>
            </w:r>
          </w:p>
        </w:tc>
        <w:tc>
          <w:tcPr>
            <w:tcW w:w="1361" w:type="dxa"/>
            <w:shd w:val="clear" w:color="000000" w:fill="FFFFFF"/>
            <w:noWrap/>
            <w:vAlign w:val="bottom"/>
            <w:hideMark/>
          </w:tcPr>
          <w:p w14:paraId="2D465FAC"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13,655,874 </w:t>
            </w:r>
          </w:p>
        </w:tc>
        <w:tc>
          <w:tcPr>
            <w:tcW w:w="1104" w:type="dxa"/>
            <w:shd w:val="clear" w:color="000000" w:fill="FFFFFF"/>
            <w:noWrap/>
            <w:vAlign w:val="bottom"/>
            <w:hideMark/>
          </w:tcPr>
          <w:p w14:paraId="7FD1159C" w14:textId="77777777" w:rsidR="00F940EE" w:rsidRPr="00F940EE" w:rsidRDefault="00F940EE" w:rsidP="00F940EE">
            <w:pPr>
              <w:spacing w:after="0" w:line="240" w:lineRule="auto"/>
              <w:jc w:val="right"/>
              <w:rPr>
                <w:rFonts w:eastAsia="Times New Roman" w:cs="Calibri"/>
                <w:color w:val="000000"/>
                <w:sz w:val="14"/>
                <w:szCs w:val="14"/>
                <w:lang w:val="es-US" w:eastAsia="es-US"/>
              </w:rPr>
            </w:pPr>
            <w:r w:rsidRPr="00F940EE">
              <w:rPr>
                <w:rFonts w:eastAsia="Times New Roman" w:cs="Calibri"/>
                <w:color w:val="000000"/>
                <w:sz w:val="14"/>
                <w:szCs w:val="14"/>
                <w:lang w:val="es-US" w:eastAsia="es-US"/>
              </w:rPr>
              <w:t>63.89%</w:t>
            </w:r>
          </w:p>
        </w:tc>
      </w:tr>
      <w:tr w:rsidR="00F940EE" w:rsidRPr="00F940EE" w14:paraId="7AE7B053" w14:textId="77777777" w:rsidTr="004F5C6C">
        <w:trPr>
          <w:trHeight w:val="284"/>
          <w:jc w:val="center"/>
        </w:trPr>
        <w:tc>
          <w:tcPr>
            <w:tcW w:w="853" w:type="dxa"/>
            <w:shd w:val="clear" w:color="000000" w:fill="FFFFFF"/>
            <w:noWrap/>
            <w:vAlign w:val="center"/>
            <w:hideMark/>
          </w:tcPr>
          <w:p w14:paraId="5EBA4EFC"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1.04.03</w:t>
            </w:r>
          </w:p>
        </w:tc>
        <w:tc>
          <w:tcPr>
            <w:tcW w:w="3173" w:type="dxa"/>
            <w:shd w:val="clear" w:color="000000" w:fill="FFFFFF"/>
            <w:noWrap/>
            <w:vAlign w:val="center"/>
            <w:hideMark/>
          </w:tcPr>
          <w:p w14:paraId="2C74FFD3"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Servicios de ingeniería y arquitectura</w:t>
            </w:r>
          </w:p>
        </w:tc>
        <w:tc>
          <w:tcPr>
            <w:tcW w:w="1456" w:type="dxa"/>
            <w:shd w:val="clear" w:color="000000" w:fill="FFFFFF"/>
            <w:noWrap/>
            <w:vAlign w:val="center"/>
            <w:hideMark/>
          </w:tcPr>
          <w:p w14:paraId="1F87192C" w14:textId="77777777" w:rsidR="00F940EE" w:rsidRPr="00F940EE" w:rsidRDefault="00F940EE" w:rsidP="00F940EE">
            <w:pPr>
              <w:spacing w:after="0" w:line="240" w:lineRule="auto"/>
              <w:jc w:val="right"/>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103,672,441</w:t>
            </w:r>
          </w:p>
        </w:tc>
        <w:tc>
          <w:tcPr>
            <w:tcW w:w="1324" w:type="dxa"/>
            <w:shd w:val="clear" w:color="000000" w:fill="FFFFFF"/>
            <w:noWrap/>
            <w:vAlign w:val="bottom"/>
            <w:hideMark/>
          </w:tcPr>
          <w:p w14:paraId="1CDD6675"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43,704,575 </w:t>
            </w:r>
          </w:p>
        </w:tc>
        <w:tc>
          <w:tcPr>
            <w:tcW w:w="1361" w:type="dxa"/>
            <w:shd w:val="clear" w:color="000000" w:fill="FFFFFF"/>
            <w:noWrap/>
            <w:vAlign w:val="bottom"/>
            <w:hideMark/>
          </w:tcPr>
          <w:p w14:paraId="2BE77EC7"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6,375,660 </w:t>
            </w:r>
          </w:p>
        </w:tc>
        <w:tc>
          <w:tcPr>
            <w:tcW w:w="1361" w:type="dxa"/>
            <w:shd w:val="clear" w:color="000000" w:fill="FFFFFF"/>
            <w:noWrap/>
            <w:vAlign w:val="bottom"/>
            <w:hideMark/>
          </w:tcPr>
          <w:p w14:paraId="6AF75E33"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50,080,235 </w:t>
            </w:r>
          </w:p>
        </w:tc>
        <w:tc>
          <w:tcPr>
            <w:tcW w:w="1104" w:type="dxa"/>
            <w:shd w:val="clear" w:color="000000" w:fill="FFFFFF"/>
            <w:noWrap/>
            <w:vAlign w:val="bottom"/>
            <w:hideMark/>
          </w:tcPr>
          <w:p w14:paraId="2EE5B66D" w14:textId="77777777" w:rsidR="00F940EE" w:rsidRPr="00F940EE" w:rsidRDefault="00F940EE" w:rsidP="00F940EE">
            <w:pPr>
              <w:spacing w:after="0" w:line="240" w:lineRule="auto"/>
              <w:jc w:val="right"/>
              <w:rPr>
                <w:rFonts w:eastAsia="Times New Roman" w:cs="Calibri"/>
                <w:color w:val="000000"/>
                <w:sz w:val="14"/>
                <w:szCs w:val="14"/>
                <w:lang w:val="es-US" w:eastAsia="es-US"/>
              </w:rPr>
            </w:pPr>
            <w:r w:rsidRPr="00F940EE">
              <w:rPr>
                <w:rFonts w:eastAsia="Times New Roman" w:cs="Calibri"/>
                <w:color w:val="000000"/>
                <w:sz w:val="14"/>
                <w:szCs w:val="14"/>
                <w:lang w:val="es-US" w:eastAsia="es-US"/>
              </w:rPr>
              <w:t>48.31%</w:t>
            </w:r>
          </w:p>
        </w:tc>
      </w:tr>
      <w:tr w:rsidR="00F940EE" w:rsidRPr="00F940EE" w14:paraId="01BE1236" w14:textId="77777777" w:rsidTr="004F5C6C">
        <w:trPr>
          <w:trHeight w:val="284"/>
          <w:jc w:val="center"/>
        </w:trPr>
        <w:tc>
          <w:tcPr>
            <w:tcW w:w="853" w:type="dxa"/>
            <w:shd w:val="clear" w:color="000000" w:fill="FFFFFF"/>
            <w:noWrap/>
            <w:vAlign w:val="center"/>
            <w:hideMark/>
          </w:tcPr>
          <w:p w14:paraId="2564624E"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1.04.04</w:t>
            </w:r>
          </w:p>
        </w:tc>
        <w:tc>
          <w:tcPr>
            <w:tcW w:w="3173" w:type="dxa"/>
            <w:shd w:val="clear" w:color="000000" w:fill="FFFFFF"/>
            <w:noWrap/>
            <w:vAlign w:val="center"/>
            <w:hideMark/>
          </w:tcPr>
          <w:p w14:paraId="171C1172"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Servicios de ciencias económicas y sociales</w:t>
            </w:r>
          </w:p>
        </w:tc>
        <w:tc>
          <w:tcPr>
            <w:tcW w:w="1456" w:type="dxa"/>
            <w:shd w:val="clear" w:color="000000" w:fill="FFFFFF"/>
            <w:noWrap/>
            <w:vAlign w:val="center"/>
            <w:hideMark/>
          </w:tcPr>
          <w:p w14:paraId="2AD6045A" w14:textId="77777777" w:rsidR="00F940EE" w:rsidRPr="00F940EE" w:rsidRDefault="00F940EE" w:rsidP="00F940EE">
            <w:pPr>
              <w:spacing w:after="0" w:line="240" w:lineRule="auto"/>
              <w:jc w:val="right"/>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5,307,478</w:t>
            </w:r>
          </w:p>
        </w:tc>
        <w:tc>
          <w:tcPr>
            <w:tcW w:w="1324" w:type="dxa"/>
            <w:shd w:val="clear" w:color="000000" w:fill="FFFFFF"/>
            <w:noWrap/>
            <w:vAlign w:val="bottom"/>
            <w:hideMark/>
          </w:tcPr>
          <w:p w14:paraId="6F71C48A"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   </w:t>
            </w:r>
          </w:p>
        </w:tc>
        <w:tc>
          <w:tcPr>
            <w:tcW w:w="1361" w:type="dxa"/>
            <w:shd w:val="clear" w:color="000000" w:fill="FFFFFF"/>
            <w:noWrap/>
            <w:vAlign w:val="bottom"/>
            <w:hideMark/>
          </w:tcPr>
          <w:p w14:paraId="2BE9A057"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3,731,637 </w:t>
            </w:r>
          </w:p>
        </w:tc>
        <w:tc>
          <w:tcPr>
            <w:tcW w:w="1361" w:type="dxa"/>
            <w:shd w:val="clear" w:color="000000" w:fill="FFFFFF"/>
            <w:noWrap/>
            <w:vAlign w:val="bottom"/>
            <w:hideMark/>
          </w:tcPr>
          <w:p w14:paraId="3CB8E7DF"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3,731,637 </w:t>
            </w:r>
          </w:p>
        </w:tc>
        <w:tc>
          <w:tcPr>
            <w:tcW w:w="1104" w:type="dxa"/>
            <w:shd w:val="clear" w:color="000000" w:fill="FFFFFF"/>
            <w:noWrap/>
            <w:vAlign w:val="bottom"/>
            <w:hideMark/>
          </w:tcPr>
          <w:p w14:paraId="1CA42DAE" w14:textId="77777777" w:rsidR="00F940EE" w:rsidRPr="00F940EE" w:rsidRDefault="00F940EE" w:rsidP="00F940EE">
            <w:pPr>
              <w:spacing w:after="0" w:line="240" w:lineRule="auto"/>
              <w:jc w:val="right"/>
              <w:rPr>
                <w:rFonts w:eastAsia="Times New Roman" w:cs="Calibri"/>
                <w:color w:val="000000"/>
                <w:sz w:val="14"/>
                <w:szCs w:val="14"/>
                <w:lang w:val="es-US" w:eastAsia="es-US"/>
              </w:rPr>
            </w:pPr>
            <w:r w:rsidRPr="00F940EE">
              <w:rPr>
                <w:rFonts w:eastAsia="Times New Roman" w:cs="Calibri"/>
                <w:color w:val="000000"/>
                <w:sz w:val="14"/>
                <w:szCs w:val="14"/>
                <w:lang w:val="es-US" w:eastAsia="es-US"/>
              </w:rPr>
              <w:t>70.31%</w:t>
            </w:r>
          </w:p>
        </w:tc>
      </w:tr>
      <w:tr w:rsidR="00F940EE" w:rsidRPr="00F940EE" w14:paraId="76D0827F" w14:textId="77777777" w:rsidTr="004F5C6C">
        <w:trPr>
          <w:trHeight w:val="284"/>
          <w:jc w:val="center"/>
        </w:trPr>
        <w:tc>
          <w:tcPr>
            <w:tcW w:w="853" w:type="dxa"/>
            <w:shd w:val="clear" w:color="000000" w:fill="FFFFFF"/>
            <w:noWrap/>
            <w:vAlign w:val="center"/>
            <w:hideMark/>
          </w:tcPr>
          <w:p w14:paraId="73CD64FA"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1.04.06</w:t>
            </w:r>
          </w:p>
        </w:tc>
        <w:tc>
          <w:tcPr>
            <w:tcW w:w="3173" w:type="dxa"/>
            <w:shd w:val="clear" w:color="000000" w:fill="FFFFFF"/>
            <w:noWrap/>
            <w:vAlign w:val="center"/>
            <w:hideMark/>
          </w:tcPr>
          <w:p w14:paraId="29A7AFFA"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 xml:space="preserve">Servicios Generales </w:t>
            </w:r>
          </w:p>
        </w:tc>
        <w:tc>
          <w:tcPr>
            <w:tcW w:w="1456" w:type="dxa"/>
            <w:shd w:val="clear" w:color="000000" w:fill="FFFFFF"/>
            <w:noWrap/>
            <w:vAlign w:val="center"/>
            <w:hideMark/>
          </w:tcPr>
          <w:p w14:paraId="2116DC9E" w14:textId="77777777" w:rsidR="00F940EE" w:rsidRPr="00F940EE" w:rsidRDefault="00F940EE" w:rsidP="00F940EE">
            <w:pPr>
              <w:spacing w:after="0" w:line="240" w:lineRule="auto"/>
              <w:jc w:val="right"/>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35,398,768</w:t>
            </w:r>
          </w:p>
        </w:tc>
        <w:tc>
          <w:tcPr>
            <w:tcW w:w="1324" w:type="dxa"/>
            <w:shd w:val="clear" w:color="000000" w:fill="FFFFFF"/>
            <w:noWrap/>
            <w:vAlign w:val="bottom"/>
            <w:hideMark/>
          </w:tcPr>
          <w:p w14:paraId="051A683A"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8,644,500 </w:t>
            </w:r>
          </w:p>
        </w:tc>
        <w:tc>
          <w:tcPr>
            <w:tcW w:w="1361" w:type="dxa"/>
            <w:shd w:val="clear" w:color="000000" w:fill="FFFFFF"/>
            <w:noWrap/>
            <w:vAlign w:val="bottom"/>
            <w:hideMark/>
          </w:tcPr>
          <w:p w14:paraId="37C142D7"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17,619,779 </w:t>
            </w:r>
          </w:p>
        </w:tc>
        <w:tc>
          <w:tcPr>
            <w:tcW w:w="1361" w:type="dxa"/>
            <w:shd w:val="clear" w:color="000000" w:fill="FFFFFF"/>
            <w:noWrap/>
            <w:vAlign w:val="bottom"/>
            <w:hideMark/>
          </w:tcPr>
          <w:p w14:paraId="0C2E15FD"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26,264,279 </w:t>
            </w:r>
          </w:p>
        </w:tc>
        <w:tc>
          <w:tcPr>
            <w:tcW w:w="1104" w:type="dxa"/>
            <w:shd w:val="clear" w:color="000000" w:fill="FFFFFF"/>
            <w:noWrap/>
            <w:vAlign w:val="bottom"/>
            <w:hideMark/>
          </w:tcPr>
          <w:p w14:paraId="5F0E4341" w14:textId="77777777" w:rsidR="00F940EE" w:rsidRPr="00F940EE" w:rsidRDefault="00F940EE" w:rsidP="00F940EE">
            <w:pPr>
              <w:spacing w:after="0" w:line="240" w:lineRule="auto"/>
              <w:jc w:val="right"/>
              <w:rPr>
                <w:rFonts w:eastAsia="Times New Roman" w:cs="Calibri"/>
                <w:color w:val="000000"/>
                <w:sz w:val="14"/>
                <w:szCs w:val="14"/>
                <w:lang w:val="es-US" w:eastAsia="es-US"/>
              </w:rPr>
            </w:pPr>
            <w:r w:rsidRPr="00F940EE">
              <w:rPr>
                <w:rFonts w:eastAsia="Times New Roman" w:cs="Calibri"/>
                <w:color w:val="000000"/>
                <w:sz w:val="14"/>
                <w:szCs w:val="14"/>
                <w:lang w:val="es-US" w:eastAsia="es-US"/>
              </w:rPr>
              <w:t>74.20%</w:t>
            </w:r>
          </w:p>
        </w:tc>
      </w:tr>
      <w:tr w:rsidR="00F940EE" w:rsidRPr="00F940EE" w14:paraId="69E20A5A" w14:textId="77777777" w:rsidTr="004F5C6C">
        <w:trPr>
          <w:trHeight w:val="284"/>
          <w:jc w:val="center"/>
        </w:trPr>
        <w:tc>
          <w:tcPr>
            <w:tcW w:w="853" w:type="dxa"/>
            <w:shd w:val="clear" w:color="000000" w:fill="FFFFFF"/>
            <w:noWrap/>
            <w:vAlign w:val="center"/>
            <w:hideMark/>
          </w:tcPr>
          <w:p w14:paraId="382B28B7"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1.04.99</w:t>
            </w:r>
          </w:p>
        </w:tc>
        <w:tc>
          <w:tcPr>
            <w:tcW w:w="3173" w:type="dxa"/>
            <w:shd w:val="clear" w:color="000000" w:fill="FFFFFF"/>
            <w:noWrap/>
            <w:vAlign w:val="center"/>
            <w:hideMark/>
          </w:tcPr>
          <w:p w14:paraId="6AC5C194"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Otros servicios de gestión y apoyo</w:t>
            </w:r>
          </w:p>
        </w:tc>
        <w:tc>
          <w:tcPr>
            <w:tcW w:w="1456" w:type="dxa"/>
            <w:shd w:val="clear" w:color="000000" w:fill="FFFFFF"/>
            <w:noWrap/>
            <w:vAlign w:val="center"/>
            <w:hideMark/>
          </w:tcPr>
          <w:p w14:paraId="3FA04772" w14:textId="77777777" w:rsidR="00F940EE" w:rsidRPr="00F940EE" w:rsidRDefault="00F940EE" w:rsidP="00F940EE">
            <w:pPr>
              <w:spacing w:after="0" w:line="240" w:lineRule="auto"/>
              <w:jc w:val="right"/>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903,540</w:t>
            </w:r>
          </w:p>
        </w:tc>
        <w:tc>
          <w:tcPr>
            <w:tcW w:w="1324" w:type="dxa"/>
            <w:shd w:val="clear" w:color="000000" w:fill="FFFFFF"/>
            <w:noWrap/>
            <w:vAlign w:val="bottom"/>
            <w:hideMark/>
          </w:tcPr>
          <w:p w14:paraId="02E1C3D9"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24,416 </w:t>
            </w:r>
          </w:p>
        </w:tc>
        <w:tc>
          <w:tcPr>
            <w:tcW w:w="1361" w:type="dxa"/>
            <w:shd w:val="clear" w:color="000000" w:fill="FFFFFF"/>
            <w:noWrap/>
            <w:vAlign w:val="bottom"/>
            <w:hideMark/>
          </w:tcPr>
          <w:p w14:paraId="1E45B8EB"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226,441 </w:t>
            </w:r>
          </w:p>
        </w:tc>
        <w:tc>
          <w:tcPr>
            <w:tcW w:w="1361" w:type="dxa"/>
            <w:shd w:val="clear" w:color="000000" w:fill="FFFFFF"/>
            <w:noWrap/>
            <w:vAlign w:val="bottom"/>
            <w:hideMark/>
          </w:tcPr>
          <w:p w14:paraId="73D3D7D3"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250,857 </w:t>
            </w:r>
          </w:p>
        </w:tc>
        <w:tc>
          <w:tcPr>
            <w:tcW w:w="1104" w:type="dxa"/>
            <w:shd w:val="clear" w:color="000000" w:fill="FFFFFF"/>
            <w:noWrap/>
            <w:vAlign w:val="bottom"/>
            <w:hideMark/>
          </w:tcPr>
          <w:p w14:paraId="210BAC4B" w14:textId="77777777" w:rsidR="00F940EE" w:rsidRPr="00F940EE" w:rsidRDefault="00F940EE" w:rsidP="00F940EE">
            <w:pPr>
              <w:spacing w:after="0" w:line="240" w:lineRule="auto"/>
              <w:jc w:val="right"/>
              <w:rPr>
                <w:rFonts w:eastAsia="Times New Roman" w:cs="Calibri"/>
                <w:color w:val="000000"/>
                <w:sz w:val="14"/>
                <w:szCs w:val="14"/>
                <w:lang w:val="es-US" w:eastAsia="es-US"/>
              </w:rPr>
            </w:pPr>
            <w:r w:rsidRPr="00F940EE">
              <w:rPr>
                <w:rFonts w:eastAsia="Times New Roman" w:cs="Calibri"/>
                <w:color w:val="000000"/>
                <w:sz w:val="14"/>
                <w:szCs w:val="14"/>
                <w:lang w:val="es-US" w:eastAsia="es-US"/>
              </w:rPr>
              <w:t>27.76%</w:t>
            </w:r>
          </w:p>
        </w:tc>
      </w:tr>
      <w:tr w:rsidR="00F940EE" w:rsidRPr="00F940EE" w14:paraId="5E715D92" w14:textId="77777777" w:rsidTr="004F5C6C">
        <w:trPr>
          <w:trHeight w:val="284"/>
          <w:jc w:val="center"/>
        </w:trPr>
        <w:tc>
          <w:tcPr>
            <w:tcW w:w="853" w:type="dxa"/>
            <w:shd w:val="clear" w:color="000000" w:fill="FFFFFF"/>
            <w:noWrap/>
            <w:vAlign w:val="center"/>
            <w:hideMark/>
          </w:tcPr>
          <w:p w14:paraId="1FB413F6"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1.05.02</w:t>
            </w:r>
          </w:p>
        </w:tc>
        <w:tc>
          <w:tcPr>
            <w:tcW w:w="3173" w:type="dxa"/>
            <w:shd w:val="clear" w:color="000000" w:fill="FFFFFF"/>
            <w:noWrap/>
            <w:vAlign w:val="center"/>
            <w:hideMark/>
          </w:tcPr>
          <w:p w14:paraId="5A6E821B"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Viáticos dentro del país</w:t>
            </w:r>
          </w:p>
        </w:tc>
        <w:tc>
          <w:tcPr>
            <w:tcW w:w="1456" w:type="dxa"/>
            <w:shd w:val="clear" w:color="000000" w:fill="FFFFFF"/>
            <w:noWrap/>
            <w:vAlign w:val="center"/>
            <w:hideMark/>
          </w:tcPr>
          <w:p w14:paraId="5C82396C" w14:textId="77777777" w:rsidR="00F940EE" w:rsidRPr="00F940EE" w:rsidRDefault="00F940EE" w:rsidP="00F940EE">
            <w:pPr>
              <w:spacing w:after="0" w:line="240" w:lineRule="auto"/>
              <w:jc w:val="right"/>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300,000</w:t>
            </w:r>
          </w:p>
        </w:tc>
        <w:tc>
          <w:tcPr>
            <w:tcW w:w="1324" w:type="dxa"/>
            <w:shd w:val="clear" w:color="000000" w:fill="FFFFFF"/>
            <w:noWrap/>
            <w:vAlign w:val="bottom"/>
            <w:hideMark/>
          </w:tcPr>
          <w:p w14:paraId="0AE1C87E"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   </w:t>
            </w:r>
          </w:p>
        </w:tc>
        <w:tc>
          <w:tcPr>
            <w:tcW w:w="1361" w:type="dxa"/>
            <w:shd w:val="clear" w:color="000000" w:fill="FFFFFF"/>
            <w:noWrap/>
            <w:vAlign w:val="bottom"/>
            <w:hideMark/>
          </w:tcPr>
          <w:p w14:paraId="19CF4F99"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   </w:t>
            </w:r>
          </w:p>
        </w:tc>
        <w:tc>
          <w:tcPr>
            <w:tcW w:w="1361" w:type="dxa"/>
            <w:shd w:val="clear" w:color="000000" w:fill="FFFFFF"/>
            <w:noWrap/>
            <w:vAlign w:val="bottom"/>
            <w:hideMark/>
          </w:tcPr>
          <w:p w14:paraId="412D5628"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   </w:t>
            </w:r>
          </w:p>
        </w:tc>
        <w:tc>
          <w:tcPr>
            <w:tcW w:w="1104" w:type="dxa"/>
            <w:shd w:val="clear" w:color="000000" w:fill="FFFFFF"/>
            <w:noWrap/>
            <w:vAlign w:val="bottom"/>
            <w:hideMark/>
          </w:tcPr>
          <w:p w14:paraId="034F1181" w14:textId="77777777" w:rsidR="00F940EE" w:rsidRPr="00F940EE" w:rsidRDefault="00F940EE" w:rsidP="00F940EE">
            <w:pPr>
              <w:spacing w:after="0" w:line="240" w:lineRule="auto"/>
              <w:jc w:val="right"/>
              <w:rPr>
                <w:rFonts w:eastAsia="Times New Roman" w:cs="Calibri"/>
                <w:color w:val="000000"/>
                <w:sz w:val="14"/>
                <w:szCs w:val="14"/>
                <w:lang w:val="es-US" w:eastAsia="es-US"/>
              </w:rPr>
            </w:pPr>
            <w:r w:rsidRPr="00F940EE">
              <w:rPr>
                <w:rFonts w:eastAsia="Times New Roman" w:cs="Calibri"/>
                <w:color w:val="000000"/>
                <w:sz w:val="14"/>
                <w:szCs w:val="14"/>
                <w:lang w:val="es-US" w:eastAsia="es-US"/>
              </w:rPr>
              <w:t>0.00%</w:t>
            </w:r>
          </w:p>
        </w:tc>
      </w:tr>
      <w:tr w:rsidR="00F940EE" w:rsidRPr="00F940EE" w14:paraId="07F8172D" w14:textId="77777777" w:rsidTr="004F5C6C">
        <w:trPr>
          <w:trHeight w:val="284"/>
          <w:jc w:val="center"/>
        </w:trPr>
        <w:tc>
          <w:tcPr>
            <w:tcW w:w="853" w:type="dxa"/>
            <w:shd w:val="clear" w:color="000000" w:fill="FFFFFF"/>
            <w:noWrap/>
            <w:vAlign w:val="center"/>
            <w:hideMark/>
          </w:tcPr>
          <w:p w14:paraId="3E1F9D45"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1.06.01</w:t>
            </w:r>
          </w:p>
        </w:tc>
        <w:tc>
          <w:tcPr>
            <w:tcW w:w="3173" w:type="dxa"/>
            <w:shd w:val="clear" w:color="000000" w:fill="FFFFFF"/>
            <w:noWrap/>
            <w:vAlign w:val="center"/>
            <w:hideMark/>
          </w:tcPr>
          <w:p w14:paraId="5DE1388E"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Seguros</w:t>
            </w:r>
          </w:p>
        </w:tc>
        <w:tc>
          <w:tcPr>
            <w:tcW w:w="1456" w:type="dxa"/>
            <w:shd w:val="clear" w:color="000000" w:fill="FFFFFF"/>
            <w:noWrap/>
            <w:vAlign w:val="center"/>
            <w:hideMark/>
          </w:tcPr>
          <w:p w14:paraId="24438D48" w14:textId="77777777" w:rsidR="00F940EE" w:rsidRPr="00F940EE" w:rsidRDefault="00F940EE" w:rsidP="00F940EE">
            <w:pPr>
              <w:spacing w:after="0" w:line="240" w:lineRule="auto"/>
              <w:jc w:val="right"/>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8,054,603</w:t>
            </w:r>
          </w:p>
        </w:tc>
        <w:tc>
          <w:tcPr>
            <w:tcW w:w="1324" w:type="dxa"/>
            <w:shd w:val="clear" w:color="000000" w:fill="FFFFFF"/>
            <w:noWrap/>
            <w:vAlign w:val="bottom"/>
            <w:hideMark/>
          </w:tcPr>
          <w:p w14:paraId="4E8FD9FF"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3,511,067 </w:t>
            </w:r>
          </w:p>
        </w:tc>
        <w:tc>
          <w:tcPr>
            <w:tcW w:w="1361" w:type="dxa"/>
            <w:shd w:val="clear" w:color="000000" w:fill="FFFFFF"/>
            <w:noWrap/>
            <w:vAlign w:val="bottom"/>
            <w:hideMark/>
          </w:tcPr>
          <w:p w14:paraId="5D31C876"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1,894,934 </w:t>
            </w:r>
          </w:p>
        </w:tc>
        <w:tc>
          <w:tcPr>
            <w:tcW w:w="1361" w:type="dxa"/>
            <w:shd w:val="clear" w:color="000000" w:fill="FFFFFF"/>
            <w:noWrap/>
            <w:vAlign w:val="bottom"/>
            <w:hideMark/>
          </w:tcPr>
          <w:p w14:paraId="59E43C8B"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5,406,002 </w:t>
            </w:r>
          </w:p>
        </w:tc>
        <w:tc>
          <w:tcPr>
            <w:tcW w:w="1104" w:type="dxa"/>
            <w:shd w:val="clear" w:color="000000" w:fill="FFFFFF"/>
            <w:noWrap/>
            <w:vAlign w:val="bottom"/>
            <w:hideMark/>
          </w:tcPr>
          <w:p w14:paraId="23F38CFF" w14:textId="77777777" w:rsidR="00F940EE" w:rsidRPr="00F940EE" w:rsidRDefault="00F940EE" w:rsidP="00F940EE">
            <w:pPr>
              <w:spacing w:after="0" w:line="240" w:lineRule="auto"/>
              <w:jc w:val="right"/>
              <w:rPr>
                <w:rFonts w:eastAsia="Times New Roman" w:cs="Calibri"/>
                <w:color w:val="000000"/>
                <w:sz w:val="14"/>
                <w:szCs w:val="14"/>
                <w:lang w:val="es-US" w:eastAsia="es-US"/>
              </w:rPr>
            </w:pPr>
            <w:r w:rsidRPr="00F940EE">
              <w:rPr>
                <w:rFonts w:eastAsia="Times New Roman" w:cs="Calibri"/>
                <w:color w:val="000000"/>
                <w:sz w:val="14"/>
                <w:szCs w:val="14"/>
                <w:lang w:val="es-US" w:eastAsia="es-US"/>
              </w:rPr>
              <w:t>67.12%</w:t>
            </w:r>
          </w:p>
        </w:tc>
      </w:tr>
      <w:tr w:rsidR="00F940EE" w:rsidRPr="00F940EE" w14:paraId="58C45727" w14:textId="77777777" w:rsidTr="004F5C6C">
        <w:trPr>
          <w:trHeight w:val="284"/>
          <w:jc w:val="center"/>
        </w:trPr>
        <w:tc>
          <w:tcPr>
            <w:tcW w:w="853" w:type="dxa"/>
            <w:shd w:val="clear" w:color="000000" w:fill="FFFFFF"/>
            <w:noWrap/>
            <w:vAlign w:val="center"/>
            <w:hideMark/>
          </w:tcPr>
          <w:p w14:paraId="539DD1C5"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1.09.02</w:t>
            </w:r>
          </w:p>
        </w:tc>
        <w:tc>
          <w:tcPr>
            <w:tcW w:w="3173" w:type="dxa"/>
            <w:shd w:val="clear" w:color="000000" w:fill="FFFFFF"/>
            <w:noWrap/>
            <w:vAlign w:val="center"/>
            <w:hideMark/>
          </w:tcPr>
          <w:p w14:paraId="688543C9"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Impuestos sobre la propiedad de bienes inmuebles</w:t>
            </w:r>
          </w:p>
        </w:tc>
        <w:tc>
          <w:tcPr>
            <w:tcW w:w="1456" w:type="dxa"/>
            <w:shd w:val="clear" w:color="000000" w:fill="FFFFFF"/>
            <w:noWrap/>
            <w:vAlign w:val="center"/>
            <w:hideMark/>
          </w:tcPr>
          <w:p w14:paraId="5B867253" w14:textId="77777777" w:rsidR="00F940EE" w:rsidRPr="00F940EE" w:rsidRDefault="00F940EE" w:rsidP="00F940EE">
            <w:pPr>
              <w:spacing w:after="0" w:line="240" w:lineRule="auto"/>
              <w:jc w:val="right"/>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4,200,000</w:t>
            </w:r>
          </w:p>
        </w:tc>
        <w:tc>
          <w:tcPr>
            <w:tcW w:w="1324" w:type="dxa"/>
            <w:shd w:val="clear" w:color="000000" w:fill="FFFFFF"/>
            <w:noWrap/>
            <w:vAlign w:val="bottom"/>
            <w:hideMark/>
          </w:tcPr>
          <w:p w14:paraId="4FDCC11A"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638,315 </w:t>
            </w:r>
          </w:p>
        </w:tc>
        <w:tc>
          <w:tcPr>
            <w:tcW w:w="1361" w:type="dxa"/>
            <w:shd w:val="clear" w:color="000000" w:fill="FFFFFF"/>
            <w:noWrap/>
            <w:vAlign w:val="bottom"/>
            <w:hideMark/>
          </w:tcPr>
          <w:p w14:paraId="1DA4C82C"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2,910,435 </w:t>
            </w:r>
          </w:p>
        </w:tc>
        <w:tc>
          <w:tcPr>
            <w:tcW w:w="1361" w:type="dxa"/>
            <w:shd w:val="clear" w:color="000000" w:fill="FFFFFF"/>
            <w:noWrap/>
            <w:vAlign w:val="bottom"/>
            <w:hideMark/>
          </w:tcPr>
          <w:p w14:paraId="55A0030B"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3,548,750 </w:t>
            </w:r>
          </w:p>
        </w:tc>
        <w:tc>
          <w:tcPr>
            <w:tcW w:w="1104" w:type="dxa"/>
            <w:shd w:val="clear" w:color="000000" w:fill="FFFFFF"/>
            <w:noWrap/>
            <w:vAlign w:val="bottom"/>
            <w:hideMark/>
          </w:tcPr>
          <w:p w14:paraId="76A1ACA3" w14:textId="77777777" w:rsidR="00F940EE" w:rsidRPr="00F940EE" w:rsidRDefault="00F940EE" w:rsidP="00F940EE">
            <w:pPr>
              <w:spacing w:after="0" w:line="240" w:lineRule="auto"/>
              <w:jc w:val="right"/>
              <w:rPr>
                <w:rFonts w:eastAsia="Times New Roman" w:cs="Calibri"/>
                <w:color w:val="000000"/>
                <w:sz w:val="14"/>
                <w:szCs w:val="14"/>
                <w:lang w:val="es-US" w:eastAsia="es-US"/>
              </w:rPr>
            </w:pPr>
            <w:r w:rsidRPr="00F940EE">
              <w:rPr>
                <w:rFonts w:eastAsia="Times New Roman" w:cs="Calibri"/>
                <w:color w:val="000000"/>
                <w:sz w:val="14"/>
                <w:szCs w:val="14"/>
                <w:lang w:val="es-US" w:eastAsia="es-US"/>
              </w:rPr>
              <w:t>84.49%</w:t>
            </w:r>
          </w:p>
        </w:tc>
      </w:tr>
      <w:tr w:rsidR="00F940EE" w:rsidRPr="00F940EE" w14:paraId="71CAF0E4" w14:textId="77777777" w:rsidTr="004F5C6C">
        <w:trPr>
          <w:trHeight w:val="284"/>
          <w:jc w:val="center"/>
        </w:trPr>
        <w:tc>
          <w:tcPr>
            <w:tcW w:w="853" w:type="dxa"/>
            <w:shd w:val="clear" w:color="000000" w:fill="FFFFFF"/>
            <w:noWrap/>
            <w:vAlign w:val="center"/>
            <w:hideMark/>
          </w:tcPr>
          <w:p w14:paraId="7F5068A7"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1.09.99</w:t>
            </w:r>
          </w:p>
        </w:tc>
        <w:tc>
          <w:tcPr>
            <w:tcW w:w="3173" w:type="dxa"/>
            <w:shd w:val="clear" w:color="000000" w:fill="FFFFFF"/>
            <w:noWrap/>
            <w:vAlign w:val="center"/>
            <w:hideMark/>
          </w:tcPr>
          <w:p w14:paraId="4ACBC7AD"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Otros impuestos</w:t>
            </w:r>
          </w:p>
        </w:tc>
        <w:tc>
          <w:tcPr>
            <w:tcW w:w="1456" w:type="dxa"/>
            <w:shd w:val="clear" w:color="000000" w:fill="FFFFFF"/>
            <w:noWrap/>
            <w:vAlign w:val="center"/>
            <w:hideMark/>
          </w:tcPr>
          <w:p w14:paraId="06B81F2D" w14:textId="77777777" w:rsidR="00F940EE" w:rsidRPr="00F940EE" w:rsidRDefault="00F940EE" w:rsidP="00F940EE">
            <w:pPr>
              <w:spacing w:after="0" w:line="240" w:lineRule="auto"/>
              <w:jc w:val="right"/>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1,709,550</w:t>
            </w:r>
          </w:p>
        </w:tc>
        <w:tc>
          <w:tcPr>
            <w:tcW w:w="1324" w:type="dxa"/>
            <w:shd w:val="clear" w:color="000000" w:fill="FFFFFF"/>
            <w:noWrap/>
            <w:vAlign w:val="bottom"/>
            <w:hideMark/>
          </w:tcPr>
          <w:p w14:paraId="6090C754"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   </w:t>
            </w:r>
          </w:p>
        </w:tc>
        <w:tc>
          <w:tcPr>
            <w:tcW w:w="1361" w:type="dxa"/>
            <w:shd w:val="clear" w:color="000000" w:fill="FFFFFF"/>
            <w:noWrap/>
            <w:vAlign w:val="bottom"/>
            <w:hideMark/>
          </w:tcPr>
          <w:p w14:paraId="6B4F7889"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1,305,372 </w:t>
            </w:r>
          </w:p>
        </w:tc>
        <w:tc>
          <w:tcPr>
            <w:tcW w:w="1361" w:type="dxa"/>
            <w:shd w:val="clear" w:color="000000" w:fill="FFFFFF"/>
            <w:noWrap/>
            <w:vAlign w:val="bottom"/>
            <w:hideMark/>
          </w:tcPr>
          <w:p w14:paraId="62CFFDCE"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1,305,372 </w:t>
            </w:r>
          </w:p>
        </w:tc>
        <w:tc>
          <w:tcPr>
            <w:tcW w:w="1104" w:type="dxa"/>
            <w:shd w:val="clear" w:color="000000" w:fill="FFFFFF"/>
            <w:noWrap/>
            <w:vAlign w:val="bottom"/>
            <w:hideMark/>
          </w:tcPr>
          <w:p w14:paraId="6048A02D" w14:textId="77777777" w:rsidR="00F940EE" w:rsidRPr="00F940EE" w:rsidRDefault="00F940EE" w:rsidP="00F940EE">
            <w:pPr>
              <w:spacing w:after="0" w:line="240" w:lineRule="auto"/>
              <w:jc w:val="right"/>
              <w:rPr>
                <w:rFonts w:eastAsia="Times New Roman" w:cs="Calibri"/>
                <w:color w:val="000000"/>
                <w:sz w:val="14"/>
                <w:szCs w:val="14"/>
                <w:lang w:val="es-US" w:eastAsia="es-US"/>
              </w:rPr>
            </w:pPr>
            <w:r w:rsidRPr="00F940EE">
              <w:rPr>
                <w:rFonts w:eastAsia="Times New Roman" w:cs="Calibri"/>
                <w:color w:val="000000"/>
                <w:sz w:val="14"/>
                <w:szCs w:val="14"/>
                <w:lang w:val="es-US" w:eastAsia="es-US"/>
              </w:rPr>
              <w:t>76.36%</w:t>
            </w:r>
          </w:p>
        </w:tc>
      </w:tr>
      <w:tr w:rsidR="00F940EE" w:rsidRPr="00F940EE" w14:paraId="3B8D1D42" w14:textId="77777777" w:rsidTr="004F5C6C">
        <w:trPr>
          <w:trHeight w:val="284"/>
          <w:jc w:val="center"/>
        </w:trPr>
        <w:tc>
          <w:tcPr>
            <w:tcW w:w="853" w:type="dxa"/>
            <w:shd w:val="clear" w:color="000000" w:fill="FFFFFF"/>
            <w:noWrap/>
            <w:vAlign w:val="center"/>
            <w:hideMark/>
          </w:tcPr>
          <w:p w14:paraId="118847ED"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 xml:space="preserve">1.99.02 </w:t>
            </w:r>
          </w:p>
        </w:tc>
        <w:tc>
          <w:tcPr>
            <w:tcW w:w="3173" w:type="dxa"/>
            <w:shd w:val="clear" w:color="000000" w:fill="FFFFFF"/>
            <w:noWrap/>
            <w:vAlign w:val="center"/>
            <w:hideMark/>
          </w:tcPr>
          <w:p w14:paraId="343C148F"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Intereses moratorios y multas</w:t>
            </w:r>
          </w:p>
        </w:tc>
        <w:tc>
          <w:tcPr>
            <w:tcW w:w="1456" w:type="dxa"/>
            <w:shd w:val="clear" w:color="000000" w:fill="FFFFFF"/>
            <w:noWrap/>
            <w:vAlign w:val="center"/>
            <w:hideMark/>
          </w:tcPr>
          <w:p w14:paraId="7FED7408" w14:textId="77777777" w:rsidR="00F940EE" w:rsidRPr="00F940EE" w:rsidRDefault="00F940EE" w:rsidP="00F940EE">
            <w:pPr>
              <w:spacing w:after="0" w:line="240" w:lineRule="auto"/>
              <w:jc w:val="right"/>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820,000</w:t>
            </w:r>
          </w:p>
        </w:tc>
        <w:tc>
          <w:tcPr>
            <w:tcW w:w="1324" w:type="dxa"/>
            <w:shd w:val="clear" w:color="000000" w:fill="FFFFFF"/>
            <w:noWrap/>
            <w:vAlign w:val="bottom"/>
            <w:hideMark/>
          </w:tcPr>
          <w:p w14:paraId="53895F0D"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   </w:t>
            </w:r>
          </w:p>
        </w:tc>
        <w:tc>
          <w:tcPr>
            <w:tcW w:w="1361" w:type="dxa"/>
            <w:shd w:val="clear" w:color="000000" w:fill="FFFFFF"/>
            <w:noWrap/>
            <w:vAlign w:val="bottom"/>
            <w:hideMark/>
          </w:tcPr>
          <w:p w14:paraId="05085625"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345,874 </w:t>
            </w:r>
          </w:p>
        </w:tc>
        <w:tc>
          <w:tcPr>
            <w:tcW w:w="1361" w:type="dxa"/>
            <w:shd w:val="clear" w:color="000000" w:fill="FFFFFF"/>
            <w:noWrap/>
            <w:vAlign w:val="bottom"/>
            <w:hideMark/>
          </w:tcPr>
          <w:p w14:paraId="2BDD6E88"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345,874 </w:t>
            </w:r>
          </w:p>
        </w:tc>
        <w:tc>
          <w:tcPr>
            <w:tcW w:w="1104" w:type="dxa"/>
            <w:shd w:val="clear" w:color="000000" w:fill="FFFFFF"/>
            <w:noWrap/>
            <w:vAlign w:val="bottom"/>
            <w:hideMark/>
          </w:tcPr>
          <w:p w14:paraId="68E62DDF" w14:textId="77777777" w:rsidR="00F940EE" w:rsidRPr="00F940EE" w:rsidRDefault="00F940EE" w:rsidP="00F940EE">
            <w:pPr>
              <w:spacing w:after="0" w:line="240" w:lineRule="auto"/>
              <w:jc w:val="right"/>
              <w:rPr>
                <w:rFonts w:eastAsia="Times New Roman" w:cs="Calibri"/>
                <w:color w:val="000000"/>
                <w:sz w:val="14"/>
                <w:szCs w:val="14"/>
                <w:lang w:val="es-US" w:eastAsia="es-US"/>
              </w:rPr>
            </w:pPr>
            <w:r w:rsidRPr="00F940EE">
              <w:rPr>
                <w:rFonts w:eastAsia="Times New Roman" w:cs="Calibri"/>
                <w:color w:val="000000"/>
                <w:sz w:val="14"/>
                <w:szCs w:val="14"/>
                <w:lang w:val="es-US" w:eastAsia="es-US"/>
              </w:rPr>
              <w:t>42.18%</w:t>
            </w:r>
          </w:p>
        </w:tc>
      </w:tr>
      <w:tr w:rsidR="00F940EE" w:rsidRPr="00F940EE" w14:paraId="49D66BEA" w14:textId="77777777" w:rsidTr="004F5C6C">
        <w:trPr>
          <w:trHeight w:val="284"/>
          <w:jc w:val="center"/>
        </w:trPr>
        <w:tc>
          <w:tcPr>
            <w:tcW w:w="853" w:type="dxa"/>
            <w:shd w:val="clear" w:color="000000" w:fill="FFFFFF"/>
            <w:noWrap/>
            <w:vAlign w:val="center"/>
            <w:hideMark/>
          </w:tcPr>
          <w:p w14:paraId="2FA850B5"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1.99.05</w:t>
            </w:r>
          </w:p>
        </w:tc>
        <w:tc>
          <w:tcPr>
            <w:tcW w:w="3173" w:type="dxa"/>
            <w:shd w:val="clear" w:color="000000" w:fill="FFFFFF"/>
            <w:noWrap/>
            <w:vAlign w:val="center"/>
            <w:hideMark/>
          </w:tcPr>
          <w:p w14:paraId="672D0086"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Deducibles</w:t>
            </w:r>
          </w:p>
        </w:tc>
        <w:tc>
          <w:tcPr>
            <w:tcW w:w="1456" w:type="dxa"/>
            <w:shd w:val="clear" w:color="000000" w:fill="FFFFFF"/>
            <w:noWrap/>
            <w:vAlign w:val="center"/>
            <w:hideMark/>
          </w:tcPr>
          <w:p w14:paraId="447A0D8A" w14:textId="77777777" w:rsidR="00F940EE" w:rsidRPr="00F940EE" w:rsidRDefault="00F940EE" w:rsidP="00F940EE">
            <w:pPr>
              <w:spacing w:after="0" w:line="240" w:lineRule="auto"/>
              <w:jc w:val="right"/>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568,170</w:t>
            </w:r>
          </w:p>
        </w:tc>
        <w:tc>
          <w:tcPr>
            <w:tcW w:w="1324" w:type="dxa"/>
            <w:shd w:val="clear" w:color="000000" w:fill="FFFFFF"/>
            <w:noWrap/>
            <w:vAlign w:val="bottom"/>
            <w:hideMark/>
          </w:tcPr>
          <w:p w14:paraId="19664073"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   </w:t>
            </w:r>
          </w:p>
        </w:tc>
        <w:tc>
          <w:tcPr>
            <w:tcW w:w="1361" w:type="dxa"/>
            <w:shd w:val="clear" w:color="000000" w:fill="FFFFFF"/>
            <w:noWrap/>
            <w:vAlign w:val="bottom"/>
            <w:hideMark/>
          </w:tcPr>
          <w:p w14:paraId="17EF8025"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160,444 </w:t>
            </w:r>
          </w:p>
        </w:tc>
        <w:tc>
          <w:tcPr>
            <w:tcW w:w="1361" w:type="dxa"/>
            <w:shd w:val="clear" w:color="000000" w:fill="FFFFFF"/>
            <w:noWrap/>
            <w:vAlign w:val="bottom"/>
            <w:hideMark/>
          </w:tcPr>
          <w:p w14:paraId="5A13D70C"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160,444 </w:t>
            </w:r>
          </w:p>
        </w:tc>
        <w:tc>
          <w:tcPr>
            <w:tcW w:w="1104" w:type="dxa"/>
            <w:shd w:val="clear" w:color="000000" w:fill="FFFFFF"/>
            <w:noWrap/>
            <w:vAlign w:val="bottom"/>
            <w:hideMark/>
          </w:tcPr>
          <w:p w14:paraId="462DBC67" w14:textId="77777777" w:rsidR="00F940EE" w:rsidRPr="00F940EE" w:rsidRDefault="00F940EE" w:rsidP="00F940EE">
            <w:pPr>
              <w:spacing w:after="0" w:line="240" w:lineRule="auto"/>
              <w:jc w:val="right"/>
              <w:rPr>
                <w:rFonts w:eastAsia="Times New Roman" w:cs="Calibri"/>
                <w:color w:val="000000"/>
                <w:sz w:val="14"/>
                <w:szCs w:val="14"/>
                <w:lang w:val="es-US" w:eastAsia="es-US"/>
              </w:rPr>
            </w:pPr>
            <w:r w:rsidRPr="00F940EE">
              <w:rPr>
                <w:rFonts w:eastAsia="Times New Roman" w:cs="Calibri"/>
                <w:color w:val="000000"/>
                <w:sz w:val="14"/>
                <w:szCs w:val="14"/>
                <w:lang w:val="es-US" w:eastAsia="es-US"/>
              </w:rPr>
              <w:t>28.24%</w:t>
            </w:r>
          </w:p>
        </w:tc>
      </w:tr>
      <w:tr w:rsidR="00F940EE" w:rsidRPr="00F940EE" w14:paraId="56DC1D27" w14:textId="77777777" w:rsidTr="004F5C6C">
        <w:trPr>
          <w:trHeight w:val="284"/>
          <w:jc w:val="center"/>
        </w:trPr>
        <w:tc>
          <w:tcPr>
            <w:tcW w:w="853" w:type="dxa"/>
            <w:shd w:val="clear" w:color="000000" w:fill="FFFFFF"/>
            <w:noWrap/>
            <w:vAlign w:val="center"/>
            <w:hideMark/>
          </w:tcPr>
          <w:p w14:paraId="41F6CC9F"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1.99.99</w:t>
            </w:r>
          </w:p>
        </w:tc>
        <w:tc>
          <w:tcPr>
            <w:tcW w:w="3173" w:type="dxa"/>
            <w:shd w:val="clear" w:color="000000" w:fill="FFFFFF"/>
            <w:noWrap/>
            <w:vAlign w:val="center"/>
            <w:hideMark/>
          </w:tcPr>
          <w:p w14:paraId="3414B6B8" w14:textId="77777777" w:rsidR="00F940EE" w:rsidRPr="00F940EE" w:rsidRDefault="00F940EE" w:rsidP="00F940EE">
            <w:pPr>
              <w:spacing w:after="0" w:line="240" w:lineRule="auto"/>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 xml:space="preserve">Otros servicios no especificados </w:t>
            </w:r>
          </w:p>
        </w:tc>
        <w:tc>
          <w:tcPr>
            <w:tcW w:w="1456" w:type="dxa"/>
            <w:shd w:val="clear" w:color="000000" w:fill="FFFFFF"/>
            <w:noWrap/>
            <w:vAlign w:val="center"/>
            <w:hideMark/>
          </w:tcPr>
          <w:p w14:paraId="19B28B36" w14:textId="77777777" w:rsidR="00F940EE" w:rsidRPr="00F940EE" w:rsidRDefault="00F940EE" w:rsidP="00F940EE">
            <w:pPr>
              <w:spacing w:after="0" w:line="240" w:lineRule="auto"/>
              <w:jc w:val="right"/>
              <w:rPr>
                <w:rFonts w:ascii="Arial" w:eastAsia="Times New Roman" w:hAnsi="Arial" w:cs="Arial"/>
                <w:sz w:val="14"/>
                <w:szCs w:val="14"/>
                <w:lang w:val="es-US" w:eastAsia="es-US"/>
              </w:rPr>
            </w:pPr>
            <w:r w:rsidRPr="00F940EE">
              <w:rPr>
                <w:rFonts w:ascii="Arial" w:eastAsia="Times New Roman" w:hAnsi="Arial" w:cs="Arial"/>
                <w:sz w:val="14"/>
                <w:szCs w:val="14"/>
                <w:lang w:val="es-US" w:eastAsia="es-US"/>
              </w:rPr>
              <w:t>425,325</w:t>
            </w:r>
          </w:p>
        </w:tc>
        <w:tc>
          <w:tcPr>
            <w:tcW w:w="1324" w:type="dxa"/>
            <w:shd w:val="clear" w:color="000000" w:fill="FFFFFF"/>
            <w:noWrap/>
            <w:vAlign w:val="bottom"/>
            <w:hideMark/>
          </w:tcPr>
          <w:p w14:paraId="71934C57"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   </w:t>
            </w:r>
          </w:p>
        </w:tc>
        <w:tc>
          <w:tcPr>
            <w:tcW w:w="1361" w:type="dxa"/>
            <w:shd w:val="clear" w:color="000000" w:fill="FFFFFF"/>
            <w:noWrap/>
            <w:vAlign w:val="bottom"/>
            <w:hideMark/>
          </w:tcPr>
          <w:p w14:paraId="6C55DA6F"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   </w:t>
            </w:r>
          </w:p>
        </w:tc>
        <w:tc>
          <w:tcPr>
            <w:tcW w:w="1361" w:type="dxa"/>
            <w:shd w:val="clear" w:color="000000" w:fill="FFFFFF"/>
            <w:noWrap/>
            <w:vAlign w:val="bottom"/>
            <w:hideMark/>
          </w:tcPr>
          <w:p w14:paraId="34A9D427" w14:textId="77777777" w:rsidR="00F940EE" w:rsidRPr="00F940EE" w:rsidRDefault="00F940EE" w:rsidP="00F940EE">
            <w:pPr>
              <w:spacing w:after="0" w:line="240" w:lineRule="auto"/>
              <w:rPr>
                <w:rFonts w:eastAsia="Times New Roman" w:cs="Calibri"/>
                <w:color w:val="000000"/>
                <w:sz w:val="14"/>
                <w:szCs w:val="14"/>
                <w:lang w:val="es-US" w:eastAsia="es-US"/>
              </w:rPr>
            </w:pPr>
            <w:r w:rsidRPr="00F940EE">
              <w:rPr>
                <w:rFonts w:eastAsia="Times New Roman" w:cs="Calibri"/>
                <w:color w:val="000000"/>
                <w:sz w:val="14"/>
                <w:szCs w:val="14"/>
                <w:lang w:val="es-US" w:eastAsia="es-US"/>
              </w:rPr>
              <w:t xml:space="preserve">                            -   </w:t>
            </w:r>
          </w:p>
        </w:tc>
        <w:tc>
          <w:tcPr>
            <w:tcW w:w="1104" w:type="dxa"/>
            <w:shd w:val="clear" w:color="000000" w:fill="FFFFFF"/>
            <w:noWrap/>
            <w:vAlign w:val="bottom"/>
            <w:hideMark/>
          </w:tcPr>
          <w:p w14:paraId="723CB182" w14:textId="77777777" w:rsidR="00F940EE" w:rsidRPr="00F940EE" w:rsidRDefault="00F940EE" w:rsidP="00F940EE">
            <w:pPr>
              <w:spacing w:after="0" w:line="240" w:lineRule="auto"/>
              <w:jc w:val="right"/>
              <w:rPr>
                <w:rFonts w:eastAsia="Times New Roman" w:cs="Calibri"/>
                <w:color w:val="000000"/>
                <w:sz w:val="14"/>
                <w:szCs w:val="14"/>
                <w:lang w:val="es-US" w:eastAsia="es-US"/>
              </w:rPr>
            </w:pPr>
            <w:r w:rsidRPr="00F940EE">
              <w:rPr>
                <w:rFonts w:eastAsia="Times New Roman" w:cs="Calibri"/>
                <w:color w:val="000000"/>
                <w:sz w:val="14"/>
                <w:szCs w:val="14"/>
                <w:lang w:val="es-US" w:eastAsia="es-US"/>
              </w:rPr>
              <w:t>0.00%</w:t>
            </w:r>
          </w:p>
        </w:tc>
      </w:tr>
    </w:tbl>
    <w:p w14:paraId="640AFD59" w14:textId="77777777" w:rsidR="004036B4" w:rsidRDefault="004036B4" w:rsidP="00544D70">
      <w:pPr>
        <w:jc w:val="both"/>
        <w:rPr>
          <w:rFonts w:ascii="Arial" w:hAnsi="Arial" w:cs="Arial"/>
        </w:rPr>
      </w:pPr>
    </w:p>
    <w:p w14:paraId="5DEBDF0D" w14:textId="77777777" w:rsidR="00042FAE" w:rsidRDefault="00042FAE" w:rsidP="0064010E">
      <w:pPr>
        <w:spacing w:after="0" w:line="240" w:lineRule="auto"/>
        <w:rPr>
          <w:rFonts w:ascii="Arial" w:hAnsi="Arial" w:cs="Arial"/>
          <w:b/>
        </w:rPr>
      </w:pPr>
    </w:p>
    <w:p w14:paraId="3CD8DB40" w14:textId="77777777" w:rsidR="00591893" w:rsidRDefault="00591893" w:rsidP="0064010E">
      <w:pPr>
        <w:spacing w:after="0" w:line="240" w:lineRule="auto"/>
        <w:rPr>
          <w:rFonts w:ascii="Arial" w:hAnsi="Arial" w:cs="Arial"/>
          <w:b/>
        </w:rPr>
      </w:pPr>
    </w:p>
    <w:p w14:paraId="666004CF" w14:textId="77777777" w:rsidR="0064010E" w:rsidRPr="00F82012" w:rsidRDefault="0064010E" w:rsidP="0064010E">
      <w:pPr>
        <w:spacing w:after="0" w:line="240" w:lineRule="auto"/>
        <w:rPr>
          <w:rFonts w:ascii="Arial" w:hAnsi="Arial" w:cs="Arial"/>
          <w:b/>
        </w:rPr>
      </w:pPr>
      <w:r w:rsidRPr="00F82012">
        <w:rPr>
          <w:rFonts w:ascii="Arial" w:hAnsi="Arial" w:cs="Arial"/>
          <w:b/>
        </w:rPr>
        <w:t xml:space="preserve">MATERIALES Y SUMINISTROS </w:t>
      </w:r>
    </w:p>
    <w:p w14:paraId="0CA55BE2" w14:textId="77777777" w:rsidR="0064010E" w:rsidRPr="001670EE" w:rsidRDefault="0064010E" w:rsidP="0064010E">
      <w:pPr>
        <w:spacing w:after="0" w:line="240" w:lineRule="auto"/>
        <w:rPr>
          <w:rFonts w:ascii="Arial" w:hAnsi="Arial" w:cs="Arial"/>
        </w:rPr>
      </w:pPr>
    </w:p>
    <w:p w14:paraId="3EC2A90B" w14:textId="20FC5CD0" w:rsidR="0064010E" w:rsidRDefault="0064010E" w:rsidP="00E6462F">
      <w:pPr>
        <w:jc w:val="both"/>
        <w:rPr>
          <w:rFonts w:ascii="Arial" w:hAnsi="Arial" w:cs="Arial"/>
        </w:rPr>
      </w:pPr>
      <w:r w:rsidRPr="001670EE">
        <w:rPr>
          <w:rFonts w:ascii="Arial" w:hAnsi="Arial" w:cs="Arial"/>
        </w:rPr>
        <w:t xml:space="preserve">En este grupo se presupuestó la suma de </w:t>
      </w:r>
      <w:r w:rsidRPr="00514F4E">
        <w:rPr>
          <w:rFonts w:ascii="Arial" w:hAnsi="Arial" w:cs="Arial"/>
          <w:b/>
        </w:rPr>
        <w:t>¢</w:t>
      </w:r>
      <w:r w:rsidR="00140A24">
        <w:rPr>
          <w:rFonts w:ascii="Arial" w:hAnsi="Arial" w:cs="Arial"/>
          <w:b/>
        </w:rPr>
        <w:t>758.460</w:t>
      </w:r>
      <w:r w:rsidR="00CE7148">
        <w:rPr>
          <w:rFonts w:ascii="Arial" w:hAnsi="Arial" w:cs="Arial"/>
          <w:b/>
        </w:rPr>
        <w:t xml:space="preserve"> </w:t>
      </w:r>
      <w:r w:rsidR="00CE7148" w:rsidRPr="006A7ABB">
        <w:rPr>
          <w:rFonts w:ascii="Arial" w:hAnsi="Arial" w:cs="Arial"/>
        </w:rPr>
        <w:t xml:space="preserve">de los cuales </w:t>
      </w:r>
      <w:r w:rsidR="00735757" w:rsidRPr="006A7ABB">
        <w:rPr>
          <w:rFonts w:ascii="Arial" w:hAnsi="Arial" w:cs="Arial"/>
        </w:rPr>
        <w:t>en el p</w:t>
      </w:r>
      <w:r w:rsidR="006A7ABB">
        <w:rPr>
          <w:rFonts w:ascii="Arial" w:hAnsi="Arial" w:cs="Arial"/>
        </w:rPr>
        <w:t xml:space="preserve">eriodo se </w:t>
      </w:r>
      <w:r w:rsidR="00735757" w:rsidRPr="006A7ABB">
        <w:rPr>
          <w:rFonts w:ascii="Arial" w:hAnsi="Arial" w:cs="Arial"/>
        </w:rPr>
        <w:t>ejecut</w:t>
      </w:r>
      <w:r w:rsidR="006A7ABB">
        <w:rPr>
          <w:rFonts w:ascii="Arial" w:hAnsi="Arial" w:cs="Arial"/>
        </w:rPr>
        <w:t xml:space="preserve">ó la suma de </w:t>
      </w:r>
      <w:r w:rsidR="00CE7148" w:rsidRPr="006A7ABB">
        <w:rPr>
          <w:rFonts w:ascii="Arial" w:hAnsi="Arial" w:cs="Arial"/>
          <w:b/>
        </w:rPr>
        <w:t>¢</w:t>
      </w:r>
      <w:r w:rsidR="00140A24">
        <w:rPr>
          <w:rFonts w:ascii="Arial" w:hAnsi="Arial" w:cs="Arial"/>
          <w:b/>
        </w:rPr>
        <w:t>144.877</w:t>
      </w:r>
      <w:r w:rsidR="00CE7148" w:rsidRPr="006A7ABB">
        <w:rPr>
          <w:rFonts w:ascii="Arial" w:hAnsi="Arial" w:cs="Arial"/>
        </w:rPr>
        <w:t xml:space="preserve"> equivalente a un </w:t>
      </w:r>
      <w:r w:rsidR="00140A24" w:rsidRPr="00140A24">
        <w:rPr>
          <w:rFonts w:ascii="Arial" w:hAnsi="Arial" w:cs="Arial"/>
          <w:b/>
          <w:bCs/>
        </w:rPr>
        <w:t>19.10%</w:t>
      </w:r>
      <w:r w:rsidR="006A7ABB" w:rsidRPr="00140A24">
        <w:rPr>
          <w:rFonts w:ascii="Arial" w:hAnsi="Arial" w:cs="Arial"/>
          <w:b/>
          <w:bCs/>
        </w:rPr>
        <w:t xml:space="preserve">, </w:t>
      </w:r>
      <w:r w:rsidR="006A7ABB">
        <w:rPr>
          <w:rFonts w:ascii="Arial" w:hAnsi="Arial" w:cs="Arial"/>
        </w:rPr>
        <w:t xml:space="preserve">del monto </w:t>
      </w:r>
      <w:r w:rsidR="005252D1">
        <w:rPr>
          <w:rFonts w:ascii="Arial" w:hAnsi="Arial" w:cs="Arial"/>
        </w:rPr>
        <w:t xml:space="preserve">indicado, </w:t>
      </w:r>
      <w:r w:rsidR="006A7ABB">
        <w:rPr>
          <w:rFonts w:ascii="Arial" w:hAnsi="Arial" w:cs="Arial"/>
        </w:rPr>
        <w:t xml:space="preserve">durante el segundo semestre se ejecutó la suma de </w:t>
      </w:r>
      <w:r w:rsidR="006A7ABB" w:rsidRPr="006A7ABB">
        <w:rPr>
          <w:rFonts w:ascii="Arial" w:hAnsi="Arial" w:cs="Arial"/>
          <w:b/>
        </w:rPr>
        <w:t>¢</w:t>
      </w:r>
      <w:r w:rsidR="005252D1">
        <w:rPr>
          <w:rFonts w:ascii="Arial" w:hAnsi="Arial" w:cs="Arial"/>
          <w:b/>
        </w:rPr>
        <w:t>48.292</w:t>
      </w:r>
      <w:r w:rsidR="00735757" w:rsidRPr="006A7ABB">
        <w:rPr>
          <w:rFonts w:ascii="Arial" w:hAnsi="Arial" w:cs="Arial"/>
        </w:rPr>
        <w:t xml:space="preserve">. </w:t>
      </w:r>
      <w:r w:rsidR="00334995" w:rsidRPr="006A7ABB">
        <w:rPr>
          <w:rFonts w:ascii="Arial" w:hAnsi="Arial" w:cs="Arial"/>
        </w:rPr>
        <w:t xml:space="preserve">Con dichos recursos se dio </w:t>
      </w:r>
      <w:r w:rsidR="00CE7148" w:rsidRPr="006A7ABB">
        <w:rPr>
          <w:rFonts w:ascii="Arial" w:hAnsi="Arial" w:cs="Arial"/>
        </w:rPr>
        <w:t xml:space="preserve">la </w:t>
      </w:r>
      <w:r w:rsidR="005252D1">
        <w:rPr>
          <w:rFonts w:ascii="Arial" w:hAnsi="Arial" w:cs="Arial"/>
        </w:rPr>
        <w:t xml:space="preserve">adquisición de materiales como resmas de hojas de seguridad, y protocolos, requeridos para la </w:t>
      </w:r>
      <w:r w:rsidRPr="006A7ABB">
        <w:rPr>
          <w:rFonts w:ascii="Arial" w:hAnsi="Arial" w:cs="Arial"/>
        </w:rPr>
        <w:t>aten</w:t>
      </w:r>
      <w:r w:rsidR="00CE7148" w:rsidRPr="006A7ABB">
        <w:rPr>
          <w:rFonts w:ascii="Arial" w:hAnsi="Arial" w:cs="Arial"/>
        </w:rPr>
        <w:t xml:space="preserve">ción </w:t>
      </w:r>
      <w:r w:rsidR="005252D1">
        <w:rPr>
          <w:rFonts w:ascii="Arial" w:hAnsi="Arial" w:cs="Arial"/>
        </w:rPr>
        <w:t>de asuntos legales</w:t>
      </w:r>
      <w:r w:rsidR="006D39B4" w:rsidRPr="006A7ABB">
        <w:rPr>
          <w:rFonts w:ascii="Arial" w:hAnsi="Arial" w:cs="Arial"/>
        </w:rPr>
        <w:t>:</w:t>
      </w:r>
    </w:p>
    <w:p w14:paraId="78B6FBF0" w14:textId="77777777" w:rsidR="00CF0229" w:rsidRDefault="00CF0229" w:rsidP="00CD61C9">
      <w:pPr>
        <w:spacing w:after="0"/>
        <w:jc w:val="both"/>
        <w:rPr>
          <w:rFonts w:ascii="Arial" w:hAnsi="Arial" w:cs="Arial"/>
          <w:b/>
        </w:rPr>
      </w:pPr>
    </w:p>
    <w:p w14:paraId="1EEC10F6" w14:textId="77777777" w:rsidR="0045517A" w:rsidRDefault="0045517A" w:rsidP="00CD61C9">
      <w:pPr>
        <w:spacing w:after="0"/>
        <w:jc w:val="both"/>
        <w:rPr>
          <w:rFonts w:ascii="Arial" w:hAnsi="Arial" w:cs="Arial"/>
          <w:b/>
        </w:rPr>
      </w:pPr>
      <w:r w:rsidRPr="0045517A">
        <w:rPr>
          <w:rFonts w:ascii="Arial" w:hAnsi="Arial" w:cs="Arial"/>
          <w:b/>
        </w:rPr>
        <w:t>ACTIVOS FINANCIEROS</w:t>
      </w:r>
    </w:p>
    <w:p w14:paraId="6153810F" w14:textId="77777777" w:rsidR="00CA7ADD" w:rsidRDefault="00CA7ADD" w:rsidP="00CD61C9">
      <w:pPr>
        <w:spacing w:after="0"/>
        <w:jc w:val="both"/>
        <w:rPr>
          <w:rFonts w:ascii="Arial" w:hAnsi="Arial" w:cs="Arial"/>
          <w:b/>
        </w:rPr>
      </w:pPr>
    </w:p>
    <w:p w14:paraId="1A59A91D" w14:textId="77777777" w:rsidR="0056604F" w:rsidRDefault="0045517A" w:rsidP="00E6462F">
      <w:pPr>
        <w:jc w:val="both"/>
        <w:rPr>
          <w:rFonts w:ascii="Arial" w:hAnsi="Arial" w:cs="Arial"/>
        </w:rPr>
      </w:pPr>
      <w:r w:rsidRPr="00E609AB">
        <w:rPr>
          <w:rFonts w:ascii="Arial" w:hAnsi="Arial" w:cs="Arial"/>
        </w:rPr>
        <w:t xml:space="preserve">En esta partida </w:t>
      </w:r>
      <w:r w:rsidR="00970C87" w:rsidRPr="00E609AB">
        <w:rPr>
          <w:rFonts w:ascii="Arial" w:hAnsi="Arial" w:cs="Arial"/>
        </w:rPr>
        <w:t xml:space="preserve">se </w:t>
      </w:r>
      <w:r w:rsidRPr="00E609AB">
        <w:rPr>
          <w:rFonts w:ascii="Arial" w:hAnsi="Arial" w:cs="Arial"/>
        </w:rPr>
        <w:t>presupuest</w:t>
      </w:r>
      <w:r w:rsidR="00970C87" w:rsidRPr="00E609AB">
        <w:rPr>
          <w:rFonts w:ascii="Arial" w:hAnsi="Arial" w:cs="Arial"/>
        </w:rPr>
        <w:t xml:space="preserve">ó la suma de </w:t>
      </w:r>
      <w:r w:rsidR="00970C87" w:rsidRPr="00E609AB">
        <w:rPr>
          <w:rFonts w:ascii="Arial" w:hAnsi="Arial" w:cs="Arial"/>
          <w:b/>
        </w:rPr>
        <w:t>¢</w:t>
      </w:r>
      <w:r w:rsidR="001F6CC9" w:rsidRPr="00E609AB">
        <w:rPr>
          <w:rFonts w:ascii="Arial" w:hAnsi="Arial" w:cs="Arial"/>
          <w:b/>
        </w:rPr>
        <w:t>965.672.063</w:t>
      </w:r>
      <w:r w:rsidR="00227D14" w:rsidRPr="00E609AB">
        <w:rPr>
          <w:rFonts w:ascii="Arial" w:hAnsi="Arial" w:cs="Arial"/>
        </w:rPr>
        <w:t xml:space="preserve"> de los cuales </w:t>
      </w:r>
      <w:r w:rsidR="006A7ABB" w:rsidRPr="00E609AB">
        <w:rPr>
          <w:rFonts w:ascii="Arial" w:hAnsi="Arial" w:cs="Arial"/>
        </w:rPr>
        <w:t>al cierre del periodo se ejecutó la suma de</w:t>
      </w:r>
      <w:r w:rsidR="00970C87" w:rsidRPr="00E609AB">
        <w:rPr>
          <w:rFonts w:ascii="Arial" w:hAnsi="Arial" w:cs="Arial"/>
        </w:rPr>
        <w:t xml:space="preserve"> </w:t>
      </w:r>
      <w:r w:rsidR="00970C87" w:rsidRPr="00E609AB">
        <w:rPr>
          <w:rFonts w:ascii="Arial" w:hAnsi="Arial" w:cs="Arial"/>
          <w:b/>
        </w:rPr>
        <w:t>¢</w:t>
      </w:r>
      <w:r w:rsidR="001F6CC9" w:rsidRPr="00E609AB">
        <w:rPr>
          <w:rFonts w:ascii="Arial" w:hAnsi="Arial" w:cs="Arial"/>
          <w:b/>
        </w:rPr>
        <w:t>605.505.947</w:t>
      </w:r>
      <w:r w:rsidR="00F877B6" w:rsidRPr="00E609AB">
        <w:rPr>
          <w:rFonts w:ascii="Arial" w:hAnsi="Arial" w:cs="Arial"/>
          <w:b/>
        </w:rPr>
        <w:t>,</w:t>
      </w:r>
      <w:r w:rsidR="00F877B6" w:rsidRPr="00E609AB">
        <w:rPr>
          <w:rFonts w:ascii="Arial" w:hAnsi="Arial" w:cs="Arial"/>
        </w:rPr>
        <w:t xml:space="preserve"> lo que equivale a</w:t>
      </w:r>
      <w:r w:rsidR="006A7ABB" w:rsidRPr="00E609AB">
        <w:rPr>
          <w:rFonts w:ascii="Arial" w:hAnsi="Arial" w:cs="Arial"/>
        </w:rPr>
        <w:t xml:space="preserve"> un</w:t>
      </w:r>
      <w:r w:rsidR="00F877B6" w:rsidRPr="00E609AB">
        <w:rPr>
          <w:rFonts w:ascii="Arial" w:hAnsi="Arial" w:cs="Arial"/>
        </w:rPr>
        <w:t xml:space="preserve"> </w:t>
      </w:r>
      <w:r w:rsidR="006A7ABB" w:rsidRPr="00E609AB">
        <w:rPr>
          <w:rFonts w:ascii="Arial" w:hAnsi="Arial" w:cs="Arial"/>
        </w:rPr>
        <w:t>6</w:t>
      </w:r>
      <w:r w:rsidR="001F6CC9" w:rsidRPr="00E609AB">
        <w:rPr>
          <w:rFonts w:ascii="Arial" w:hAnsi="Arial" w:cs="Arial"/>
        </w:rPr>
        <w:t>2.70</w:t>
      </w:r>
      <w:r w:rsidR="00227D14" w:rsidRPr="00E609AB">
        <w:rPr>
          <w:rFonts w:ascii="Arial" w:hAnsi="Arial" w:cs="Arial"/>
          <w:b/>
        </w:rPr>
        <w:t>%</w:t>
      </w:r>
      <w:r w:rsidR="00393C69" w:rsidRPr="00E609AB">
        <w:rPr>
          <w:rFonts w:ascii="Arial" w:hAnsi="Arial" w:cs="Arial"/>
          <w:b/>
        </w:rPr>
        <w:t xml:space="preserve">, </w:t>
      </w:r>
      <w:r w:rsidR="00393C69" w:rsidRPr="00E609AB">
        <w:rPr>
          <w:rFonts w:ascii="Arial" w:hAnsi="Arial" w:cs="Arial"/>
        </w:rPr>
        <w:t>de este monto, la suma de ¢</w:t>
      </w:r>
      <w:r w:rsidR="001F6CC9" w:rsidRPr="00E609AB">
        <w:rPr>
          <w:rFonts w:ascii="Arial" w:hAnsi="Arial" w:cs="Arial"/>
        </w:rPr>
        <w:t>367.155.869</w:t>
      </w:r>
      <w:r w:rsidR="00393C69" w:rsidRPr="00E609AB">
        <w:rPr>
          <w:rFonts w:ascii="Arial" w:hAnsi="Arial" w:cs="Arial"/>
        </w:rPr>
        <w:t xml:space="preserve"> fue ejecutada durante el segundo semestre</w:t>
      </w:r>
      <w:r w:rsidR="0073704A" w:rsidRPr="00E609AB">
        <w:rPr>
          <w:rFonts w:ascii="Arial" w:hAnsi="Arial" w:cs="Arial"/>
          <w:b/>
        </w:rPr>
        <w:t>.</w:t>
      </w:r>
      <w:r w:rsidRPr="00E609AB">
        <w:rPr>
          <w:rFonts w:ascii="Arial" w:hAnsi="Arial" w:cs="Arial"/>
        </w:rPr>
        <w:t xml:space="preserve"> </w:t>
      </w:r>
      <w:r w:rsidR="0073704A" w:rsidRPr="00E609AB">
        <w:rPr>
          <w:rFonts w:ascii="Arial" w:hAnsi="Arial" w:cs="Arial"/>
        </w:rPr>
        <w:t xml:space="preserve">Estos recursos se destinan </w:t>
      </w:r>
      <w:r w:rsidRPr="00E609AB">
        <w:rPr>
          <w:rFonts w:ascii="Arial" w:hAnsi="Arial" w:cs="Arial"/>
        </w:rPr>
        <w:t xml:space="preserve">al otorgamiento de créditos en el Sector Forestal, principalmente para atender las necesidades de financiamiento </w:t>
      </w:r>
      <w:r w:rsidR="00D135B5" w:rsidRPr="00E609AB">
        <w:rPr>
          <w:rFonts w:ascii="Arial" w:hAnsi="Arial" w:cs="Arial"/>
        </w:rPr>
        <w:t xml:space="preserve">tales como </w:t>
      </w:r>
      <w:r w:rsidRPr="00E609AB">
        <w:rPr>
          <w:rFonts w:ascii="Arial" w:hAnsi="Arial" w:cs="Arial"/>
        </w:rPr>
        <w:t xml:space="preserve">capital de trabajo, </w:t>
      </w:r>
      <w:r w:rsidR="00F877B6" w:rsidRPr="00E609AB">
        <w:rPr>
          <w:rFonts w:ascii="Arial" w:hAnsi="Arial" w:cs="Arial"/>
        </w:rPr>
        <w:t xml:space="preserve">viveros forestales, </w:t>
      </w:r>
    </w:p>
    <w:p w14:paraId="72A14135" w14:textId="77777777" w:rsidR="0056604F" w:rsidRDefault="0056604F" w:rsidP="00E6462F">
      <w:pPr>
        <w:jc w:val="both"/>
        <w:rPr>
          <w:rFonts w:ascii="Arial" w:hAnsi="Arial" w:cs="Arial"/>
        </w:rPr>
      </w:pPr>
    </w:p>
    <w:p w14:paraId="34F3492A" w14:textId="2F4F7163" w:rsidR="00E609AB" w:rsidRDefault="00F877B6" w:rsidP="00E6462F">
      <w:pPr>
        <w:jc w:val="both"/>
        <w:rPr>
          <w:rFonts w:ascii="Arial" w:hAnsi="Arial" w:cs="Arial"/>
        </w:rPr>
      </w:pPr>
      <w:r w:rsidRPr="00E609AB">
        <w:rPr>
          <w:rFonts w:ascii="Arial" w:hAnsi="Arial" w:cs="Arial"/>
        </w:rPr>
        <w:t xml:space="preserve">reforestación, industria forestal, crédito puente, estudios técnicos, de acuerdo al reglamento de crédito del fideicomiso y el programa crediticio.  </w:t>
      </w:r>
    </w:p>
    <w:p w14:paraId="3DDA75D5" w14:textId="3C5AAC8B" w:rsidR="00DC7020" w:rsidRDefault="00E609AB" w:rsidP="005A6615">
      <w:pPr>
        <w:jc w:val="both"/>
        <w:rPr>
          <w:rFonts w:ascii="Arial" w:hAnsi="Arial" w:cs="Arial"/>
        </w:rPr>
      </w:pPr>
      <w:r w:rsidRPr="00E609AB">
        <w:rPr>
          <w:rFonts w:ascii="Arial" w:hAnsi="Arial" w:cs="Arial"/>
        </w:rPr>
        <w:t>El programa de Crédito Forestal ha tenido dificultad para lograr los objetivos institucionales del periodo debido a que la situación de la economía nacional se ha contraído como efecto de las medidas tomadas para contrarrestar la pandemia de la enfermedad del COVID19</w:t>
      </w:r>
      <w:r>
        <w:rPr>
          <w:rFonts w:ascii="Arial" w:hAnsi="Arial" w:cs="Arial"/>
        </w:rPr>
        <w:t>, esto se ampliará más adelante.</w:t>
      </w:r>
    </w:p>
    <w:p w14:paraId="00E737FC" w14:textId="77777777" w:rsidR="0064010E" w:rsidRPr="00F82012" w:rsidRDefault="0064010E" w:rsidP="0064010E">
      <w:pPr>
        <w:spacing w:after="0" w:line="240" w:lineRule="auto"/>
        <w:rPr>
          <w:rFonts w:ascii="Arial" w:hAnsi="Arial" w:cs="Arial"/>
          <w:b/>
        </w:rPr>
      </w:pPr>
      <w:bookmarkStart w:id="20" w:name="_Hlk94515336"/>
      <w:r w:rsidRPr="00F82012">
        <w:rPr>
          <w:rFonts w:ascii="Arial" w:hAnsi="Arial" w:cs="Arial"/>
          <w:b/>
        </w:rPr>
        <w:t>TRANSFERENCIAS CORRIENTES</w:t>
      </w:r>
    </w:p>
    <w:p w14:paraId="5C81A8A8" w14:textId="77777777" w:rsidR="008A6763" w:rsidRDefault="008A6763" w:rsidP="0064010E">
      <w:pPr>
        <w:jc w:val="both"/>
        <w:rPr>
          <w:rFonts w:ascii="Arial" w:hAnsi="Arial" w:cs="Arial"/>
        </w:rPr>
      </w:pPr>
    </w:p>
    <w:p w14:paraId="6DC76F9E" w14:textId="56133016" w:rsidR="0064010E" w:rsidRDefault="0064010E" w:rsidP="0064010E">
      <w:pPr>
        <w:jc w:val="both"/>
        <w:rPr>
          <w:rFonts w:ascii="Arial" w:hAnsi="Arial" w:cs="Arial"/>
        </w:rPr>
      </w:pPr>
      <w:r w:rsidRPr="00FA277B">
        <w:rPr>
          <w:rFonts w:ascii="Arial" w:hAnsi="Arial" w:cs="Arial"/>
        </w:rPr>
        <w:t xml:space="preserve">En este grupo se presupuestó la suma de </w:t>
      </w:r>
      <w:r w:rsidRPr="00FA277B">
        <w:rPr>
          <w:rFonts w:ascii="Arial" w:hAnsi="Arial" w:cs="Arial"/>
          <w:b/>
        </w:rPr>
        <w:t>¢</w:t>
      </w:r>
      <w:r w:rsidR="001F6CC9">
        <w:rPr>
          <w:rFonts w:ascii="Arial" w:hAnsi="Arial" w:cs="Arial"/>
          <w:b/>
        </w:rPr>
        <w:t>236.402.793</w:t>
      </w:r>
      <w:r w:rsidR="00B855F5">
        <w:rPr>
          <w:rFonts w:ascii="Arial" w:hAnsi="Arial" w:cs="Arial"/>
          <w:b/>
        </w:rPr>
        <w:t xml:space="preserve"> </w:t>
      </w:r>
      <w:r w:rsidR="00515CE6">
        <w:rPr>
          <w:rFonts w:ascii="Arial" w:hAnsi="Arial" w:cs="Arial"/>
        </w:rPr>
        <w:t xml:space="preserve">de los cuales se </w:t>
      </w:r>
      <w:r w:rsidR="00405C2C">
        <w:rPr>
          <w:rFonts w:ascii="Arial" w:hAnsi="Arial" w:cs="Arial"/>
        </w:rPr>
        <w:t>ejecutó ¢</w:t>
      </w:r>
      <w:r w:rsidR="001F6CC9">
        <w:rPr>
          <w:rFonts w:ascii="Arial" w:hAnsi="Arial" w:cs="Arial"/>
          <w:b/>
        </w:rPr>
        <w:t>176.418.266</w:t>
      </w:r>
      <w:r w:rsidRPr="00FA277B">
        <w:rPr>
          <w:rFonts w:ascii="Arial" w:hAnsi="Arial" w:cs="Arial"/>
        </w:rPr>
        <w:t xml:space="preserve"> equivale</w:t>
      </w:r>
      <w:r w:rsidR="00B551AE">
        <w:rPr>
          <w:rFonts w:ascii="Arial" w:hAnsi="Arial" w:cs="Arial"/>
        </w:rPr>
        <w:t>nte</w:t>
      </w:r>
      <w:r w:rsidRPr="00FA277B">
        <w:rPr>
          <w:rFonts w:ascii="Arial" w:hAnsi="Arial" w:cs="Arial"/>
        </w:rPr>
        <w:t xml:space="preserve"> </w:t>
      </w:r>
      <w:r w:rsidR="006C58D7">
        <w:rPr>
          <w:rFonts w:ascii="Arial" w:hAnsi="Arial" w:cs="Arial"/>
        </w:rPr>
        <w:t>al</w:t>
      </w:r>
      <w:r w:rsidRPr="00FA277B">
        <w:rPr>
          <w:rFonts w:ascii="Arial" w:hAnsi="Arial" w:cs="Arial"/>
        </w:rPr>
        <w:t xml:space="preserve"> </w:t>
      </w:r>
      <w:r w:rsidR="001F6CC9" w:rsidRPr="001F6CC9">
        <w:rPr>
          <w:rFonts w:ascii="Arial" w:hAnsi="Arial" w:cs="Arial"/>
          <w:b/>
          <w:bCs/>
        </w:rPr>
        <w:t>74.63</w:t>
      </w:r>
      <w:r w:rsidRPr="001F6CC9">
        <w:rPr>
          <w:rFonts w:ascii="Arial" w:hAnsi="Arial" w:cs="Arial"/>
          <w:b/>
          <w:bCs/>
        </w:rPr>
        <w:t>%</w:t>
      </w:r>
      <w:r w:rsidR="00BB49EF" w:rsidRPr="001F6CC9">
        <w:rPr>
          <w:rFonts w:ascii="Arial" w:hAnsi="Arial" w:cs="Arial"/>
          <w:b/>
          <w:bCs/>
        </w:rPr>
        <w:t>,</w:t>
      </w:r>
      <w:r w:rsidR="006C58D7">
        <w:rPr>
          <w:rFonts w:ascii="Arial" w:hAnsi="Arial" w:cs="Arial"/>
          <w:b/>
          <w:bCs/>
        </w:rPr>
        <w:t xml:space="preserve"> </w:t>
      </w:r>
      <w:r w:rsidR="006C58D7" w:rsidRPr="003C2209">
        <w:rPr>
          <w:rFonts w:ascii="Arial" w:hAnsi="Arial" w:cs="Arial"/>
        </w:rPr>
        <w:t xml:space="preserve">del monto anterior, durante el segundo semestre se ejecutó ¢1.947.177. </w:t>
      </w:r>
      <w:r w:rsidR="00405C2C">
        <w:rPr>
          <w:rFonts w:ascii="Arial" w:hAnsi="Arial" w:cs="Arial"/>
        </w:rPr>
        <w:t>E</w:t>
      </w:r>
      <w:r w:rsidR="006C58D7" w:rsidRPr="003C2209">
        <w:rPr>
          <w:rFonts w:ascii="Arial" w:hAnsi="Arial" w:cs="Arial"/>
        </w:rPr>
        <w:t xml:space="preserve">stos recursos </w:t>
      </w:r>
      <w:r w:rsidR="003C2209" w:rsidRPr="003C2209">
        <w:rPr>
          <w:rFonts w:ascii="Arial" w:hAnsi="Arial" w:cs="Arial"/>
        </w:rPr>
        <w:t>se utilizaron especialmente para el</w:t>
      </w:r>
      <w:r w:rsidR="006C58D7" w:rsidRPr="003C2209">
        <w:rPr>
          <w:rFonts w:ascii="Arial" w:hAnsi="Arial" w:cs="Arial"/>
        </w:rPr>
        <w:t xml:space="preserve"> pago de incapacidades, ayuda económica para los </w:t>
      </w:r>
      <w:r w:rsidR="00405C2C">
        <w:rPr>
          <w:rFonts w:ascii="Arial" w:hAnsi="Arial" w:cs="Arial"/>
        </w:rPr>
        <w:t>estudiantes</w:t>
      </w:r>
      <w:r w:rsidR="006C58D7" w:rsidRPr="003C2209">
        <w:rPr>
          <w:rFonts w:ascii="Arial" w:hAnsi="Arial" w:cs="Arial"/>
        </w:rPr>
        <w:t xml:space="preserve"> que desarrollan su práctica profesional en la institución, liquidaciones laborales y</w:t>
      </w:r>
      <w:r w:rsidR="003C2209" w:rsidRPr="003C2209">
        <w:rPr>
          <w:rFonts w:ascii="Arial" w:hAnsi="Arial" w:cs="Arial"/>
        </w:rPr>
        <w:t xml:space="preserve"> la devolución de los recursos no ejecuta</w:t>
      </w:r>
      <w:r w:rsidR="00405C2C">
        <w:rPr>
          <w:rFonts w:ascii="Arial" w:hAnsi="Arial" w:cs="Arial"/>
        </w:rPr>
        <w:t>d</w:t>
      </w:r>
      <w:r w:rsidR="003C2209" w:rsidRPr="003C2209">
        <w:rPr>
          <w:rFonts w:ascii="Arial" w:hAnsi="Arial" w:cs="Arial"/>
        </w:rPr>
        <w:t>os al término del proyecto REDD+, se</w:t>
      </w:r>
      <w:r w:rsidR="006C58D7" w:rsidRPr="003C2209">
        <w:rPr>
          <w:rFonts w:ascii="Arial" w:hAnsi="Arial" w:cs="Arial"/>
        </w:rPr>
        <w:t xml:space="preserve"> </w:t>
      </w:r>
      <w:r w:rsidRPr="003C2209">
        <w:rPr>
          <w:rFonts w:ascii="Arial" w:hAnsi="Arial" w:cs="Arial"/>
        </w:rPr>
        <w:t>distribu</w:t>
      </w:r>
      <w:r w:rsidR="003C2209" w:rsidRPr="003C2209">
        <w:rPr>
          <w:rFonts w:ascii="Arial" w:hAnsi="Arial" w:cs="Arial"/>
        </w:rPr>
        <w:t>ye en</w:t>
      </w:r>
      <w:r w:rsidRPr="003C2209">
        <w:rPr>
          <w:rFonts w:ascii="Arial" w:hAnsi="Arial" w:cs="Arial"/>
        </w:rPr>
        <w:t xml:space="preserve"> la</w:t>
      </w:r>
      <w:r w:rsidR="003C2209" w:rsidRPr="003C2209">
        <w:rPr>
          <w:rFonts w:ascii="Arial" w:hAnsi="Arial" w:cs="Arial"/>
        </w:rPr>
        <w:t>s</w:t>
      </w:r>
      <w:r w:rsidRPr="003C2209">
        <w:rPr>
          <w:rFonts w:ascii="Arial" w:hAnsi="Arial" w:cs="Arial"/>
        </w:rPr>
        <w:t xml:space="preserve"> siguiente</w:t>
      </w:r>
      <w:r w:rsidR="003C2209" w:rsidRPr="003C2209">
        <w:rPr>
          <w:rFonts w:ascii="Arial" w:hAnsi="Arial" w:cs="Arial"/>
        </w:rPr>
        <w:t>s</w:t>
      </w:r>
      <w:r w:rsidRPr="003C2209">
        <w:rPr>
          <w:rFonts w:ascii="Arial" w:hAnsi="Arial" w:cs="Arial"/>
        </w:rPr>
        <w:t xml:space="preserve"> subpartidas presupuestarias:</w:t>
      </w:r>
    </w:p>
    <w:tbl>
      <w:tblPr>
        <w:tblW w:w="10583" w:type="dxa"/>
        <w:jc w:val="center"/>
        <w:tblLayout w:type="fixed"/>
        <w:tblCellMar>
          <w:left w:w="70" w:type="dxa"/>
          <w:right w:w="70" w:type="dxa"/>
        </w:tblCellMar>
        <w:tblLook w:val="04A0" w:firstRow="1" w:lastRow="0" w:firstColumn="1" w:lastColumn="0" w:noHBand="0" w:noVBand="1"/>
      </w:tblPr>
      <w:tblGrid>
        <w:gridCol w:w="752"/>
        <w:gridCol w:w="3218"/>
        <w:gridCol w:w="1701"/>
        <w:gridCol w:w="1407"/>
        <w:gridCol w:w="1164"/>
        <w:gridCol w:w="1114"/>
        <w:gridCol w:w="1042"/>
        <w:gridCol w:w="185"/>
      </w:tblGrid>
      <w:tr w:rsidR="00101172" w:rsidRPr="008A6763" w14:paraId="23AC577F" w14:textId="77777777" w:rsidTr="00101172">
        <w:trPr>
          <w:gridAfter w:val="1"/>
          <w:wAfter w:w="185" w:type="dxa"/>
          <w:trHeight w:val="509"/>
          <w:jc w:val="center"/>
        </w:trPr>
        <w:tc>
          <w:tcPr>
            <w:tcW w:w="752"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noWrap/>
            <w:vAlign w:val="center"/>
            <w:hideMark/>
          </w:tcPr>
          <w:p w14:paraId="30C52A4F" w14:textId="77777777" w:rsidR="008A6763" w:rsidRPr="008A6763" w:rsidRDefault="008A6763" w:rsidP="008A6763">
            <w:pPr>
              <w:spacing w:after="0" w:line="240" w:lineRule="auto"/>
              <w:jc w:val="center"/>
              <w:rPr>
                <w:rFonts w:ascii="Arial" w:eastAsia="Times New Roman" w:hAnsi="Arial" w:cs="Arial"/>
                <w:b/>
                <w:bCs/>
                <w:color w:val="000000"/>
                <w:sz w:val="14"/>
                <w:szCs w:val="14"/>
                <w:lang w:val="es-US" w:eastAsia="es-US"/>
              </w:rPr>
            </w:pPr>
            <w:r w:rsidRPr="008A6763">
              <w:rPr>
                <w:rFonts w:ascii="Arial" w:eastAsia="Times New Roman" w:hAnsi="Arial" w:cs="Arial"/>
                <w:b/>
                <w:bCs/>
                <w:color w:val="000000"/>
                <w:sz w:val="14"/>
                <w:szCs w:val="14"/>
                <w:lang w:val="es-US" w:eastAsia="es-US"/>
              </w:rPr>
              <w:t>CUENTA</w:t>
            </w:r>
          </w:p>
        </w:tc>
        <w:tc>
          <w:tcPr>
            <w:tcW w:w="3218"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noWrap/>
            <w:vAlign w:val="center"/>
            <w:hideMark/>
          </w:tcPr>
          <w:p w14:paraId="16F4EFD8" w14:textId="77777777" w:rsidR="008A6763" w:rsidRPr="008A6763" w:rsidRDefault="008A6763" w:rsidP="008A6763">
            <w:pPr>
              <w:spacing w:after="0" w:line="240" w:lineRule="auto"/>
              <w:jc w:val="center"/>
              <w:rPr>
                <w:rFonts w:ascii="Arial" w:eastAsia="Times New Roman" w:hAnsi="Arial" w:cs="Arial"/>
                <w:b/>
                <w:bCs/>
                <w:color w:val="000000"/>
                <w:sz w:val="14"/>
                <w:szCs w:val="14"/>
                <w:lang w:val="es-US" w:eastAsia="es-US"/>
              </w:rPr>
            </w:pPr>
            <w:r w:rsidRPr="008A6763">
              <w:rPr>
                <w:rFonts w:ascii="Arial" w:eastAsia="Times New Roman" w:hAnsi="Arial" w:cs="Arial"/>
                <w:b/>
                <w:bCs/>
                <w:color w:val="000000"/>
                <w:sz w:val="14"/>
                <w:szCs w:val="14"/>
                <w:lang w:val="es-US" w:eastAsia="es-US"/>
              </w:rPr>
              <w:t>NOMBRE PARTIDA, GRUPO Y SUBPARTIDA</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4DA1EE76" w14:textId="77777777" w:rsidR="008A6763" w:rsidRPr="008A6763" w:rsidRDefault="008A6763" w:rsidP="008A6763">
            <w:pPr>
              <w:spacing w:after="0" w:line="240" w:lineRule="auto"/>
              <w:jc w:val="center"/>
              <w:rPr>
                <w:rFonts w:ascii="Arial" w:eastAsia="Times New Roman" w:hAnsi="Arial" w:cs="Arial"/>
                <w:b/>
                <w:bCs/>
                <w:color w:val="000000"/>
                <w:sz w:val="14"/>
                <w:szCs w:val="14"/>
                <w:lang w:val="es-US" w:eastAsia="es-US"/>
              </w:rPr>
            </w:pPr>
            <w:r w:rsidRPr="008A6763">
              <w:rPr>
                <w:rFonts w:ascii="Arial" w:eastAsia="Times New Roman" w:hAnsi="Arial" w:cs="Arial"/>
                <w:b/>
                <w:bCs/>
                <w:color w:val="000000"/>
                <w:sz w:val="14"/>
                <w:szCs w:val="14"/>
                <w:lang w:val="es-US" w:eastAsia="es-US"/>
              </w:rPr>
              <w:t>PRESUPUESTO APROBADO</w:t>
            </w:r>
          </w:p>
        </w:tc>
        <w:tc>
          <w:tcPr>
            <w:tcW w:w="1407" w:type="dxa"/>
            <w:vMerge w:val="restart"/>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5845F929" w14:textId="77777777" w:rsidR="008A6763" w:rsidRPr="008A6763" w:rsidRDefault="008A6763" w:rsidP="008A6763">
            <w:pPr>
              <w:spacing w:after="0" w:line="240" w:lineRule="auto"/>
              <w:jc w:val="center"/>
              <w:rPr>
                <w:rFonts w:ascii="Arial" w:eastAsia="Times New Roman" w:hAnsi="Arial" w:cs="Arial"/>
                <w:b/>
                <w:bCs/>
                <w:color w:val="000000"/>
                <w:sz w:val="14"/>
                <w:szCs w:val="14"/>
                <w:lang w:val="es-US" w:eastAsia="es-US"/>
              </w:rPr>
            </w:pPr>
            <w:r w:rsidRPr="008A6763">
              <w:rPr>
                <w:rFonts w:ascii="Arial" w:eastAsia="Times New Roman" w:hAnsi="Arial" w:cs="Arial"/>
                <w:b/>
                <w:bCs/>
                <w:color w:val="000000"/>
                <w:sz w:val="14"/>
                <w:szCs w:val="14"/>
                <w:lang w:val="es-US" w:eastAsia="es-US"/>
              </w:rPr>
              <w:t>TOTAL I SEMESTRE</w:t>
            </w:r>
          </w:p>
        </w:tc>
        <w:tc>
          <w:tcPr>
            <w:tcW w:w="1164" w:type="dxa"/>
            <w:vMerge w:val="restart"/>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03858E15" w14:textId="77777777" w:rsidR="008A6763" w:rsidRPr="008A6763" w:rsidRDefault="008A6763" w:rsidP="008A6763">
            <w:pPr>
              <w:spacing w:after="0" w:line="240" w:lineRule="auto"/>
              <w:jc w:val="center"/>
              <w:rPr>
                <w:rFonts w:ascii="Arial" w:eastAsia="Times New Roman" w:hAnsi="Arial" w:cs="Arial"/>
                <w:b/>
                <w:bCs/>
                <w:color w:val="000000"/>
                <w:sz w:val="14"/>
                <w:szCs w:val="14"/>
                <w:lang w:val="es-US" w:eastAsia="es-US"/>
              </w:rPr>
            </w:pPr>
            <w:r w:rsidRPr="008A6763">
              <w:rPr>
                <w:rFonts w:ascii="Arial" w:eastAsia="Times New Roman" w:hAnsi="Arial" w:cs="Arial"/>
                <w:b/>
                <w:bCs/>
                <w:color w:val="000000"/>
                <w:sz w:val="14"/>
                <w:szCs w:val="14"/>
                <w:lang w:val="es-US" w:eastAsia="es-US"/>
              </w:rPr>
              <w:t>TOTAL II SEMESTRE</w:t>
            </w:r>
          </w:p>
        </w:tc>
        <w:tc>
          <w:tcPr>
            <w:tcW w:w="1114" w:type="dxa"/>
            <w:vMerge w:val="restart"/>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35A86E22" w14:textId="77777777" w:rsidR="008A6763" w:rsidRPr="008A6763" w:rsidRDefault="008A6763" w:rsidP="008A6763">
            <w:pPr>
              <w:spacing w:after="0" w:line="240" w:lineRule="auto"/>
              <w:jc w:val="center"/>
              <w:rPr>
                <w:rFonts w:ascii="Arial" w:eastAsia="Times New Roman" w:hAnsi="Arial" w:cs="Arial"/>
                <w:b/>
                <w:bCs/>
                <w:color w:val="000000"/>
                <w:sz w:val="14"/>
                <w:szCs w:val="14"/>
                <w:lang w:val="es-US" w:eastAsia="es-US"/>
              </w:rPr>
            </w:pPr>
            <w:r w:rsidRPr="008A6763">
              <w:rPr>
                <w:rFonts w:ascii="Arial" w:eastAsia="Times New Roman" w:hAnsi="Arial" w:cs="Arial"/>
                <w:b/>
                <w:bCs/>
                <w:color w:val="000000"/>
                <w:sz w:val="14"/>
                <w:szCs w:val="14"/>
                <w:lang w:val="es-US" w:eastAsia="es-US"/>
              </w:rPr>
              <w:t>TOTAL EJECUTADO</w:t>
            </w:r>
          </w:p>
        </w:tc>
        <w:tc>
          <w:tcPr>
            <w:tcW w:w="1042" w:type="dxa"/>
            <w:vMerge w:val="restart"/>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1995D22A" w14:textId="77777777" w:rsidR="008A6763" w:rsidRPr="008A6763" w:rsidRDefault="008A6763" w:rsidP="008A6763">
            <w:pPr>
              <w:spacing w:after="0" w:line="240" w:lineRule="auto"/>
              <w:jc w:val="center"/>
              <w:rPr>
                <w:rFonts w:ascii="Arial" w:eastAsia="Times New Roman" w:hAnsi="Arial" w:cs="Arial"/>
                <w:b/>
                <w:bCs/>
                <w:color w:val="000000"/>
                <w:sz w:val="14"/>
                <w:szCs w:val="14"/>
                <w:lang w:val="es-US" w:eastAsia="es-US"/>
              </w:rPr>
            </w:pPr>
            <w:r w:rsidRPr="008A6763">
              <w:rPr>
                <w:rFonts w:ascii="Arial" w:eastAsia="Times New Roman" w:hAnsi="Arial" w:cs="Arial"/>
                <w:b/>
                <w:bCs/>
                <w:color w:val="000000"/>
                <w:sz w:val="14"/>
                <w:szCs w:val="14"/>
                <w:lang w:val="es-US" w:eastAsia="es-US"/>
              </w:rPr>
              <w:t>% EJECUTADO</w:t>
            </w:r>
          </w:p>
        </w:tc>
      </w:tr>
      <w:tr w:rsidR="00BB7547" w:rsidRPr="008A6763" w14:paraId="33C17C0C" w14:textId="77777777" w:rsidTr="00101172">
        <w:trPr>
          <w:trHeight w:val="296"/>
          <w:jc w:val="center"/>
        </w:trPr>
        <w:tc>
          <w:tcPr>
            <w:tcW w:w="752"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5A56C7E" w14:textId="77777777" w:rsidR="008A6763" w:rsidRPr="008A6763" w:rsidRDefault="008A6763" w:rsidP="008A6763">
            <w:pPr>
              <w:spacing w:after="0" w:line="240" w:lineRule="auto"/>
              <w:rPr>
                <w:rFonts w:ascii="Arial" w:eastAsia="Times New Roman" w:hAnsi="Arial" w:cs="Arial"/>
                <w:b/>
                <w:bCs/>
                <w:color w:val="000000"/>
                <w:sz w:val="14"/>
                <w:szCs w:val="14"/>
                <w:lang w:val="es-US" w:eastAsia="es-US"/>
              </w:rPr>
            </w:pPr>
          </w:p>
        </w:tc>
        <w:tc>
          <w:tcPr>
            <w:tcW w:w="3218"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63FF0F1" w14:textId="77777777" w:rsidR="008A6763" w:rsidRPr="008A6763" w:rsidRDefault="008A6763" w:rsidP="008A6763">
            <w:pPr>
              <w:spacing w:after="0" w:line="240" w:lineRule="auto"/>
              <w:rPr>
                <w:rFonts w:ascii="Arial" w:eastAsia="Times New Roman" w:hAnsi="Arial" w:cs="Arial"/>
                <w:b/>
                <w:bCs/>
                <w:color w:val="000000"/>
                <w:sz w:val="14"/>
                <w:szCs w:val="14"/>
                <w:lang w:val="es-US" w:eastAsia="es-US"/>
              </w:rPr>
            </w:pPr>
          </w:p>
        </w:tc>
        <w:tc>
          <w:tcPr>
            <w:tcW w:w="1701" w:type="dxa"/>
            <w:vMerge/>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6E0B3F37" w14:textId="77777777" w:rsidR="008A6763" w:rsidRPr="008A6763" w:rsidRDefault="008A6763" w:rsidP="008A6763">
            <w:pPr>
              <w:spacing w:after="0" w:line="240" w:lineRule="auto"/>
              <w:rPr>
                <w:rFonts w:ascii="Arial" w:eastAsia="Times New Roman" w:hAnsi="Arial" w:cs="Arial"/>
                <w:b/>
                <w:bCs/>
                <w:color w:val="000000"/>
                <w:sz w:val="14"/>
                <w:szCs w:val="14"/>
                <w:lang w:val="es-US" w:eastAsia="es-US"/>
              </w:rPr>
            </w:pPr>
          </w:p>
        </w:tc>
        <w:tc>
          <w:tcPr>
            <w:tcW w:w="1407" w:type="dxa"/>
            <w:vMerge/>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40850FE0" w14:textId="77777777" w:rsidR="008A6763" w:rsidRPr="008A6763" w:rsidRDefault="008A6763" w:rsidP="008A6763">
            <w:pPr>
              <w:spacing w:after="0" w:line="240" w:lineRule="auto"/>
              <w:rPr>
                <w:rFonts w:ascii="Arial" w:eastAsia="Times New Roman" w:hAnsi="Arial" w:cs="Arial"/>
                <w:b/>
                <w:bCs/>
                <w:color w:val="000000"/>
                <w:sz w:val="14"/>
                <w:szCs w:val="14"/>
                <w:lang w:val="es-US" w:eastAsia="es-US"/>
              </w:rPr>
            </w:pPr>
          </w:p>
        </w:tc>
        <w:tc>
          <w:tcPr>
            <w:tcW w:w="1164" w:type="dxa"/>
            <w:vMerge/>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7362C108" w14:textId="77777777" w:rsidR="008A6763" w:rsidRPr="008A6763" w:rsidRDefault="008A6763" w:rsidP="008A6763">
            <w:pPr>
              <w:spacing w:after="0" w:line="240" w:lineRule="auto"/>
              <w:rPr>
                <w:rFonts w:ascii="Arial" w:eastAsia="Times New Roman" w:hAnsi="Arial" w:cs="Arial"/>
                <w:b/>
                <w:bCs/>
                <w:color w:val="000000"/>
                <w:sz w:val="14"/>
                <w:szCs w:val="14"/>
                <w:lang w:val="es-US" w:eastAsia="es-US"/>
              </w:rPr>
            </w:pPr>
          </w:p>
        </w:tc>
        <w:tc>
          <w:tcPr>
            <w:tcW w:w="1114" w:type="dxa"/>
            <w:vMerge/>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2E943AAE" w14:textId="77777777" w:rsidR="008A6763" w:rsidRPr="008A6763" w:rsidRDefault="008A6763" w:rsidP="008A6763">
            <w:pPr>
              <w:spacing w:after="0" w:line="240" w:lineRule="auto"/>
              <w:rPr>
                <w:rFonts w:ascii="Arial" w:eastAsia="Times New Roman" w:hAnsi="Arial" w:cs="Arial"/>
                <w:b/>
                <w:bCs/>
                <w:color w:val="000000"/>
                <w:sz w:val="14"/>
                <w:szCs w:val="14"/>
                <w:lang w:val="es-US" w:eastAsia="es-US"/>
              </w:rPr>
            </w:pPr>
          </w:p>
        </w:tc>
        <w:tc>
          <w:tcPr>
            <w:tcW w:w="1042" w:type="dxa"/>
            <w:vMerge/>
            <w:tcBorders>
              <w:top w:val="single" w:sz="8" w:space="0" w:color="auto"/>
              <w:left w:val="single" w:sz="4" w:space="0" w:color="auto"/>
              <w:bottom w:val="single" w:sz="8" w:space="0" w:color="000000"/>
              <w:right w:val="single" w:sz="4" w:space="0" w:color="auto"/>
            </w:tcBorders>
            <w:shd w:val="clear" w:color="auto" w:fill="D6E3BC" w:themeFill="accent3" w:themeFillTint="66"/>
            <w:vAlign w:val="center"/>
            <w:hideMark/>
          </w:tcPr>
          <w:p w14:paraId="079BF8E9" w14:textId="77777777" w:rsidR="008A6763" w:rsidRPr="008A6763" w:rsidRDefault="008A6763" w:rsidP="008A6763">
            <w:pPr>
              <w:spacing w:after="0" w:line="240" w:lineRule="auto"/>
              <w:rPr>
                <w:rFonts w:ascii="Arial" w:eastAsia="Times New Roman" w:hAnsi="Arial" w:cs="Arial"/>
                <w:b/>
                <w:bCs/>
                <w:color w:val="000000"/>
                <w:sz w:val="14"/>
                <w:szCs w:val="14"/>
                <w:lang w:val="es-US" w:eastAsia="es-US"/>
              </w:rPr>
            </w:pPr>
          </w:p>
        </w:tc>
        <w:tc>
          <w:tcPr>
            <w:tcW w:w="185" w:type="dxa"/>
            <w:tcBorders>
              <w:top w:val="nil"/>
              <w:left w:val="nil"/>
              <w:bottom w:val="nil"/>
              <w:right w:val="nil"/>
            </w:tcBorders>
            <w:shd w:val="clear" w:color="auto" w:fill="auto"/>
            <w:noWrap/>
            <w:vAlign w:val="bottom"/>
            <w:hideMark/>
          </w:tcPr>
          <w:p w14:paraId="05A8B201" w14:textId="77777777" w:rsidR="008A6763" w:rsidRPr="008A6763" w:rsidRDefault="008A6763" w:rsidP="008A6763">
            <w:pPr>
              <w:spacing w:after="0" w:line="240" w:lineRule="auto"/>
              <w:jc w:val="center"/>
              <w:rPr>
                <w:rFonts w:ascii="Arial" w:eastAsia="Times New Roman" w:hAnsi="Arial" w:cs="Arial"/>
                <w:b/>
                <w:bCs/>
                <w:color w:val="000000"/>
                <w:sz w:val="14"/>
                <w:szCs w:val="14"/>
                <w:lang w:val="es-US" w:eastAsia="es-US"/>
              </w:rPr>
            </w:pPr>
          </w:p>
        </w:tc>
      </w:tr>
      <w:tr w:rsidR="00BB7547" w:rsidRPr="008A6763" w14:paraId="1B598D4A" w14:textId="77777777" w:rsidTr="00844CC5">
        <w:trPr>
          <w:trHeight w:val="203"/>
          <w:jc w:val="center"/>
        </w:trPr>
        <w:tc>
          <w:tcPr>
            <w:tcW w:w="752" w:type="dxa"/>
            <w:tcBorders>
              <w:top w:val="nil"/>
              <w:left w:val="single" w:sz="8" w:space="0" w:color="auto"/>
              <w:bottom w:val="single" w:sz="4" w:space="0" w:color="auto"/>
              <w:right w:val="single" w:sz="8" w:space="0" w:color="auto"/>
            </w:tcBorders>
            <w:shd w:val="clear" w:color="000000" w:fill="E7E6E6"/>
            <w:noWrap/>
            <w:vAlign w:val="center"/>
            <w:hideMark/>
          </w:tcPr>
          <w:p w14:paraId="20C0AE3B" w14:textId="77777777" w:rsidR="008A6763" w:rsidRPr="008A6763" w:rsidRDefault="008A6763" w:rsidP="008A6763">
            <w:pPr>
              <w:spacing w:after="0" w:line="240" w:lineRule="auto"/>
              <w:rPr>
                <w:rFonts w:ascii="Arial" w:eastAsia="Times New Roman" w:hAnsi="Arial" w:cs="Arial"/>
                <w:b/>
                <w:bCs/>
                <w:sz w:val="14"/>
                <w:szCs w:val="14"/>
                <w:lang w:val="es-US" w:eastAsia="es-US"/>
              </w:rPr>
            </w:pPr>
            <w:r w:rsidRPr="008A6763">
              <w:rPr>
                <w:rFonts w:ascii="Arial" w:eastAsia="Times New Roman" w:hAnsi="Arial" w:cs="Arial"/>
                <w:b/>
                <w:bCs/>
                <w:sz w:val="14"/>
                <w:szCs w:val="14"/>
                <w:lang w:val="es-US" w:eastAsia="es-US"/>
              </w:rPr>
              <w:t>6</w:t>
            </w:r>
          </w:p>
        </w:tc>
        <w:tc>
          <w:tcPr>
            <w:tcW w:w="3218" w:type="dxa"/>
            <w:tcBorders>
              <w:top w:val="nil"/>
              <w:left w:val="nil"/>
              <w:bottom w:val="single" w:sz="4" w:space="0" w:color="auto"/>
              <w:right w:val="single" w:sz="8" w:space="0" w:color="auto"/>
            </w:tcBorders>
            <w:shd w:val="clear" w:color="000000" w:fill="E7E6E6"/>
            <w:noWrap/>
            <w:vAlign w:val="center"/>
            <w:hideMark/>
          </w:tcPr>
          <w:p w14:paraId="1AE8C70E" w14:textId="77777777" w:rsidR="008A6763" w:rsidRPr="008A6763" w:rsidRDefault="008A6763" w:rsidP="008A6763">
            <w:pPr>
              <w:spacing w:after="0" w:line="240" w:lineRule="auto"/>
              <w:rPr>
                <w:rFonts w:ascii="Arial" w:eastAsia="Times New Roman" w:hAnsi="Arial" w:cs="Arial"/>
                <w:b/>
                <w:bCs/>
                <w:sz w:val="14"/>
                <w:szCs w:val="14"/>
                <w:lang w:val="es-US" w:eastAsia="es-US"/>
              </w:rPr>
            </w:pPr>
            <w:r w:rsidRPr="008A6763">
              <w:rPr>
                <w:rFonts w:ascii="Arial" w:eastAsia="Times New Roman" w:hAnsi="Arial" w:cs="Arial"/>
                <w:b/>
                <w:bCs/>
                <w:sz w:val="14"/>
                <w:szCs w:val="14"/>
                <w:lang w:val="es-US" w:eastAsia="es-US"/>
              </w:rPr>
              <w:t>Transferencias Corrientes</w:t>
            </w:r>
          </w:p>
        </w:tc>
        <w:tc>
          <w:tcPr>
            <w:tcW w:w="1701" w:type="dxa"/>
            <w:tcBorders>
              <w:top w:val="nil"/>
              <w:left w:val="nil"/>
              <w:bottom w:val="single" w:sz="4" w:space="0" w:color="auto"/>
              <w:right w:val="single" w:sz="4" w:space="0" w:color="auto"/>
            </w:tcBorders>
            <w:shd w:val="clear" w:color="000000" w:fill="E7E6E6"/>
            <w:noWrap/>
            <w:vAlign w:val="center"/>
            <w:hideMark/>
          </w:tcPr>
          <w:p w14:paraId="6F2931B6" w14:textId="77777777" w:rsidR="008A6763" w:rsidRPr="008A6763" w:rsidRDefault="008A6763" w:rsidP="006C58D7">
            <w:pPr>
              <w:spacing w:after="0" w:line="240" w:lineRule="auto"/>
              <w:jc w:val="right"/>
              <w:rPr>
                <w:rFonts w:ascii="Arial" w:eastAsia="Times New Roman" w:hAnsi="Arial" w:cs="Arial"/>
                <w:b/>
                <w:bCs/>
                <w:sz w:val="14"/>
                <w:szCs w:val="14"/>
                <w:lang w:val="es-US" w:eastAsia="es-US"/>
              </w:rPr>
            </w:pPr>
            <w:r w:rsidRPr="008A6763">
              <w:rPr>
                <w:rFonts w:ascii="Arial" w:eastAsia="Times New Roman" w:hAnsi="Arial" w:cs="Arial"/>
                <w:b/>
                <w:bCs/>
                <w:sz w:val="14"/>
                <w:szCs w:val="14"/>
                <w:lang w:val="es-US" w:eastAsia="es-US"/>
              </w:rPr>
              <w:t xml:space="preserve">                   236,402,793 </w:t>
            </w:r>
          </w:p>
        </w:tc>
        <w:tc>
          <w:tcPr>
            <w:tcW w:w="1407" w:type="dxa"/>
            <w:tcBorders>
              <w:top w:val="nil"/>
              <w:left w:val="nil"/>
              <w:bottom w:val="single" w:sz="4" w:space="0" w:color="auto"/>
              <w:right w:val="single" w:sz="4" w:space="0" w:color="auto"/>
            </w:tcBorders>
            <w:shd w:val="clear" w:color="000000" w:fill="E7E6E6"/>
            <w:noWrap/>
            <w:vAlign w:val="center"/>
            <w:hideMark/>
          </w:tcPr>
          <w:p w14:paraId="1A64F3DA" w14:textId="77777777" w:rsidR="008A6763" w:rsidRPr="008A6763" w:rsidRDefault="008A6763" w:rsidP="006C58D7">
            <w:pPr>
              <w:spacing w:after="0" w:line="240" w:lineRule="auto"/>
              <w:jc w:val="right"/>
              <w:rPr>
                <w:rFonts w:ascii="Arial" w:eastAsia="Times New Roman" w:hAnsi="Arial" w:cs="Arial"/>
                <w:b/>
                <w:bCs/>
                <w:sz w:val="14"/>
                <w:szCs w:val="14"/>
                <w:lang w:val="es-US" w:eastAsia="es-US"/>
              </w:rPr>
            </w:pPr>
            <w:r w:rsidRPr="008A6763">
              <w:rPr>
                <w:rFonts w:ascii="Arial" w:eastAsia="Times New Roman" w:hAnsi="Arial" w:cs="Arial"/>
                <w:b/>
                <w:bCs/>
                <w:sz w:val="14"/>
                <w:szCs w:val="14"/>
                <w:lang w:val="es-US" w:eastAsia="es-US"/>
              </w:rPr>
              <w:t xml:space="preserve">          174,471,089 </w:t>
            </w:r>
          </w:p>
        </w:tc>
        <w:tc>
          <w:tcPr>
            <w:tcW w:w="1164" w:type="dxa"/>
            <w:tcBorders>
              <w:top w:val="nil"/>
              <w:left w:val="nil"/>
              <w:bottom w:val="single" w:sz="4" w:space="0" w:color="auto"/>
              <w:right w:val="single" w:sz="4" w:space="0" w:color="auto"/>
            </w:tcBorders>
            <w:shd w:val="clear" w:color="000000" w:fill="E7E6E6"/>
            <w:noWrap/>
            <w:vAlign w:val="center"/>
            <w:hideMark/>
          </w:tcPr>
          <w:p w14:paraId="471F680C" w14:textId="77777777" w:rsidR="008A6763" w:rsidRPr="008A6763" w:rsidRDefault="008A6763" w:rsidP="006C58D7">
            <w:pPr>
              <w:spacing w:after="0" w:line="240" w:lineRule="auto"/>
              <w:jc w:val="right"/>
              <w:rPr>
                <w:rFonts w:ascii="Arial" w:eastAsia="Times New Roman" w:hAnsi="Arial" w:cs="Arial"/>
                <w:b/>
                <w:bCs/>
                <w:sz w:val="14"/>
                <w:szCs w:val="14"/>
                <w:lang w:val="es-US" w:eastAsia="es-US"/>
              </w:rPr>
            </w:pPr>
            <w:r w:rsidRPr="008A6763">
              <w:rPr>
                <w:rFonts w:ascii="Arial" w:eastAsia="Times New Roman" w:hAnsi="Arial" w:cs="Arial"/>
                <w:b/>
                <w:bCs/>
                <w:sz w:val="14"/>
                <w:szCs w:val="14"/>
                <w:lang w:val="es-US" w:eastAsia="es-US"/>
              </w:rPr>
              <w:t xml:space="preserve">           1,947,177 </w:t>
            </w:r>
          </w:p>
        </w:tc>
        <w:tc>
          <w:tcPr>
            <w:tcW w:w="1114" w:type="dxa"/>
            <w:tcBorders>
              <w:top w:val="nil"/>
              <w:left w:val="nil"/>
              <w:bottom w:val="single" w:sz="4" w:space="0" w:color="auto"/>
              <w:right w:val="single" w:sz="4" w:space="0" w:color="auto"/>
            </w:tcBorders>
            <w:shd w:val="clear" w:color="000000" w:fill="E7E6E6"/>
            <w:noWrap/>
            <w:vAlign w:val="center"/>
            <w:hideMark/>
          </w:tcPr>
          <w:p w14:paraId="1AE780EF" w14:textId="77777777" w:rsidR="008A6763" w:rsidRPr="008A6763" w:rsidRDefault="008A6763" w:rsidP="006C58D7">
            <w:pPr>
              <w:spacing w:after="0" w:line="240" w:lineRule="auto"/>
              <w:jc w:val="right"/>
              <w:rPr>
                <w:rFonts w:ascii="Arial" w:eastAsia="Times New Roman" w:hAnsi="Arial" w:cs="Arial"/>
                <w:b/>
                <w:bCs/>
                <w:sz w:val="14"/>
                <w:szCs w:val="14"/>
                <w:lang w:val="es-US" w:eastAsia="es-US"/>
              </w:rPr>
            </w:pPr>
            <w:r w:rsidRPr="008A6763">
              <w:rPr>
                <w:rFonts w:ascii="Arial" w:eastAsia="Times New Roman" w:hAnsi="Arial" w:cs="Arial"/>
                <w:b/>
                <w:bCs/>
                <w:sz w:val="14"/>
                <w:szCs w:val="14"/>
                <w:lang w:val="es-US" w:eastAsia="es-US"/>
              </w:rPr>
              <w:t xml:space="preserve">      176,418,266 </w:t>
            </w:r>
          </w:p>
        </w:tc>
        <w:tc>
          <w:tcPr>
            <w:tcW w:w="1042" w:type="dxa"/>
            <w:tcBorders>
              <w:top w:val="nil"/>
              <w:left w:val="nil"/>
              <w:bottom w:val="single" w:sz="4" w:space="0" w:color="auto"/>
              <w:right w:val="single" w:sz="4" w:space="0" w:color="auto"/>
            </w:tcBorders>
            <w:shd w:val="clear" w:color="000000" w:fill="E7E6E6"/>
            <w:noWrap/>
            <w:vAlign w:val="center"/>
            <w:hideMark/>
          </w:tcPr>
          <w:p w14:paraId="3E4A0BDE" w14:textId="77777777" w:rsidR="008A6763" w:rsidRPr="008A6763" w:rsidRDefault="008A6763" w:rsidP="008A6763">
            <w:pPr>
              <w:spacing w:after="0" w:line="240" w:lineRule="auto"/>
              <w:jc w:val="right"/>
              <w:rPr>
                <w:rFonts w:ascii="Arial" w:eastAsia="Times New Roman" w:hAnsi="Arial" w:cs="Arial"/>
                <w:b/>
                <w:bCs/>
                <w:sz w:val="14"/>
                <w:szCs w:val="14"/>
                <w:lang w:val="es-US" w:eastAsia="es-US"/>
              </w:rPr>
            </w:pPr>
            <w:r w:rsidRPr="008A6763">
              <w:rPr>
                <w:rFonts w:ascii="Arial" w:eastAsia="Times New Roman" w:hAnsi="Arial" w:cs="Arial"/>
                <w:b/>
                <w:bCs/>
                <w:sz w:val="14"/>
                <w:szCs w:val="14"/>
                <w:lang w:val="es-US" w:eastAsia="es-US"/>
              </w:rPr>
              <w:t>74.63%</w:t>
            </w:r>
          </w:p>
        </w:tc>
        <w:tc>
          <w:tcPr>
            <w:tcW w:w="185" w:type="dxa"/>
            <w:vAlign w:val="center"/>
            <w:hideMark/>
          </w:tcPr>
          <w:p w14:paraId="39B62295" w14:textId="77777777" w:rsidR="008A6763" w:rsidRPr="008A6763" w:rsidRDefault="008A6763" w:rsidP="008A6763">
            <w:pPr>
              <w:spacing w:after="0" w:line="240" w:lineRule="auto"/>
              <w:rPr>
                <w:rFonts w:ascii="Times New Roman" w:eastAsia="Times New Roman" w:hAnsi="Times New Roman"/>
                <w:sz w:val="14"/>
                <w:szCs w:val="14"/>
                <w:lang w:val="es-US" w:eastAsia="es-US"/>
              </w:rPr>
            </w:pPr>
          </w:p>
        </w:tc>
      </w:tr>
      <w:tr w:rsidR="00BB7547" w:rsidRPr="008A6763" w14:paraId="71FD16B1" w14:textId="77777777" w:rsidTr="00844CC5">
        <w:trPr>
          <w:trHeight w:val="203"/>
          <w:jc w:val="center"/>
        </w:trPr>
        <w:tc>
          <w:tcPr>
            <w:tcW w:w="752" w:type="dxa"/>
            <w:tcBorders>
              <w:top w:val="nil"/>
              <w:left w:val="single" w:sz="8" w:space="0" w:color="auto"/>
              <w:bottom w:val="single" w:sz="4" w:space="0" w:color="auto"/>
              <w:right w:val="single" w:sz="8" w:space="0" w:color="auto"/>
            </w:tcBorders>
            <w:shd w:val="clear" w:color="000000" w:fill="FFFFFF"/>
            <w:noWrap/>
            <w:vAlign w:val="center"/>
            <w:hideMark/>
          </w:tcPr>
          <w:p w14:paraId="558E1D95" w14:textId="77777777" w:rsidR="008A6763" w:rsidRPr="008A6763" w:rsidRDefault="008A6763" w:rsidP="008A6763">
            <w:pPr>
              <w:spacing w:after="0" w:line="240" w:lineRule="auto"/>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6.01.08</w:t>
            </w:r>
          </w:p>
        </w:tc>
        <w:tc>
          <w:tcPr>
            <w:tcW w:w="3218" w:type="dxa"/>
            <w:tcBorders>
              <w:top w:val="nil"/>
              <w:left w:val="nil"/>
              <w:bottom w:val="single" w:sz="4" w:space="0" w:color="auto"/>
              <w:right w:val="single" w:sz="8" w:space="0" w:color="auto"/>
            </w:tcBorders>
            <w:shd w:val="clear" w:color="000000" w:fill="FFFFFF"/>
            <w:noWrap/>
            <w:vAlign w:val="center"/>
            <w:hideMark/>
          </w:tcPr>
          <w:p w14:paraId="4811C4D4" w14:textId="77777777" w:rsidR="008A6763" w:rsidRPr="008A6763" w:rsidRDefault="008A6763" w:rsidP="008A6763">
            <w:pPr>
              <w:spacing w:after="0" w:line="240" w:lineRule="auto"/>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Fondos en fideicomiso para gasto corriente</w:t>
            </w:r>
          </w:p>
        </w:tc>
        <w:tc>
          <w:tcPr>
            <w:tcW w:w="1701" w:type="dxa"/>
            <w:tcBorders>
              <w:top w:val="nil"/>
              <w:left w:val="nil"/>
              <w:bottom w:val="single" w:sz="4" w:space="0" w:color="auto"/>
              <w:right w:val="single" w:sz="4" w:space="0" w:color="auto"/>
            </w:tcBorders>
            <w:shd w:val="clear" w:color="000000" w:fill="FFFFFF"/>
            <w:noWrap/>
            <w:vAlign w:val="center"/>
            <w:hideMark/>
          </w:tcPr>
          <w:p w14:paraId="6CB8E1D7" w14:textId="77777777" w:rsidR="008A6763" w:rsidRPr="008A6763" w:rsidRDefault="008A6763" w:rsidP="006C58D7">
            <w:pPr>
              <w:spacing w:after="0" w:line="240" w:lineRule="auto"/>
              <w:jc w:val="right"/>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 xml:space="preserve">                         297,332 </w:t>
            </w:r>
          </w:p>
        </w:tc>
        <w:tc>
          <w:tcPr>
            <w:tcW w:w="1407" w:type="dxa"/>
            <w:tcBorders>
              <w:top w:val="nil"/>
              <w:left w:val="nil"/>
              <w:bottom w:val="single" w:sz="4" w:space="0" w:color="auto"/>
              <w:right w:val="single" w:sz="4" w:space="0" w:color="auto"/>
            </w:tcBorders>
            <w:shd w:val="clear" w:color="000000" w:fill="FFFFFF"/>
            <w:noWrap/>
            <w:vAlign w:val="center"/>
            <w:hideMark/>
          </w:tcPr>
          <w:p w14:paraId="0BBCD35E" w14:textId="77777777" w:rsidR="008A6763" w:rsidRPr="008A6763" w:rsidRDefault="008A6763" w:rsidP="006C58D7">
            <w:pPr>
              <w:spacing w:after="0" w:line="240" w:lineRule="auto"/>
              <w:jc w:val="right"/>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 xml:space="preserve">                297,331 </w:t>
            </w:r>
          </w:p>
        </w:tc>
        <w:tc>
          <w:tcPr>
            <w:tcW w:w="1164" w:type="dxa"/>
            <w:tcBorders>
              <w:top w:val="nil"/>
              <w:left w:val="nil"/>
              <w:bottom w:val="single" w:sz="4" w:space="0" w:color="auto"/>
              <w:right w:val="single" w:sz="4" w:space="0" w:color="auto"/>
            </w:tcBorders>
            <w:shd w:val="clear" w:color="000000" w:fill="FFFFFF"/>
            <w:noWrap/>
            <w:vAlign w:val="center"/>
            <w:hideMark/>
          </w:tcPr>
          <w:p w14:paraId="7CA9DA2B" w14:textId="77777777" w:rsidR="008A6763" w:rsidRPr="008A6763" w:rsidRDefault="008A6763" w:rsidP="006C58D7">
            <w:pPr>
              <w:spacing w:after="0" w:line="240" w:lineRule="auto"/>
              <w:jc w:val="right"/>
              <w:rPr>
                <w:rFonts w:ascii="Arial" w:eastAsia="Times New Roman" w:hAnsi="Arial" w:cs="Arial"/>
                <w:b/>
                <w:bCs/>
                <w:sz w:val="14"/>
                <w:szCs w:val="14"/>
                <w:lang w:val="es-US" w:eastAsia="es-US"/>
              </w:rPr>
            </w:pPr>
            <w:r w:rsidRPr="008A6763">
              <w:rPr>
                <w:rFonts w:ascii="Arial" w:eastAsia="Times New Roman" w:hAnsi="Arial" w:cs="Arial"/>
                <w:b/>
                <w:bCs/>
                <w:sz w:val="14"/>
                <w:szCs w:val="14"/>
                <w:lang w:val="es-US" w:eastAsia="es-US"/>
              </w:rPr>
              <w:t xml:space="preserve">                       -   </w:t>
            </w:r>
          </w:p>
        </w:tc>
        <w:tc>
          <w:tcPr>
            <w:tcW w:w="1114" w:type="dxa"/>
            <w:tcBorders>
              <w:top w:val="nil"/>
              <w:left w:val="nil"/>
              <w:bottom w:val="single" w:sz="4" w:space="0" w:color="auto"/>
              <w:right w:val="single" w:sz="4" w:space="0" w:color="auto"/>
            </w:tcBorders>
            <w:shd w:val="clear" w:color="000000" w:fill="FFFFFF"/>
            <w:noWrap/>
            <w:vAlign w:val="center"/>
            <w:hideMark/>
          </w:tcPr>
          <w:p w14:paraId="1B23A613" w14:textId="77777777" w:rsidR="008A6763" w:rsidRPr="008A6763" w:rsidRDefault="008A6763" w:rsidP="006C58D7">
            <w:pPr>
              <w:spacing w:after="0" w:line="240" w:lineRule="auto"/>
              <w:jc w:val="right"/>
              <w:rPr>
                <w:rFonts w:ascii="Arial" w:eastAsia="Times New Roman" w:hAnsi="Arial" w:cs="Arial"/>
                <w:b/>
                <w:bCs/>
                <w:sz w:val="14"/>
                <w:szCs w:val="14"/>
                <w:lang w:val="es-US" w:eastAsia="es-US"/>
              </w:rPr>
            </w:pPr>
            <w:r w:rsidRPr="008A6763">
              <w:rPr>
                <w:rFonts w:ascii="Arial" w:eastAsia="Times New Roman" w:hAnsi="Arial" w:cs="Arial"/>
                <w:b/>
                <w:bCs/>
                <w:sz w:val="14"/>
                <w:szCs w:val="14"/>
                <w:lang w:val="es-US" w:eastAsia="es-US"/>
              </w:rPr>
              <w:t xml:space="preserve">             297,331 </w:t>
            </w:r>
          </w:p>
        </w:tc>
        <w:tc>
          <w:tcPr>
            <w:tcW w:w="1042" w:type="dxa"/>
            <w:tcBorders>
              <w:top w:val="nil"/>
              <w:left w:val="nil"/>
              <w:bottom w:val="single" w:sz="4" w:space="0" w:color="auto"/>
              <w:right w:val="single" w:sz="4" w:space="0" w:color="auto"/>
            </w:tcBorders>
            <w:shd w:val="clear" w:color="000000" w:fill="FFFFFF"/>
            <w:noWrap/>
            <w:vAlign w:val="center"/>
            <w:hideMark/>
          </w:tcPr>
          <w:p w14:paraId="41A6E385" w14:textId="77777777" w:rsidR="008A6763" w:rsidRPr="008A6763" w:rsidRDefault="008A6763" w:rsidP="008A6763">
            <w:pPr>
              <w:spacing w:after="0" w:line="240" w:lineRule="auto"/>
              <w:jc w:val="right"/>
              <w:rPr>
                <w:rFonts w:ascii="Arial" w:eastAsia="Times New Roman" w:hAnsi="Arial" w:cs="Arial"/>
                <w:b/>
                <w:bCs/>
                <w:sz w:val="14"/>
                <w:szCs w:val="14"/>
                <w:lang w:val="es-US" w:eastAsia="es-US"/>
              </w:rPr>
            </w:pPr>
            <w:r w:rsidRPr="008A6763">
              <w:rPr>
                <w:rFonts w:ascii="Arial" w:eastAsia="Times New Roman" w:hAnsi="Arial" w:cs="Arial"/>
                <w:b/>
                <w:bCs/>
                <w:sz w:val="14"/>
                <w:szCs w:val="14"/>
                <w:lang w:val="es-US" w:eastAsia="es-US"/>
              </w:rPr>
              <w:t>100.00%</w:t>
            </w:r>
          </w:p>
        </w:tc>
        <w:tc>
          <w:tcPr>
            <w:tcW w:w="185" w:type="dxa"/>
            <w:vAlign w:val="center"/>
            <w:hideMark/>
          </w:tcPr>
          <w:p w14:paraId="3A733D22" w14:textId="77777777" w:rsidR="008A6763" w:rsidRPr="008A6763" w:rsidRDefault="008A6763" w:rsidP="008A6763">
            <w:pPr>
              <w:spacing w:after="0" w:line="240" w:lineRule="auto"/>
              <w:rPr>
                <w:rFonts w:ascii="Times New Roman" w:eastAsia="Times New Roman" w:hAnsi="Times New Roman"/>
                <w:sz w:val="14"/>
                <w:szCs w:val="14"/>
                <w:lang w:val="es-US" w:eastAsia="es-US"/>
              </w:rPr>
            </w:pPr>
          </w:p>
        </w:tc>
      </w:tr>
      <w:tr w:rsidR="00BB7547" w:rsidRPr="008A6763" w14:paraId="0B0BE42A" w14:textId="77777777" w:rsidTr="00844CC5">
        <w:trPr>
          <w:trHeight w:val="203"/>
          <w:jc w:val="center"/>
        </w:trPr>
        <w:tc>
          <w:tcPr>
            <w:tcW w:w="752" w:type="dxa"/>
            <w:tcBorders>
              <w:top w:val="nil"/>
              <w:left w:val="single" w:sz="8" w:space="0" w:color="auto"/>
              <w:bottom w:val="single" w:sz="4" w:space="0" w:color="auto"/>
              <w:right w:val="single" w:sz="8" w:space="0" w:color="auto"/>
            </w:tcBorders>
            <w:shd w:val="clear" w:color="000000" w:fill="FFFFFF"/>
            <w:noWrap/>
            <w:vAlign w:val="center"/>
            <w:hideMark/>
          </w:tcPr>
          <w:p w14:paraId="155C803C" w14:textId="77777777" w:rsidR="008A6763" w:rsidRPr="008A6763" w:rsidRDefault="008A6763" w:rsidP="008A6763">
            <w:pPr>
              <w:spacing w:after="0" w:line="240" w:lineRule="auto"/>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6.02.99</w:t>
            </w:r>
          </w:p>
        </w:tc>
        <w:tc>
          <w:tcPr>
            <w:tcW w:w="3218" w:type="dxa"/>
            <w:tcBorders>
              <w:top w:val="nil"/>
              <w:left w:val="nil"/>
              <w:bottom w:val="single" w:sz="4" w:space="0" w:color="auto"/>
              <w:right w:val="single" w:sz="8" w:space="0" w:color="auto"/>
            </w:tcBorders>
            <w:shd w:val="clear" w:color="000000" w:fill="FFFFFF"/>
            <w:noWrap/>
            <w:vAlign w:val="center"/>
            <w:hideMark/>
          </w:tcPr>
          <w:p w14:paraId="18B0420F" w14:textId="77777777" w:rsidR="008A6763" w:rsidRPr="008A6763" w:rsidRDefault="008A6763" w:rsidP="008A6763">
            <w:pPr>
              <w:spacing w:after="0" w:line="240" w:lineRule="auto"/>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Otras transferencias a personas</w:t>
            </w:r>
          </w:p>
        </w:tc>
        <w:tc>
          <w:tcPr>
            <w:tcW w:w="1701" w:type="dxa"/>
            <w:tcBorders>
              <w:top w:val="nil"/>
              <w:left w:val="nil"/>
              <w:bottom w:val="single" w:sz="4" w:space="0" w:color="auto"/>
              <w:right w:val="single" w:sz="4" w:space="0" w:color="auto"/>
            </w:tcBorders>
            <w:shd w:val="clear" w:color="000000" w:fill="FFFFFF"/>
            <w:noWrap/>
            <w:vAlign w:val="center"/>
            <w:hideMark/>
          </w:tcPr>
          <w:p w14:paraId="3CE2FF22" w14:textId="77777777" w:rsidR="008A6763" w:rsidRPr="008A6763" w:rsidRDefault="008A6763" w:rsidP="006C58D7">
            <w:pPr>
              <w:spacing w:after="0" w:line="240" w:lineRule="auto"/>
              <w:jc w:val="right"/>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 xml:space="preserve">                       3,720,000 </w:t>
            </w:r>
          </w:p>
        </w:tc>
        <w:tc>
          <w:tcPr>
            <w:tcW w:w="1407" w:type="dxa"/>
            <w:tcBorders>
              <w:top w:val="nil"/>
              <w:left w:val="nil"/>
              <w:bottom w:val="single" w:sz="4" w:space="0" w:color="auto"/>
              <w:right w:val="single" w:sz="4" w:space="0" w:color="auto"/>
            </w:tcBorders>
            <w:shd w:val="clear" w:color="000000" w:fill="FFFFFF"/>
            <w:noWrap/>
            <w:vAlign w:val="bottom"/>
            <w:hideMark/>
          </w:tcPr>
          <w:p w14:paraId="6B629257" w14:textId="77777777" w:rsidR="008A6763" w:rsidRPr="008A6763" w:rsidRDefault="008A6763" w:rsidP="006C58D7">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 xml:space="preserve">                     600,000 </w:t>
            </w:r>
          </w:p>
        </w:tc>
        <w:tc>
          <w:tcPr>
            <w:tcW w:w="1164" w:type="dxa"/>
            <w:tcBorders>
              <w:top w:val="nil"/>
              <w:left w:val="nil"/>
              <w:bottom w:val="single" w:sz="4" w:space="0" w:color="auto"/>
              <w:right w:val="single" w:sz="4" w:space="0" w:color="auto"/>
            </w:tcBorders>
            <w:shd w:val="clear" w:color="000000" w:fill="FFFFFF"/>
            <w:noWrap/>
            <w:vAlign w:val="bottom"/>
            <w:hideMark/>
          </w:tcPr>
          <w:p w14:paraId="547C2580" w14:textId="77777777" w:rsidR="008A6763" w:rsidRPr="008A6763" w:rsidRDefault="008A6763" w:rsidP="006C58D7">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 xml:space="preserve">               1,741,500 </w:t>
            </w:r>
          </w:p>
        </w:tc>
        <w:tc>
          <w:tcPr>
            <w:tcW w:w="1114" w:type="dxa"/>
            <w:tcBorders>
              <w:top w:val="nil"/>
              <w:left w:val="nil"/>
              <w:bottom w:val="single" w:sz="4" w:space="0" w:color="auto"/>
              <w:right w:val="single" w:sz="4" w:space="0" w:color="auto"/>
            </w:tcBorders>
            <w:shd w:val="clear" w:color="000000" w:fill="FFFFFF"/>
            <w:noWrap/>
            <w:vAlign w:val="bottom"/>
            <w:hideMark/>
          </w:tcPr>
          <w:p w14:paraId="39B785DA" w14:textId="77777777" w:rsidR="008A6763" w:rsidRPr="008A6763" w:rsidRDefault="008A6763" w:rsidP="006C58D7">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 xml:space="preserve">             2,341,500 </w:t>
            </w:r>
          </w:p>
        </w:tc>
        <w:tc>
          <w:tcPr>
            <w:tcW w:w="1042" w:type="dxa"/>
            <w:tcBorders>
              <w:top w:val="nil"/>
              <w:left w:val="nil"/>
              <w:bottom w:val="single" w:sz="4" w:space="0" w:color="auto"/>
              <w:right w:val="single" w:sz="4" w:space="0" w:color="auto"/>
            </w:tcBorders>
            <w:shd w:val="clear" w:color="000000" w:fill="FFFFFF"/>
            <w:noWrap/>
            <w:vAlign w:val="bottom"/>
            <w:hideMark/>
          </w:tcPr>
          <w:p w14:paraId="5096DAAE" w14:textId="77777777" w:rsidR="008A6763" w:rsidRPr="008A6763" w:rsidRDefault="008A6763" w:rsidP="008A6763">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62.94%</w:t>
            </w:r>
          </w:p>
        </w:tc>
        <w:tc>
          <w:tcPr>
            <w:tcW w:w="185" w:type="dxa"/>
            <w:vAlign w:val="center"/>
            <w:hideMark/>
          </w:tcPr>
          <w:p w14:paraId="465020EC" w14:textId="77777777" w:rsidR="008A6763" w:rsidRPr="008A6763" w:rsidRDefault="008A6763" w:rsidP="008A6763">
            <w:pPr>
              <w:spacing w:after="0" w:line="240" w:lineRule="auto"/>
              <w:rPr>
                <w:rFonts w:ascii="Times New Roman" w:eastAsia="Times New Roman" w:hAnsi="Times New Roman"/>
                <w:sz w:val="14"/>
                <w:szCs w:val="14"/>
                <w:lang w:val="es-US" w:eastAsia="es-US"/>
              </w:rPr>
            </w:pPr>
          </w:p>
        </w:tc>
      </w:tr>
      <w:tr w:rsidR="00BB7547" w:rsidRPr="008A6763" w14:paraId="7019B687" w14:textId="77777777" w:rsidTr="00844CC5">
        <w:trPr>
          <w:trHeight w:val="203"/>
          <w:jc w:val="center"/>
        </w:trPr>
        <w:tc>
          <w:tcPr>
            <w:tcW w:w="752" w:type="dxa"/>
            <w:tcBorders>
              <w:top w:val="nil"/>
              <w:left w:val="single" w:sz="8" w:space="0" w:color="auto"/>
              <w:bottom w:val="single" w:sz="4" w:space="0" w:color="auto"/>
              <w:right w:val="single" w:sz="8" w:space="0" w:color="auto"/>
            </w:tcBorders>
            <w:shd w:val="clear" w:color="000000" w:fill="FFFFFF"/>
            <w:noWrap/>
            <w:vAlign w:val="center"/>
            <w:hideMark/>
          </w:tcPr>
          <w:p w14:paraId="623CDE58" w14:textId="77777777" w:rsidR="008A6763" w:rsidRPr="008A6763" w:rsidRDefault="008A6763" w:rsidP="008A6763">
            <w:pPr>
              <w:spacing w:after="0" w:line="240" w:lineRule="auto"/>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6.03.01</w:t>
            </w:r>
          </w:p>
        </w:tc>
        <w:tc>
          <w:tcPr>
            <w:tcW w:w="3218" w:type="dxa"/>
            <w:tcBorders>
              <w:top w:val="nil"/>
              <w:left w:val="nil"/>
              <w:bottom w:val="single" w:sz="4" w:space="0" w:color="auto"/>
              <w:right w:val="single" w:sz="8" w:space="0" w:color="auto"/>
            </w:tcBorders>
            <w:shd w:val="clear" w:color="000000" w:fill="FFFFFF"/>
            <w:noWrap/>
            <w:vAlign w:val="center"/>
            <w:hideMark/>
          </w:tcPr>
          <w:p w14:paraId="542AD3EC" w14:textId="77777777" w:rsidR="008A6763" w:rsidRPr="008A6763" w:rsidRDefault="008A6763" w:rsidP="008A6763">
            <w:pPr>
              <w:spacing w:after="0" w:line="240" w:lineRule="auto"/>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Prestaciones Legales</w:t>
            </w:r>
          </w:p>
        </w:tc>
        <w:tc>
          <w:tcPr>
            <w:tcW w:w="1701" w:type="dxa"/>
            <w:tcBorders>
              <w:top w:val="nil"/>
              <w:left w:val="nil"/>
              <w:bottom w:val="single" w:sz="4" w:space="0" w:color="auto"/>
              <w:right w:val="single" w:sz="4" w:space="0" w:color="auto"/>
            </w:tcBorders>
            <w:shd w:val="clear" w:color="000000" w:fill="FFFFFF"/>
            <w:noWrap/>
            <w:vAlign w:val="center"/>
            <w:hideMark/>
          </w:tcPr>
          <w:p w14:paraId="0A10EB8A" w14:textId="77777777" w:rsidR="008A6763" w:rsidRPr="008A6763" w:rsidRDefault="008A6763" w:rsidP="006C58D7">
            <w:pPr>
              <w:spacing w:after="0" w:line="240" w:lineRule="auto"/>
              <w:jc w:val="right"/>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 xml:space="preserve">                     21,430,526 </w:t>
            </w:r>
          </w:p>
        </w:tc>
        <w:tc>
          <w:tcPr>
            <w:tcW w:w="1407" w:type="dxa"/>
            <w:tcBorders>
              <w:top w:val="nil"/>
              <w:left w:val="nil"/>
              <w:bottom w:val="single" w:sz="4" w:space="0" w:color="auto"/>
              <w:right w:val="single" w:sz="4" w:space="0" w:color="auto"/>
            </w:tcBorders>
            <w:shd w:val="clear" w:color="000000" w:fill="FFFFFF"/>
            <w:noWrap/>
            <w:vAlign w:val="bottom"/>
            <w:hideMark/>
          </w:tcPr>
          <w:p w14:paraId="4628C8B3" w14:textId="77777777" w:rsidR="008A6763" w:rsidRPr="008A6763" w:rsidRDefault="008A6763" w:rsidP="006C58D7">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 xml:space="preserve">                       42,593 </w:t>
            </w:r>
          </w:p>
        </w:tc>
        <w:tc>
          <w:tcPr>
            <w:tcW w:w="1164" w:type="dxa"/>
            <w:tcBorders>
              <w:top w:val="nil"/>
              <w:left w:val="nil"/>
              <w:bottom w:val="single" w:sz="4" w:space="0" w:color="auto"/>
              <w:right w:val="single" w:sz="4" w:space="0" w:color="auto"/>
            </w:tcBorders>
            <w:shd w:val="clear" w:color="000000" w:fill="FFFFFF"/>
            <w:noWrap/>
            <w:vAlign w:val="bottom"/>
            <w:hideMark/>
          </w:tcPr>
          <w:p w14:paraId="481F9F8D" w14:textId="77777777" w:rsidR="008A6763" w:rsidRPr="008A6763" w:rsidRDefault="008A6763" w:rsidP="006C58D7">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 xml:space="preserve">                    46,600 </w:t>
            </w:r>
          </w:p>
        </w:tc>
        <w:tc>
          <w:tcPr>
            <w:tcW w:w="1114" w:type="dxa"/>
            <w:tcBorders>
              <w:top w:val="nil"/>
              <w:left w:val="nil"/>
              <w:bottom w:val="single" w:sz="4" w:space="0" w:color="auto"/>
              <w:right w:val="single" w:sz="4" w:space="0" w:color="auto"/>
            </w:tcBorders>
            <w:shd w:val="clear" w:color="000000" w:fill="FFFFFF"/>
            <w:noWrap/>
            <w:vAlign w:val="bottom"/>
            <w:hideMark/>
          </w:tcPr>
          <w:p w14:paraId="0038B48D" w14:textId="77777777" w:rsidR="008A6763" w:rsidRPr="008A6763" w:rsidRDefault="008A6763" w:rsidP="006C58D7">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 xml:space="preserve">                   89,193 </w:t>
            </w:r>
          </w:p>
        </w:tc>
        <w:tc>
          <w:tcPr>
            <w:tcW w:w="1042" w:type="dxa"/>
            <w:tcBorders>
              <w:top w:val="nil"/>
              <w:left w:val="nil"/>
              <w:bottom w:val="single" w:sz="4" w:space="0" w:color="auto"/>
              <w:right w:val="single" w:sz="4" w:space="0" w:color="auto"/>
            </w:tcBorders>
            <w:shd w:val="clear" w:color="000000" w:fill="FFFFFF"/>
            <w:noWrap/>
            <w:vAlign w:val="bottom"/>
            <w:hideMark/>
          </w:tcPr>
          <w:p w14:paraId="1A732DE9" w14:textId="77777777" w:rsidR="008A6763" w:rsidRPr="008A6763" w:rsidRDefault="008A6763" w:rsidP="008A6763">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0.42%</w:t>
            </w:r>
          </w:p>
        </w:tc>
        <w:tc>
          <w:tcPr>
            <w:tcW w:w="185" w:type="dxa"/>
            <w:vAlign w:val="center"/>
            <w:hideMark/>
          </w:tcPr>
          <w:p w14:paraId="4FB50F53" w14:textId="77777777" w:rsidR="008A6763" w:rsidRPr="008A6763" w:rsidRDefault="008A6763" w:rsidP="008A6763">
            <w:pPr>
              <w:spacing w:after="0" w:line="240" w:lineRule="auto"/>
              <w:rPr>
                <w:rFonts w:ascii="Times New Roman" w:eastAsia="Times New Roman" w:hAnsi="Times New Roman"/>
                <w:sz w:val="14"/>
                <w:szCs w:val="14"/>
                <w:lang w:val="es-US" w:eastAsia="es-US"/>
              </w:rPr>
            </w:pPr>
          </w:p>
        </w:tc>
      </w:tr>
      <w:tr w:rsidR="00BB7547" w:rsidRPr="008A6763" w14:paraId="10E9FF9E" w14:textId="77777777" w:rsidTr="00844CC5">
        <w:trPr>
          <w:trHeight w:val="203"/>
          <w:jc w:val="center"/>
        </w:trPr>
        <w:tc>
          <w:tcPr>
            <w:tcW w:w="752" w:type="dxa"/>
            <w:tcBorders>
              <w:top w:val="nil"/>
              <w:left w:val="single" w:sz="8" w:space="0" w:color="auto"/>
              <w:bottom w:val="single" w:sz="4" w:space="0" w:color="auto"/>
              <w:right w:val="single" w:sz="8" w:space="0" w:color="auto"/>
            </w:tcBorders>
            <w:shd w:val="clear" w:color="000000" w:fill="FFFFFF"/>
            <w:noWrap/>
            <w:vAlign w:val="center"/>
            <w:hideMark/>
          </w:tcPr>
          <w:p w14:paraId="257C411F" w14:textId="77777777" w:rsidR="008A6763" w:rsidRPr="008A6763" w:rsidRDefault="008A6763" w:rsidP="008A6763">
            <w:pPr>
              <w:spacing w:after="0" w:line="240" w:lineRule="auto"/>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6.03.99</w:t>
            </w:r>
          </w:p>
        </w:tc>
        <w:tc>
          <w:tcPr>
            <w:tcW w:w="3218" w:type="dxa"/>
            <w:tcBorders>
              <w:top w:val="nil"/>
              <w:left w:val="nil"/>
              <w:bottom w:val="single" w:sz="4" w:space="0" w:color="auto"/>
              <w:right w:val="single" w:sz="8" w:space="0" w:color="auto"/>
            </w:tcBorders>
            <w:shd w:val="clear" w:color="000000" w:fill="FFFFFF"/>
            <w:noWrap/>
            <w:vAlign w:val="center"/>
            <w:hideMark/>
          </w:tcPr>
          <w:p w14:paraId="2ADB0147" w14:textId="77777777" w:rsidR="008A6763" w:rsidRPr="008A6763" w:rsidRDefault="008A6763" w:rsidP="008A6763">
            <w:pPr>
              <w:spacing w:after="0" w:line="240" w:lineRule="auto"/>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Otras prestaciones</w:t>
            </w:r>
          </w:p>
        </w:tc>
        <w:tc>
          <w:tcPr>
            <w:tcW w:w="1701" w:type="dxa"/>
            <w:tcBorders>
              <w:top w:val="nil"/>
              <w:left w:val="nil"/>
              <w:bottom w:val="single" w:sz="4" w:space="0" w:color="auto"/>
              <w:right w:val="single" w:sz="4" w:space="0" w:color="auto"/>
            </w:tcBorders>
            <w:shd w:val="clear" w:color="000000" w:fill="FFFFFF"/>
            <w:noWrap/>
            <w:vAlign w:val="center"/>
            <w:hideMark/>
          </w:tcPr>
          <w:p w14:paraId="2ECCD16B" w14:textId="77777777" w:rsidR="008A6763" w:rsidRPr="008A6763" w:rsidRDefault="008A6763" w:rsidP="006C58D7">
            <w:pPr>
              <w:spacing w:after="0" w:line="240" w:lineRule="auto"/>
              <w:jc w:val="right"/>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 xml:space="preserve">                       1,710,060 </w:t>
            </w:r>
          </w:p>
        </w:tc>
        <w:tc>
          <w:tcPr>
            <w:tcW w:w="1407" w:type="dxa"/>
            <w:tcBorders>
              <w:top w:val="nil"/>
              <w:left w:val="nil"/>
              <w:bottom w:val="single" w:sz="4" w:space="0" w:color="auto"/>
              <w:right w:val="single" w:sz="4" w:space="0" w:color="auto"/>
            </w:tcBorders>
            <w:shd w:val="clear" w:color="000000" w:fill="FFFFFF"/>
            <w:noWrap/>
            <w:vAlign w:val="bottom"/>
            <w:hideMark/>
          </w:tcPr>
          <w:p w14:paraId="028ABA6F" w14:textId="77777777" w:rsidR="008A6763" w:rsidRPr="008A6763" w:rsidRDefault="008A6763" w:rsidP="006C58D7">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 xml:space="preserve">                     146,979 </w:t>
            </w:r>
          </w:p>
        </w:tc>
        <w:tc>
          <w:tcPr>
            <w:tcW w:w="1164" w:type="dxa"/>
            <w:tcBorders>
              <w:top w:val="nil"/>
              <w:left w:val="nil"/>
              <w:bottom w:val="single" w:sz="4" w:space="0" w:color="auto"/>
              <w:right w:val="single" w:sz="4" w:space="0" w:color="auto"/>
            </w:tcBorders>
            <w:shd w:val="clear" w:color="000000" w:fill="FFFFFF"/>
            <w:noWrap/>
            <w:vAlign w:val="bottom"/>
            <w:hideMark/>
          </w:tcPr>
          <w:p w14:paraId="00D787D5" w14:textId="77777777" w:rsidR="008A6763" w:rsidRPr="008A6763" w:rsidRDefault="008A6763" w:rsidP="006C58D7">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 xml:space="preserve">                  159,077 </w:t>
            </w:r>
          </w:p>
        </w:tc>
        <w:tc>
          <w:tcPr>
            <w:tcW w:w="1114" w:type="dxa"/>
            <w:tcBorders>
              <w:top w:val="nil"/>
              <w:left w:val="nil"/>
              <w:bottom w:val="single" w:sz="4" w:space="0" w:color="auto"/>
              <w:right w:val="single" w:sz="4" w:space="0" w:color="auto"/>
            </w:tcBorders>
            <w:shd w:val="clear" w:color="000000" w:fill="FFFFFF"/>
            <w:noWrap/>
            <w:vAlign w:val="bottom"/>
            <w:hideMark/>
          </w:tcPr>
          <w:p w14:paraId="67829792" w14:textId="77777777" w:rsidR="008A6763" w:rsidRPr="008A6763" w:rsidRDefault="008A6763" w:rsidP="006C58D7">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 xml:space="preserve">                 306,055 </w:t>
            </w:r>
          </w:p>
        </w:tc>
        <w:tc>
          <w:tcPr>
            <w:tcW w:w="1042" w:type="dxa"/>
            <w:tcBorders>
              <w:top w:val="nil"/>
              <w:left w:val="nil"/>
              <w:bottom w:val="single" w:sz="4" w:space="0" w:color="auto"/>
              <w:right w:val="single" w:sz="4" w:space="0" w:color="auto"/>
            </w:tcBorders>
            <w:shd w:val="clear" w:color="000000" w:fill="FFFFFF"/>
            <w:noWrap/>
            <w:vAlign w:val="bottom"/>
            <w:hideMark/>
          </w:tcPr>
          <w:p w14:paraId="17FDA7CA" w14:textId="77777777" w:rsidR="008A6763" w:rsidRPr="008A6763" w:rsidRDefault="008A6763" w:rsidP="008A6763">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17.90%</w:t>
            </w:r>
          </w:p>
        </w:tc>
        <w:tc>
          <w:tcPr>
            <w:tcW w:w="185" w:type="dxa"/>
            <w:vAlign w:val="center"/>
            <w:hideMark/>
          </w:tcPr>
          <w:p w14:paraId="791AB6F6" w14:textId="77777777" w:rsidR="008A6763" w:rsidRPr="008A6763" w:rsidRDefault="008A6763" w:rsidP="008A6763">
            <w:pPr>
              <w:spacing w:after="0" w:line="240" w:lineRule="auto"/>
              <w:rPr>
                <w:rFonts w:ascii="Times New Roman" w:eastAsia="Times New Roman" w:hAnsi="Times New Roman"/>
                <w:sz w:val="14"/>
                <w:szCs w:val="14"/>
                <w:lang w:val="es-US" w:eastAsia="es-US"/>
              </w:rPr>
            </w:pPr>
          </w:p>
        </w:tc>
      </w:tr>
      <w:tr w:rsidR="00BB7547" w:rsidRPr="008A6763" w14:paraId="0BCD6245" w14:textId="77777777" w:rsidTr="00844CC5">
        <w:trPr>
          <w:trHeight w:val="203"/>
          <w:jc w:val="center"/>
        </w:trPr>
        <w:tc>
          <w:tcPr>
            <w:tcW w:w="752" w:type="dxa"/>
            <w:tcBorders>
              <w:top w:val="nil"/>
              <w:left w:val="single" w:sz="8" w:space="0" w:color="auto"/>
              <w:bottom w:val="single" w:sz="4" w:space="0" w:color="auto"/>
              <w:right w:val="single" w:sz="8" w:space="0" w:color="auto"/>
            </w:tcBorders>
            <w:shd w:val="clear" w:color="000000" w:fill="FFFFFF"/>
            <w:noWrap/>
            <w:vAlign w:val="center"/>
            <w:hideMark/>
          </w:tcPr>
          <w:p w14:paraId="7C001ACD" w14:textId="77777777" w:rsidR="008A6763" w:rsidRPr="008A6763" w:rsidRDefault="008A6763" w:rsidP="008A6763">
            <w:pPr>
              <w:spacing w:after="0" w:line="240" w:lineRule="auto"/>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6.06.01</w:t>
            </w:r>
          </w:p>
        </w:tc>
        <w:tc>
          <w:tcPr>
            <w:tcW w:w="3218" w:type="dxa"/>
            <w:tcBorders>
              <w:top w:val="nil"/>
              <w:left w:val="nil"/>
              <w:bottom w:val="single" w:sz="4" w:space="0" w:color="auto"/>
              <w:right w:val="single" w:sz="8" w:space="0" w:color="auto"/>
            </w:tcBorders>
            <w:shd w:val="clear" w:color="000000" w:fill="FFFFFF"/>
            <w:noWrap/>
            <w:vAlign w:val="center"/>
            <w:hideMark/>
          </w:tcPr>
          <w:p w14:paraId="2B11127A" w14:textId="77777777" w:rsidR="008A6763" w:rsidRPr="008A6763" w:rsidRDefault="008A6763" w:rsidP="008A6763">
            <w:pPr>
              <w:spacing w:after="0" w:line="240" w:lineRule="auto"/>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Indemnizaciones</w:t>
            </w:r>
          </w:p>
        </w:tc>
        <w:tc>
          <w:tcPr>
            <w:tcW w:w="1701" w:type="dxa"/>
            <w:tcBorders>
              <w:top w:val="nil"/>
              <w:left w:val="nil"/>
              <w:bottom w:val="single" w:sz="4" w:space="0" w:color="auto"/>
              <w:right w:val="single" w:sz="4" w:space="0" w:color="auto"/>
            </w:tcBorders>
            <w:shd w:val="clear" w:color="000000" w:fill="FFFFFF"/>
            <w:noWrap/>
            <w:vAlign w:val="center"/>
            <w:hideMark/>
          </w:tcPr>
          <w:p w14:paraId="48FE8A4B" w14:textId="77777777" w:rsidR="008A6763" w:rsidRPr="008A6763" w:rsidRDefault="008A6763" w:rsidP="006C58D7">
            <w:pPr>
              <w:spacing w:after="0" w:line="240" w:lineRule="auto"/>
              <w:jc w:val="right"/>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 xml:space="preserve">                       5,000,000 </w:t>
            </w:r>
          </w:p>
        </w:tc>
        <w:tc>
          <w:tcPr>
            <w:tcW w:w="1407" w:type="dxa"/>
            <w:tcBorders>
              <w:top w:val="nil"/>
              <w:left w:val="nil"/>
              <w:bottom w:val="single" w:sz="4" w:space="0" w:color="auto"/>
              <w:right w:val="single" w:sz="4" w:space="0" w:color="auto"/>
            </w:tcBorders>
            <w:shd w:val="clear" w:color="000000" w:fill="FFFFFF"/>
            <w:noWrap/>
            <w:vAlign w:val="bottom"/>
            <w:hideMark/>
          </w:tcPr>
          <w:p w14:paraId="680C2D05" w14:textId="77777777" w:rsidR="008A6763" w:rsidRPr="008A6763" w:rsidRDefault="008A6763" w:rsidP="006C58D7">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 xml:space="preserve">                                -   </w:t>
            </w:r>
          </w:p>
        </w:tc>
        <w:tc>
          <w:tcPr>
            <w:tcW w:w="1164" w:type="dxa"/>
            <w:tcBorders>
              <w:top w:val="nil"/>
              <w:left w:val="nil"/>
              <w:bottom w:val="single" w:sz="4" w:space="0" w:color="auto"/>
              <w:right w:val="single" w:sz="4" w:space="0" w:color="auto"/>
            </w:tcBorders>
            <w:shd w:val="clear" w:color="000000" w:fill="FFFFFF"/>
            <w:noWrap/>
            <w:vAlign w:val="bottom"/>
            <w:hideMark/>
          </w:tcPr>
          <w:p w14:paraId="38B404C0" w14:textId="77777777" w:rsidR="008A6763" w:rsidRPr="008A6763" w:rsidRDefault="008A6763" w:rsidP="006C58D7">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 xml:space="preserve">                             -   </w:t>
            </w:r>
          </w:p>
        </w:tc>
        <w:tc>
          <w:tcPr>
            <w:tcW w:w="1114" w:type="dxa"/>
            <w:tcBorders>
              <w:top w:val="nil"/>
              <w:left w:val="nil"/>
              <w:bottom w:val="single" w:sz="4" w:space="0" w:color="auto"/>
              <w:right w:val="single" w:sz="4" w:space="0" w:color="auto"/>
            </w:tcBorders>
            <w:shd w:val="clear" w:color="000000" w:fill="FFFFFF"/>
            <w:noWrap/>
            <w:vAlign w:val="bottom"/>
            <w:hideMark/>
          </w:tcPr>
          <w:p w14:paraId="6D271862" w14:textId="77777777" w:rsidR="008A6763" w:rsidRPr="008A6763" w:rsidRDefault="008A6763" w:rsidP="006C58D7">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 xml:space="preserve">                            -   </w:t>
            </w:r>
          </w:p>
        </w:tc>
        <w:tc>
          <w:tcPr>
            <w:tcW w:w="1042" w:type="dxa"/>
            <w:tcBorders>
              <w:top w:val="nil"/>
              <w:left w:val="nil"/>
              <w:bottom w:val="single" w:sz="4" w:space="0" w:color="auto"/>
              <w:right w:val="single" w:sz="4" w:space="0" w:color="auto"/>
            </w:tcBorders>
            <w:shd w:val="clear" w:color="000000" w:fill="FFFFFF"/>
            <w:noWrap/>
            <w:vAlign w:val="bottom"/>
            <w:hideMark/>
          </w:tcPr>
          <w:p w14:paraId="0FDF5141" w14:textId="77777777" w:rsidR="008A6763" w:rsidRPr="008A6763" w:rsidRDefault="008A6763" w:rsidP="008A6763">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0.00%</w:t>
            </w:r>
          </w:p>
        </w:tc>
        <w:tc>
          <w:tcPr>
            <w:tcW w:w="185" w:type="dxa"/>
            <w:vAlign w:val="center"/>
            <w:hideMark/>
          </w:tcPr>
          <w:p w14:paraId="053CE297" w14:textId="77777777" w:rsidR="008A6763" w:rsidRPr="008A6763" w:rsidRDefault="008A6763" w:rsidP="008A6763">
            <w:pPr>
              <w:spacing w:after="0" w:line="240" w:lineRule="auto"/>
              <w:rPr>
                <w:rFonts w:ascii="Times New Roman" w:eastAsia="Times New Roman" w:hAnsi="Times New Roman"/>
                <w:sz w:val="14"/>
                <w:szCs w:val="14"/>
                <w:lang w:val="es-US" w:eastAsia="es-US"/>
              </w:rPr>
            </w:pPr>
          </w:p>
        </w:tc>
      </w:tr>
      <w:tr w:rsidR="00BB7547" w:rsidRPr="008A6763" w14:paraId="51CD40B6" w14:textId="77777777" w:rsidTr="00844CC5">
        <w:trPr>
          <w:trHeight w:val="203"/>
          <w:jc w:val="center"/>
        </w:trPr>
        <w:tc>
          <w:tcPr>
            <w:tcW w:w="752" w:type="dxa"/>
            <w:tcBorders>
              <w:top w:val="nil"/>
              <w:left w:val="single" w:sz="8" w:space="0" w:color="auto"/>
              <w:bottom w:val="single" w:sz="4" w:space="0" w:color="auto"/>
              <w:right w:val="single" w:sz="8" w:space="0" w:color="auto"/>
            </w:tcBorders>
            <w:shd w:val="clear" w:color="000000" w:fill="FFFFFF"/>
            <w:noWrap/>
            <w:vAlign w:val="center"/>
            <w:hideMark/>
          </w:tcPr>
          <w:p w14:paraId="613FB95F" w14:textId="77777777" w:rsidR="008A6763" w:rsidRPr="008A6763" w:rsidRDefault="008A6763" w:rsidP="008A6763">
            <w:pPr>
              <w:spacing w:after="0" w:line="240" w:lineRule="auto"/>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 xml:space="preserve">6.07.01 </w:t>
            </w:r>
          </w:p>
        </w:tc>
        <w:tc>
          <w:tcPr>
            <w:tcW w:w="3218" w:type="dxa"/>
            <w:tcBorders>
              <w:top w:val="nil"/>
              <w:left w:val="nil"/>
              <w:bottom w:val="single" w:sz="4" w:space="0" w:color="auto"/>
              <w:right w:val="single" w:sz="8" w:space="0" w:color="auto"/>
            </w:tcBorders>
            <w:shd w:val="clear" w:color="000000" w:fill="FFFFFF"/>
            <w:noWrap/>
            <w:vAlign w:val="center"/>
            <w:hideMark/>
          </w:tcPr>
          <w:p w14:paraId="64B75637" w14:textId="77777777" w:rsidR="008A6763" w:rsidRPr="008A6763" w:rsidRDefault="008A6763" w:rsidP="008A6763">
            <w:pPr>
              <w:spacing w:after="0" w:line="240" w:lineRule="auto"/>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Transferencias corrientes a organismos internacionales</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8735A9D" w14:textId="77777777" w:rsidR="008A6763" w:rsidRPr="008A6763" w:rsidRDefault="008A6763" w:rsidP="006C58D7">
            <w:pPr>
              <w:spacing w:after="0" w:line="240" w:lineRule="auto"/>
              <w:jc w:val="right"/>
              <w:rPr>
                <w:rFonts w:ascii="Arial" w:eastAsia="Times New Roman" w:hAnsi="Arial" w:cs="Arial"/>
                <w:sz w:val="14"/>
                <w:szCs w:val="14"/>
                <w:lang w:val="es-US" w:eastAsia="es-US"/>
              </w:rPr>
            </w:pPr>
            <w:r w:rsidRPr="008A6763">
              <w:rPr>
                <w:rFonts w:ascii="Arial" w:eastAsia="Times New Roman" w:hAnsi="Arial" w:cs="Arial"/>
                <w:sz w:val="14"/>
                <w:szCs w:val="14"/>
                <w:lang w:val="es-US" w:eastAsia="es-US"/>
              </w:rPr>
              <w:t xml:space="preserve">                   204,244,875 </w:t>
            </w:r>
          </w:p>
        </w:tc>
        <w:tc>
          <w:tcPr>
            <w:tcW w:w="1407" w:type="dxa"/>
            <w:tcBorders>
              <w:top w:val="nil"/>
              <w:left w:val="nil"/>
              <w:bottom w:val="single" w:sz="4" w:space="0" w:color="auto"/>
              <w:right w:val="single" w:sz="4" w:space="0" w:color="auto"/>
            </w:tcBorders>
            <w:shd w:val="clear" w:color="000000" w:fill="FFFFFF"/>
            <w:noWrap/>
            <w:vAlign w:val="bottom"/>
            <w:hideMark/>
          </w:tcPr>
          <w:p w14:paraId="2C6822B0" w14:textId="77777777" w:rsidR="008A6763" w:rsidRPr="008A6763" w:rsidRDefault="008A6763" w:rsidP="006C58D7">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 xml:space="preserve">             173,384,186 </w:t>
            </w:r>
          </w:p>
        </w:tc>
        <w:tc>
          <w:tcPr>
            <w:tcW w:w="1164" w:type="dxa"/>
            <w:tcBorders>
              <w:top w:val="nil"/>
              <w:left w:val="nil"/>
              <w:bottom w:val="single" w:sz="4" w:space="0" w:color="auto"/>
              <w:right w:val="single" w:sz="4" w:space="0" w:color="auto"/>
            </w:tcBorders>
            <w:shd w:val="clear" w:color="000000" w:fill="FFFFFF"/>
            <w:noWrap/>
            <w:vAlign w:val="bottom"/>
            <w:hideMark/>
          </w:tcPr>
          <w:p w14:paraId="62A405AD" w14:textId="77777777" w:rsidR="008A6763" w:rsidRPr="008A6763" w:rsidRDefault="008A6763" w:rsidP="006C58D7">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 xml:space="preserve">                             -   </w:t>
            </w:r>
          </w:p>
        </w:tc>
        <w:tc>
          <w:tcPr>
            <w:tcW w:w="1114" w:type="dxa"/>
            <w:tcBorders>
              <w:top w:val="nil"/>
              <w:left w:val="nil"/>
              <w:bottom w:val="single" w:sz="4" w:space="0" w:color="auto"/>
              <w:right w:val="single" w:sz="4" w:space="0" w:color="auto"/>
            </w:tcBorders>
            <w:shd w:val="clear" w:color="000000" w:fill="FFFFFF"/>
            <w:noWrap/>
            <w:vAlign w:val="bottom"/>
            <w:hideMark/>
          </w:tcPr>
          <w:p w14:paraId="497AB4C2" w14:textId="77777777" w:rsidR="008A6763" w:rsidRPr="008A6763" w:rsidRDefault="008A6763" w:rsidP="006C58D7">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 xml:space="preserve">         173,384,186 </w:t>
            </w:r>
          </w:p>
        </w:tc>
        <w:tc>
          <w:tcPr>
            <w:tcW w:w="1042" w:type="dxa"/>
            <w:tcBorders>
              <w:top w:val="nil"/>
              <w:left w:val="nil"/>
              <w:bottom w:val="single" w:sz="4" w:space="0" w:color="auto"/>
              <w:right w:val="single" w:sz="4" w:space="0" w:color="auto"/>
            </w:tcBorders>
            <w:shd w:val="clear" w:color="000000" w:fill="FFFFFF"/>
            <w:noWrap/>
            <w:vAlign w:val="bottom"/>
            <w:hideMark/>
          </w:tcPr>
          <w:p w14:paraId="03755A6F" w14:textId="77777777" w:rsidR="008A6763" w:rsidRPr="008A6763" w:rsidRDefault="008A6763" w:rsidP="008A6763">
            <w:pPr>
              <w:spacing w:after="0" w:line="240" w:lineRule="auto"/>
              <w:jc w:val="right"/>
              <w:rPr>
                <w:rFonts w:eastAsia="Times New Roman" w:cs="Calibri"/>
                <w:color w:val="000000"/>
                <w:sz w:val="14"/>
                <w:szCs w:val="14"/>
                <w:lang w:val="es-US" w:eastAsia="es-US"/>
              </w:rPr>
            </w:pPr>
            <w:r w:rsidRPr="008A6763">
              <w:rPr>
                <w:rFonts w:eastAsia="Times New Roman" w:cs="Calibri"/>
                <w:color w:val="000000"/>
                <w:sz w:val="14"/>
                <w:szCs w:val="14"/>
                <w:lang w:val="es-US" w:eastAsia="es-US"/>
              </w:rPr>
              <w:t>84.89%</w:t>
            </w:r>
          </w:p>
        </w:tc>
        <w:tc>
          <w:tcPr>
            <w:tcW w:w="185" w:type="dxa"/>
            <w:vAlign w:val="center"/>
            <w:hideMark/>
          </w:tcPr>
          <w:p w14:paraId="481B13A3" w14:textId="77777777" w:rsidR="008A6763" w:rsidRPr="008A6763" w:rsidRDefault="008A6763" w:rsidP="008A6763">
            <w:pPr>
              <w:spacing w:after="0" w:line="240" w:lineRule="auto"/>
              <w:rPr>
                <w:rFonts w:ascii="Times New Roman" w:eastAsia="Times New Roman" w:hAnsi="Times New Roman"/>
                <w:sz w:val="14"/>
                <w:szCs w:val="14"/>
                <w:lang w:val="es-US" w:eastAsia="es-US"/>
              </w:rPr>
            </w:pPr>
          </w:p>
        </w:tc>
      </w:tr>
    </w:tbl>
    <w:p w14:paraId="3541CD44" w14:textId="77777777" w:rsidR="00402BA9" w:rsidRDefault="00402BA9" w:rsidP="00844CC5">
      <w:pPr>
        <w:spacing w:after="0" w:line="240" w:lineRule="auto"/>
        <w:jc w:val="both"/>
        <w:rPr>
          <w:rFonts w:ascii="Arial" w:hAnsi="Arial" w:cs="Arial"/>
          <w:color w:val="FF0000"/>
        </w:rPr>
      </w:pPr>
    </w:p>
    <w:p w14:paraId="1A02EE6A" w14:textId="77777777" w:rsidR="00844CC5" w:rsidRDefault="00844CC5" w:rsidP="00844CC5">
      <w:pPr>
        <w:spacing w:after="0" w:line="240" w:lineRule="auto"/>
        <w:jc w:val="both"/>
        <w:rPr>
          <w:rFonts w:ascii="Arial" w:hAnsi="Arial" w:cs="Arial"/>
          <w:color w:val="FF0000"/>
        </w:rPr>
      </w:pPr>
    </w:p>
    <w:p w14:paraId="3F559407" w14:textId="77777777" w:rsidR="00844CC5" w:rsidRPr="00F82012" w:rsidRDefault="00844CC5" w:rsidP="00844CC5">
      <w:pPr>
        <w:spacing w:after="0" w:line="240" w:lineRule="auto"/>
        <w:rPr>
          <w:rFonts w:ascii="Arial" w:hAnsi="Arial" w:cs="Arial"/>
          <w:b/>
        </w:rPr>
      </w:pPr>
      <w:r w:rsidRPr="00F82012">
        <w:rPr>
          <w:rFonts w:ascii="Arial" w:hAnsi="Arial" w:cs="Arial"/>
          <w:b/>
        </w:rPr>
        <w:t xml:space="preserve">TRANSFERENCIAS </w:t>
      </w:r>
      <w:r>
        <w:rPr>
          <w:rFonts w:ascii="Arial" w:hAnsi="Arial" w:cs="Arial"/>
          <w:b/>
        </w:rPr>
        <w:t>DE CAPITAL</w:t>
      </w:r>
    </w:p>
    <w:p w14:paraId="511CB09A" w14:textId="77777777" w:rsidR="00844CC5" w:rsidRDefault="00844CC5" w:rsidP="00844CC5">
      <w:pPr>
        <w:spacing w:after="0" w:line="240" w:lineRule="auto"/>
        <w:jc w:val="both"/>
        <w:rPr>
          <w:rFonts w:ascii="Arial" w:hAnsi="Arial" w:cs="Arial"/>
          <w:color w:val="FF0000"/>
        </w:rPr>
      </w:pPr>
    </w:p>
    <w:p w14:paraId="54AFD88A" w14:textId="77777777" w:rsidR="00844CC5" w:rsidRDefault="00844CC5" w:rsidP="00844CC5">
      <w:pPr>
        <w:spacing w:after="0" w:line="240" w:lineRule="auto"/>
        <w:jc w:val="both"/>
        <w:rPr>
          <w:rFonts w:ascii="Arial" w:hAnsi="Arial" w:cs="Arial"/>
          <w:color w:val="FF0000"/>
        </w:rPr>
      </w:pPr>
    </w:p>
    <w:p w14:paraId="791302BE" w14:textId="6A1479D5" w:rsidR="00844CC5" w:rsidRDefault="00844CC5" w:rsidP="00844CC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CR"/>
        </w:rPr>
        <w:t>En este grupo se presupuestó la suma de </w:t>
      </w:r>
      <w:r>
        <w:rPr>
          <w:rStyle w:val="normaltextrun"/>
          <w:rFonts w:ascii="Arial" w:hAnsi="Arial" w:cs="Arial"/>
          <w:b/>
          <w:bCs/>
          <w:lang w:val="es-CR"/>
        </w:rPr>
        <w:t>¢1</w:t>
      </w:r>
      <w:r w:rsidR="004B7236">
        <w:rPr>
          <w:rStyle w:val="normaltextrun"/>
          <w:rFonts w:ascii="Arial" w:hAnsi="Arial" w:cs="Arial"/>
          <w:b/>
          <w:bCs/>
          <w:lang w:val="es-CR"/>
        </w:rPr>
        <w:t>3.865.879.400</w:t>
      </w:r>
      <w:r>
        <w:rPr>
          <w:rStyle w:val="normaltextrun"/>
          <w:rFonts w:ascii="Arial" w:hAnsi="Arial" w:cs="Arial"/>
          <w:b/>
          <w:bCs/>
          <w:lang w:val="es-CR"/>
        </w:rPr>
        <w:t>, </w:t>
      </w:r>
      <w:r>
        <w:rPr>
          <w:rStyle w:val="normaltextrun"/>
          <w:rFonts w:ascii="Arial" w:hAnsi="Arial" w:cs="Arial"/>
          <w:lang w:val="es-CR"/>
        </w:rPr>
        <w:t>de los cuales al cierre del p</w:t>
      </w:r>
      <w:r w:rsidR="004B7236">
        <w:rPr>
          <w:rStyle w:val="normaltextrun"/>
          <w:rFonts w:ascii="Arial" w:hAnsi="Arial" w:cs="Arial"/>
          <w:lang w:val="es-CR"/>
        </w:rPr>
        <w:t>eriodo 2021 se ejecutó un total del ¢12.560.321.961</w:t>
      </w:r>
      <w:r>
        <w:rPr>
          <w:rStyle w:val="normaltextrun"/>
          <w:rFonts w:ascii="Arial" w:hAnsi="Arial" w:cs="Arial"/>
          <w:b/>
          <w:bCs/>
          <w:lang w:val="es-CR"/>
        </w:rPr>
        <w:t> </w:t>
      </w:r>
      <w:r>
        <w:rPr>
          <w:rStyle w:val="normaltextrun"/>
          <w:rFonts w:ascii="Arial" w:hAnsi="Arial" w:cs="Arial"/>
          <w:lang w:val="es-CR"/>
        </w:rPr>
        <w:t xml:space="preserve">equivalente a un </w:t>
      </w:r>
      <w:r w:rsidR="004B7236" w:rsidRPr="004B7236">
        <w:rPr>
          <w:rStyle w:val="normaltextrun"/>
          <w:rFonts w:ascii="Arial" w:hAnsi="Arial" w:cs="Arial"/>
          <w:b/>
          <w:bCs/>
          <w:lang w:val="es-CR"/>
        </w:rPr>
        <w:t>90.58</w:t>
      </w:r>
      <w:r w:rsidRPr="004B7236">
        <w:rPr>
          <w:rStyle w:val="normaltextrun"/>
          <w:rFonts w:ascii="Arial" w:hAnsi="Arial" w:cs="Arial"/>
          <w:b/>
          <w:bCs/>
          <w:lang w:val="es-CR"/>
        </w:rPr>
        <w:t>%.</w:t>
      </w:r>
      <w:r>
        <w:rPr>
          <w:rStyle w:val="normaltextrun"/>
          <w:rFonts w:ascii="Arial" w:hAnsi="Arial" w:cs="Arial"/>
          <w:b/>
          <w:bCs/>
          <w:lang w:val="es-CR"/>
        </w:rPr>
        <w:t> </w:t>
      </w:r>
      <w:r w:rsidR="00C72A81" w:rsidRPr="00C72A81">
        <w:rPr>
          <w:rStyle w:val="normaltextrun"/>
          <w:rFonts w:ascii="Arial" w:hAnsi="Arial" w:cs="Arial"/>
          <w:lang w:val="es-CR"/>
        </w:rPr>
        <w:t>E</w:t>
      </w:r>
      <w:r>
        <w:rPr>
          <w:rStyle w:val="normaltextrun"/>
          <w:rFonts w:ascii="Arial" w:hAnsi="Arial" w:cs="Arial"/>
          <w:lang w:val="es-CR"/>
        </w:rPr>
        <w:t>ste grupo presupuestario </w:t>
      </w:r>
      <w:r w:rsidR="00A51206">
        <w:rPr>
          <w:rStyle w:val="normaltextrun"/>
          <w:rFonts w:ascii="Arial" w:hAnsi="Arial" w:cs="Arial"/>
          <w:lang w:val="es-CR"/>
        </w:rPr>
        <w:t>corresponde a</w:t>
      </w:r>
      <w:r>
        <w:rPr>
          <w:rStyle w:val="normaltextrun"/>
          <w:rFonts w:ascii="Arial" w:hAnsi="Arial" w:cs="Arial"/>
          <w:lang w:val="es-CR"/>
        </w:rPr>
        <w:t xml:space="preserve"> la actividad sustantiva del Fonafifo en donde se transfieren recursos a los propietarios (as) de</w:t>
      </w:r>
      <w:r w:rsidR="004B7236" w:rsidRPr="004B7236">
        <w:rPr>
          <w:rStyle w:val="normaltextrun"/>
          <w:rFonts w:ascii="Arial" w:hAnsi="Arial" w:cs="Arial"/>
          <w:lang w:val="es-CR"/>
        </w:rPr>
        <w:t xml:space="preserve"> bosque, plantaciones forestales, agroforestales y sistemas mixtos</w:t>
      </w:r>
      <w:r w:rsidR="00C72A81">
        <w:rPr>
          <w:rStyle w:val="normaltextrun"/>
          <w:rFonts w:ascii="Arial" w:hAnsi="Arial" w:cs="Arial"/>
          <w:lang w:val="es-CR"/>
        </w:rPr>
        <w:t>.</w:t>
      </w:r>
      <w:r w:rsidR="004B7236" w:rsidRPr="004B7236">
        <w:rPr>
          <w:rStyle w:val="normaltextrun"/>
          <w:rFonts w:ascii="Arial" w:hAnsi="Arial" w:cs="Arial"/>
          <w:lang w:val="es-CR"/>
        </w:rPr>
        <w:t xml:space="preserve"> </w:t>
      </w:r>
      <w:r>
        <w:rPr>
          <w:rStyle w:val="normaltextrun"/>
          <w:rFonts w:ascii="Arial" w:hAnsi="Arial" w:cs="Arial"/>
          <w:lang w:val="es-CR"/>
        </w:rPr>
        <w:t xml:space="preserve"> </w:t>
      </w:r>
    </w:p>
    <w:p w14:paraId="695D2057" w14:textId="77777777" w:rsidR="00844CC5" w:rsidRDefault="00844CC5" w:rsidP="00844CC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rPr>
        <w:t> </w:t>
      </w:r>
    </w:p>
    <w:p w14:paraId="34AEAA69" w14:textId="77777777" w:rsidR="00844CC5" w:rsidRDefault="00844CC5" w:rsidP="00844CC5">
      <w:pPr>
        <w:pStyle w:val="paragraph"/>
        <w:spacing w:before="0" w:beforeAutospacing="0" w:after="0" w:afterAutospacing="0"/>
        <w:jc w:val="both"/>
        <w:textAlignment w:val="baseline"/>
        <w:rPr>
          <w:rFonts w:ascii="Arial" w:hAnsi="Arial" w:cs="Arial"/>
          <w:color w:val="FF0000"/>
        </w:rPr>
      </w:pPr>
      <w:r>
        <w:rPr>
          <w:rStyle w:val="normaltextrun"/>
          <w:rFonts w:ascii="Arial" w:hAnsi="Arial" w:cs="Arial"/>
          <w:lang w:val="es-CR"/>
        </w:rPr>
        <w:t>A continuación, se detallan por año de contrato y actividad, los pagos realizados:</w:t>
      </w:r>
      <w:r>
        <w:rPr>
          <w:rStyle w:val="eop"/>
          <w:rFonts w:ascii="Arial" w:hAnsi="Arial" w:cs="Arial"/>
        </w:rPr>
        <w:t> </w:t>
      </w:r>
    </w:p>
    <w:p w14:paraId="3A767A02" w14:textId="77777777" w:rsidR="00BB7547" w:rsidRDefault="00BB7547" w:rsidP="00844CC5">
      <w:pPr>
        <w:spacing w:after="0" w:line="240" w:lineRule="auto"/>
        <w:jc w:val="both"/>
        <w:rPr>
          <w:rFonts w:ascii="Arial" w:hAnsi="Arial" w:cs="Arial"/>
          <w:color w:val="FF0000"/>
          <w:lang w:val="es-US"/>
        </w:rPr>
      </w:pPr>
    </w:p>
    <w:p w14:paraId="49511986" w14:textId="0F8D4AAD" w:rsidR="00E609AB" w:rsidRDefault="00E609AB" w:rsidP="00844CC5">
      <w:pPr>
        <w:spacing w:after="0" w:line="240" w:lineRule="auto"/>
        <w:jc w:val="both"/>
        <w:rPr>
          <w:rFonts w:ascii="Arial" w:hAnsi="Arial" w:cs="Arial"/>
          <w:color w:val="FF0000"/>
          <w:lang w:val="es-US"/>
        </w:rPr>
        <w:sectPr w:rsidR="00E609AB" w:rsidSect="00BB7547">
          <w:pgSz w:w="12240" w:h="15840"/>
          <w:pgMar w:top="1412" w:right="1701" w:bottom="1412" w:left="1701" w:header="709" w:footer="709" w:gutter="0"/>
          <w:cols w:space="708"/>
          <w:docGrid w:linePitch="360"/>
        </w:sectPr>
      </w:pPr>
    </w:p>
    <w:tbl>
      <w:tblPr>
        <w:tblW w:w="14175" w:type="dxa"/>
        <w:tblInd w:w="-567" w:type="dxa"/>
        <w:tblLayout w:type="fixed"/>
        <w:tblCellMar>
          <w:left w:w="70" w:type="dxa"/>
          <w:right w:w="70" w:type="dxa"/>
        </w:tblCellMar>
        <w:tblLook w:val="04A0" w:firstRow="1" w:lastRow="0" w:firstColumn="1" w:lastColumn="0" w:noHBand="0" w:noVBand="1"/>
      </w:tblPr>
      <w:tblGrid>
        <w:gridCol w:w="851"/>
        <w:gridCol w:w="676"/>
        <w:gridCol w:w="1167"/>
        <w:gridCol w:w="850"/>
        <w:gridCol w:w="992"/>
        <w:gridCol w:w="800"/>
        <w:gridCol w:w="1072"/>
        <w:gridCol w:w="1072"/>
        <w:gridCol w:w="1015"/>
        <w:gridCol w:w="1044"/>
        <w:gridCol w:w="902"/>
        <w:gridCol w:w="1183"/>
        <w:gridCol w:w="1112"/>
        <w:gridCol w:w="22"/>
        <w:gridCol w:w="1417"/>
      </w:tblGrid>
      <w:tr w:rsidR="00BB7547" w:rsidRPr="00BB7547" w14:paraId="44F6B751" w14:textId="77777777" w:rsidTr="00BB7547">
        <w:trPr>
          <w:trHeight w:val="238"/>
        </w:trPr>
        <w:tc>
          <w:tcPr>
            <w:tcW w:w="14175" w:type="dxa"/>
            <w:gridSpan w:val="15"/>
            <w:tcBorders>
              <w:top w:val="nil"/>
              <w:left w:val="nil"/>
              <w:bottom w:val="nil"/>
              <w:right w:val="nil"/>
            </w:tcBorders>
            <w:shd w:val="clear" w:color="000000" w:fill="FFFFFF"/>
            <w:noWrap/>
            <w:vAlign w:val="bottom"/>
            <w:hideMark/>
          </w:tcPr>
          <w:p w14:paraId="769B757A" w14:textId="77777777" w:rsidR="00BB7547" w:rsidRPr="00BB7547" w:rsidRDefault="00BB7547" w:rsidP="00BB7547">
            <w:pPr>
              <w:spacing w:after="0" w:line="240" w:lineRule="auto"/>
              <w:jc w:val="center"/>
              <w:rPr>
                <w:rFonts w:eastAsia="Times New Roman" w:cs="Calibri"/>
                <w:b/>
                <w:bCs/>
                <w:color w:val="000000"/>
                <w:sz w:val="18"/>
                <w:szCs w:val="18"/>
                <w:lang w:val="es-US" w:eastAsia="es-US"/>
              </w:rPr>
            </w:pPr>
            <w:r w:rsidRPr="00BB7547">
              <w:rPr>
                <w:rFonts w:eastAsia="Times New Roman" w:cs="Calibri"/>
                <w:b/>
                <w:bCs/>
                <w:color w:val="000000"/>
                <w:sz w:val="18"/>
                <w:szCs w:val="18"/>
                <w:lang w:val="es-US" w:eastAsia="es-US"/>
              </w:rPr>
              <w:lastRenderedPageBreak/>
              <w:t>Detalle de Pagos por Servicios Ambientales</w:t>
            </w:r>
          </w:p>
        </w:tc>
      </w:tr>
      <w:tr w:rsidR="00BB7547" w:rsidRPr="00BB7547" w14:paraId="7A8431A6" w14:textId="77777777" w:rsidTr="00BB7547">
        <w:trPr>
          <w:trHeight w:val="238"/>
        </w:trPr>
        <w:tc>
          <w:tcPr>
            <w:tcW w:w="14175" w:type="dxa"/>
            <w:gridSpan w:val="15"/>
            <w:tcBorders>
              <w:top w:val="nil"/>
              <w:left w:val="nil"/>
              <w:bottom w:val="nil"/>
              <w:right w:val="nil"/>
            </w:tcBorders>
            <w:shd w:val="clear" w:color="auto" w:fill="auto"/>
            <w:noWrap/>
            <w:vAlign w:val="bottom"/>
            <w:hideMark/>
          </w:tcPr>
          <w:p w14:paraId="47E36AC7" w14:textId="77777777" w:rsidR="00BB7547" w:rsidRPr="00BB7547" w:rsidRDefault="00BB7547" w:rsidP="00BB7547">
            <w:pPr>
              <w:spacing w:after="0" w:line="240" w:lineRule="auto"/>
              <w:jc w:val="center"/>
              <w:rPr>
                <w:rFonts w:eastAsia="Times New Roman" w:cs="Calibri"/>
                <w:b/>
                <w:bCs/>
                <w:color w:val="000000"/>
                <w:sz w:val="18"/>
                <w:szCs w:val="18"/>
                <w:lang w:val="es-US" w:eastAsia="es-US"/>
              </w:rPr>
            </w:pPr>
            <w:r w:rsidRPr="00BB7547">
              <w:rPr>
                <w:rFonts w:eastAsia="Times New Roman" w:cs="Calibri"/>
                <w:b/>
                <w:bCs/>
                <w:color w:val="000000"/>
                <w:sz w:val="18"/>
                <w:szCs w:val="18"/>
                <w:lang w:val="es-US" w:eastAsia="es-US"/>
              </w:rPr>
              <w:t>Del 01/01/2021 al 31/12/2021</w:t>
            </w:r>
          </w:p>
        </w:tc>
      </w:tr>
      <w:tr w:rsidR="00BB7547" w:rsidRPr="00BB7547" w14:paraId="71F75081" w14:textId="77777777" w:rsidTr="00BB7547">
        <w:trPr>
          <w:trHeight w:val="248"/>
        </w:trPr>
        <w:tc>
          <w:tcPr>
            <w:tcW w:w="14175" w:type="dxa"/>
            <w:gridSpan w:val="15"/>
            <w:tcBorders>
              <w:top w:val="nil"/>
              <w:left w:val="nil"/>
              <w:bottom w:val="single" w:sz="8" w:space="0" w:color="auto"/>
              <w:right w:val="nil"/>
            </w:tcBorders>
            <w:shd w:val="clear" w:color="auto" w:fill="auto"/>
            <w:noWrap/>
            <w:vAlign w:val="bottom"/>
            <w:hideMark/>
          </w:tcPr>
          <w:p w14:paraId="3C71B9F2" w14:textId="77777777" w:rsidR="00BB7547" w:rsidRPr="00BB7547" w:rsidRDefault="00BB7547" w:rsidP="00BB7547">
            <w:pPr>
              <w:spacing w:after="0" w:line="240" w:lineRule="auto"/>
              <w:jc w:val="center"/>
              <w:rPr>
                <w:rFonts w:eastAsia="Times New Roman" w:cs="Calibri"/>
                <w:b/>
                <w:bCs/>
                <w:color w:val="000000"/>
                <w:sz w:val="18"/>
                <w:szCs w:val="18"/>
                <w:lang w:val="es-US" w:eastAsia="es-US"/>
              </w:rPr>
            </w:pPr>
            <w:r w:rsidRPr="00BB7547">
              <w:rPr>
                <w:rFonts w:eastAsia="Times New Roman" w:cs="Calibri"/>
                <w:b/>
                <w:bCs/>
                <w:color w:val="000000"/>
                <w:sz w:val="18"/>
                <w:szCs w:val="18"/>
                <w:lang w:val="es-US" w:eastAsia="es-US"/>
              </w:rPr>
              <w:t>(Expresado En Colones)</w:t>
            </w:r>
          </w:p>
        </w:tc>
      </w:tr>
      <w:tr w:rsidR="00BB7547" w:rsidRPr="00BB7547" w14:paraId="1EE0689C" w14:textId="77777777" w:rsidTr="00101172">
        <w:trPr>
          <w:trHeight w:val="248"/>
        </w:trPr>
        <w:tc>
          <w:tcPr>
            <w:tcW w:w="851" w:type="dxa"/>
            <w:vMerge w:val="restart"/>
            <w:tcBorders>
              <w:top w:val="nil"/>
              <w:left w:val="single" w:sz="8" w:space="0" w:color="auto"/>
              <w:bottom w:val="single" w:sz="8" w:space="0" w:color="000000"/>
              <w:right w:val="single" w:sz="8" w:space="0" w:color="auto"/>
            </w:tcBorders>
            <w:shd w:val="clear" w:color="auto" w:fill="D6E3BC" w:themeFill="accent3" w:themeFillTint="66"/>
            <w:vAlign w:val="center"/>
            <w:hideMark/>
          </w:tcPr>
          <w:p w14:paraId="37D84BAA"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Año del Contrato </w:t>
            </w:r>
          </w:p>
        </w:tc>
        <w:tc>
          <w:tcPr>
            <w:tcW w:w="1843" w:type="dxa"/>
            <w:gridSpan w:val="2"/>
            <w:tcBorders>
              <w:top w:val="single" w:sz="8" w:space="0" w:color="auto"/>
              <w:left w:val="nil"/>
              <w:bottom w:val="single" w:sz="8" w:space="0" w:color="auto"/>
              <w:right w:val="single" w:sz="8" w:space="0" w:color="000000"/>
            </w:tcBorders>
            <w:shd w:val="clear" w:color="auto" w:fill="D6E3BC" w:themeFill="accent3" w:themeFillTint="66"/>
            <w:noWrap/>
            <w:vAlign w:val="center"/>
            <w:hideMark/>
          </w:tcPr>
          <w:p w14:paraId="7FDB9AAF"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Protección  de Bosque</w:t>
            </w:r>
          </w:p>
        </w:tc>
        <w:tc>
          <w:tcPr>
            <w:tcW w:w="1842" w:type="dxa"/>
            <w:gridSpan w:val="2"/>
            <w:tcBorders>
              <w:top w:val="single" w:sz="8" w:space="0" w:color="auto"/>
              <w:left w:val="nil"/>
              <w:bottom w:val="single" w:sz="8" w:space="0" w:color="auto"/>
              <w:right w:val="single" w:sz="8" w:space="0" w:color="000000"/>
            </w:tcBorders>
            <w:shd w:val="clear" w:color="auto" w:fill="D6E3BC" w:themeFill="accent3" w:themeFillTint="66"/>
            <w:noWrap/>
            <w:vAlign w:val="center"/>
            <w:hideMark/>
          </w:tcPr>
          <w:p w14:paraId="26CA3B4A"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Reforestación  </w:t>
            </w:r>
          </w:p>
        </w:tc>
        <w:tc>
          <w:tcPr>
            <w:tcW w:w="2944" w:type="dxa"/>
            <w:gridSpan w:val="3"/>
            <w:tcBorders>
              <w:top w:val="single" w:sz="8" w:space="0" w:color="auto"/>
              <w:left w:val="nil"/>
              <w:bottom w:val="single" w:sz="8" w:space="0" w:color="auto"/>
              <w:right w:val="single" w:sz="8" w:space="0" w:color="000000"/>
            </w:tcBorders>
            <w:shd w:val="clear" w:color="auto" w:fill="D6E3BC" w:themeFill="accent3" w:themeFillTint="66"/>
            <w:vAlign w:val="center"/>
            <w:hideMark/>
          </w:tcPr>
          <w:p w14:paraId="37514858"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SAF </w:t>
            </w:r>
          </w:p>
        </w:tc>
        <w:tc>
          <w:tcPr>
            <w:tcW w:w="2059" w:type="dxa"/>
            <w:gridSpan w:val="2"/>
            <w:tcBorders>
              <w:top w:val="single" w:sz="8" w:space="0" w:color="auto"/>
              <w:left w:val="nil"/>
              <w:bottom w:val="single" w:sz="8" w:space="0" w:color="auto"/>
              <w:right w:val="single" w:sz="8" w:space="0" w:color="000000"/>
            </w:tcBorders>
            <w:shd w:val="clear" w:color="auto" w:fill="D6E3BC" w:themeFill="accent3" w:themeFillTint="66"/>
            <w:vAlign w:val="center"/>
            <w:hideMark/>
          </w:tcPr>
          <w:p w14:paraId="4451363B"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Manejo de Bosque  </w:t>
            </w:r>
          </w:p>
        </w:tc>
        <w:tc>
          <w:tcPr>
            <w:tcW w:w="2085" w:type="dxa"/>
            <w:gridSpan w:val="2"/>
            <w:tcBorders>
              <w:top w:val="single" w:sz="8" w:space="0" w:color="auto"/>
              <w:left w:val="nil"/>
              <w:bottom w:val="single" w:sz="8" w:space="0" w:color="auto"/>
              <w:right w:val="single" w:sz="8" w:space="0" w:color="000000"/>
            </w:tcBorders>
            <w:shd w:val="clear" w:color="auto" w:fill="D6E3BC" w:themeFill="accent3" w:themeFillTint="66"/>
            <w:vAlign w:val="center"/>
            <w:hideMark/>
          </w:tcPr>
          <w:p w14:paraId="7A9A3C3D"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Sistemas Mixtos</w:t>
            </w:r>
          </w:p>
        </w:tc>
        <w:tc>
          <w:tcPr>
            <w:tcW w:w="2551" w:type="dxa"/>
            <w:gridSpan w:val="3"/>
            <w:tcBorders>
              <w:top w:val="single" w:sz="8" w:space="0" w:color="auto"/>
              <w:left w:val="nil"/>
              <w:bottom w:val="single" w:sz="8" w:space="0" w:color="auto"/>
              <w:right w:val="nil"/>
            </w:tcBorders>
            <w:shd w:val="clear" w:color="auto" w:fill="D6E3BC" w:themeFill="accent3" w:themeFillTint="66"/>
            <w:vAlign w:val="center"/>
            <w:hideMark/>
          </w:tcPr>
          <w:p w14:paraId="0A05E2F4"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Regeneración </w:t>
            </w:r>
          </w:p>
        </w:tc>
      </w:tr>
      <w:tr w:rsidR="00101172" w:rsidRPr="00BB7547" w14:paraId="745D3BBA" w14:textId="77777777" w:rsidTr="00101172">
        <w:trPr>
          <w:trHeight w:val="248"/>
        </w:trPr>
        <w:tc>
          <w:tcPr>
            <w:tcW w:w="851" w:type="dxa"/>
            <w:vMerge/>
            <w:tcBorders>
              <w:top w:val="nil"/>
              <w:left w:val="single" w:sz="8" w:space="0" w:color="auto"/>
              <w:bottom w:val="single" w:sz="8" w:space="0" w:color="000000"/>
              <w:right w:val="single" w:sz="8" w:space="0" w:color="auto"/>
            </w:tcBorders>
            <w:shd w:val="clear" w:color="auto" w:fill="D6E3BC" w:themeFill="accent3" w:themeFillTint="66"/>
            <w:vAlign w:val="center"/>
            <w:hideMark/>
          </w:tcPr>
          <w:p w14:paraId="2219E478" w14:textId="77777777" w:rsidR="00BB7547" w:rsidRPr="00BB7547" w:rsidRDefault="00BB7547" w:rsidP="00BB7547">
            <w:pPr>
              <w:spacing w:after="0" w:line="240" w:lineRule="auto"/>
              <w:rPr>
                <w:rFonts w:ascii="Arial" w:eastAsia="Times New Roman" w:hAnsi="Arial" w:cs="Arial"/>
                <w:b/>
                <w:bCs/>
                <w:color w:val="000000"/>
                <w:sz w:val="14"/>
                <w:szCs w:val="14"/>
                <w:lang w:val="es-US" w:eastAsia="es-US"/>
              </w:rPr>
            </w:pPr>
          </w:p>
        </w:tc>
        <w:tc>
          <w:tcPr>
            <w:tcW w:w="676" w:type="dxa"/>
            <w:tcBorders>
              <w:top w:val="nil"/>
              <w:left w:val="nil"/>
              <w:bottom w:val="single" w:sz="8" w:space="0" w:color="auto"/>
              <w:right w:val="single" w:sz="8" w:space="0" w:color="auto"/>
            </w:tcBorders>
            <w:shd w:val="clear" w:color="auto" w:fill="D6E3BC" w:themeFill="accent3" w:themeFillTint="66"/>
            <w:noWrap/>
            <w:vAlign w:val="center"/>
            <w:hideMark/>
          </w:tcPr>
          <w:p w14:paraId="565E811F"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Has </w:t>
            </w:r>
          </w:p>
        </w:tc>
        <w:tc>
          <w:tcPr>
            <w:tcW w:w="1167" w:type="dxa"/>
            <w:tcBorders>
              <w:top w:val="nil"/>
              <w:left w:val="nil"/>
              <w:bottom w:val="single" w:sz="8" w:space="0" w:color="auto"/>
              <w:right w:val="single" w:sz="8" w:space="0" w:color="auto"/>
            </w:tcBorders>
            <w:shd w:val="clear" w:color="auto" w:fill="D6E3BC" w:themeFill="accent3" w:themeFillTint="66"/>
            <w:noWrap/>
            <w:vAlign w:val="center"/>
            <w:hideMark/>
          </w:tcPr>
          <w:p w14:paraId="028C5E94"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Monto  </w:t>
            </w:r>
          </w:p>
        </w:tc>
        <w:tc>
          <w:tcPr>
            <w:tcW w:w="850" w:type="dxa"/>
            <w:tcBorders>
              <w:top w:val="nil"/>
              <w:left w:val="nil"/>
              <w:bottom w:val="single" w:sz="8" w:space="0" w:color="auto"/>
              <w:right w:val="single" w:sz="8" w:space="0" w:color="auto"/>
            </w:tcBorders>
            <w:shd w:val="clear" w:color="auto" w:fill="D6E3BC" w:themeFill="accent3" w:themeFillTint="66"/>
            <w:noWrap/>
            <w:vAlign w:val="center"/>
            <w:hideMark/>
          </w:tcPr>
          <w:p w14:paraId="5E14FED9"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Has </w:t>
            </w:r>
          </w:p>
        </w:tc>
        <w:tc>
          <w:tcPr>
            <w:tcW w:w="992" w:type="dxa"/>
            <w:tcBorders>
              <w:top w:val="nil"/>
              <w:left w:val="nil"/>
              <w:bottom w:val="single" w:sz="8" w:space="0" w:color="auto"/>
              <w:right w:val="single" w:sz="8" w:space="0" w:color="auto"/>
            </w:tcBorders>
            <w:shd w:val="clear" w:color="auto" w:fill="D6E3BC" w:themeFill="accent3" w:themeFillTint="66"/>
            <w:noWrap/>
            <w:vAlign w:val="center"/>
            <w:hideMark/>
          </w:tcPr>
          <w:p w14:paraId="6681B5AE"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Monto  </w:t>
            </w:r>
          </w:p>
        </w:tc>
        <w:tc>
          <w:tcPr>
            <w:tcW w:w="800" w:type="dxa"/>
            <w:tcBorders>
              <w:top w:val="nil"/>
              <w:left w:val="nil"/>
              <w:bottom w:val="single" w:sz="8" w:space="0" w:color="auto"/>
              <w:right w:val="single" w:sz="8" w:space="0" w:color="auto"/>
            </w:tcBorders>
            <w:shd w:val="clear" w:color="auto" w:fill="D6E3BC" w:themeFill="accent3" w:themeFillTint="66"/>
            <w:noWrap/>
            <w:vAlign w:val="center"/>
            <w:hideMark/>
          </w:tcPr>
          <w:p w14:paraId="1923C5CE"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Árboles </w:t>
            </w:r>
          </w:p>
        </w:tc>
        <w:tc>
          <w:tcPr>
            <w:tcW w:w="1072" w:type="dxa"/>
            <w:tcBorders>
              <w:top w:val="nil"/>
              <w:left w:val="nil"/>
              <w:bottom w:val="single" w:sz="8" w:space="0" w:color="auto"/>
              <w:right w:val="single" w:sz="8" w:space="0" w:color="auto"/>
            </w:tcBorders>
            <w:shd w:val="clear" w:color="auto" w:fill="D6E3BC" w:themeFill="accent3" w:themeFillTint="66"/>
            <w:noWrap/>
            <w:vAlign w:val="center"/>
            <w:hideMark/>
          </w:tcPr>
          <w:p w14:paraId="0C683167"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Has </w:t>
            </w:r>
          </w:p>
        </w:tc>
        <w:tc>
          <w:tcPr>
            <w:tcW w:w="1072" w:type="dxa"/>
            <w:tcBorders>
              <w:top w:val="nil"/>
              <w:left w:val="nil"/>
              <w:bottom w:val="single" w:sz="8" w:space="0" w:color="auto"/>
              <w:right w:val="single" w:sz="8" w:space="0" w:color="auto"/>
            </w:tcBorders>
            <w:shd w:val="clear" w:color="auto" w:fill="D6E3BC" w:themeFill="accent3" w:themeFillTint="66"/>
            <w:noWrap/>
            <w:vAlign w:val="center"/>
            <w:hideMark/>
          </w:tcPr>
          <w:p w14:paraId="143BED6D"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Monto  </w:t>
            </w:r>
          </w:p>
        </w:tc>
        <w:tc>
          <w:tcPr>
            <w:tcW w:w="1015" w:type="dxa"/>
            <w:tcBorders>
              <w:top w:val="nil"/>
              <w:left w:val="nil"/>
              <w:bottom w:val="single" w:sz="8" w:space="0" w:color="auto"/>
              <w:right w:val="single" w:sz="8" w:space="0" w:color="auto"/>
            </w:tcBorders>
            <w:shd w:val="clear" w:color="auto" w:fill="D6E3BC" w:themeFill="accent3" w:themeFillTint="66"/>
            <w:noWrap/>
            <w:vAlign w:val="center"/>
            <w:hideMark/>
          </w:tcPr>
          <w:p w14:paraId="5A101A21"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Has </w:t>
            </w:r>
          </w:p>
        </w:tc>
        <w:tc>
          <w:tcPr>
            <w:tcW w:w="1044" w:type="dxa"/>
            <w:tcBorders>
              <w:top w:val="nil"/>
              <w:left w:val="nil"/>
              <w:bottom w:val="single" w:sz="8" w:space="0" w:color="auto"/>
              <w:right w:val="single" w:sz="8" w:space="0" w:color="auto"/>
            </w:tcBorders>
            <w:shd w:val="clear" w:color="auto" w:fill="D6E3BC" w:themeFill="accent3" w:themeFillTint="66"/>
            <w:noWrap/>
            <w:vAlign w:val="center"/>
            <w:hideMark/>
          </w:tcPr>
          <w:p w14:paraId="36C75249"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Monto  </w:t>
            </w:r>
          </w:p>
        </w:tc>
        <w:tc>
          <w:tcPr>
            <w:tcW w:w="902" w:type="dxa"/>
            <w:tcBorders>
              <w:top w:val="nil"/>
              <w:left w:val="nil"/>
              <w:bottom w:val="single" w:sz="8" w:space="0" w:color="auto"/>
              <w:right w:val="single" w:sz="8" w:space="0" w:color="auto"/>
            </w:tcBorders>
            <w:shd w:val="clear" w:color="auto" w:fill="D6E3BC" w:themeFill="accent3" w:themeFillTint="66"/>
            <w:noWrap/>
            <w:vAlign w:val="center"/>
            <w:hideMark/>
          </w:tcPr>
          <w:p w14:paraId="17AC7C62"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Has </w:t>
            </w:r>
          </w:p>
        </w:tc>
        <w:tc>
          <w:tcPr>
            <w:tcW w:w="1183" w:type="dxa"/>
            <w:tcBorders>
              <w:top w:val="nil"/>
              <w:left w:val="nil"/>
              <w:bottom w:val="single" w:sz="8" w:space="0" w:color="auto"/>
              <w:right w:val="single" w:sz="8" w:space="0" w:color="auto"/>
            </w:tcBorders>
            <w:shd w:val="clear" w:color="auto" w:fill="D6E3BC" w:themeFill="accent3" w:themeFillTint="66"/>
            <w:noWrap/>
            <w:vAlign w:val="center"/>
            <w:hideMark/>
          </w:tcPr>
          <w:p w14:paraId="4F2C887A"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Monto  </w:t>
            </w:r>
          </w:p>
        </w:tc>
        <w:tc>
          <w:tcPr>
            <w:tcW w:w="1134" w:type="dxa"/>
            <w:gridSpan w:val="2"/>
            <w:tcBorders>
              <w:top w:val="nil"/>
              <w:left w:val="nil"/>
              <w:bottom w:val="single" w:sz="8" w:space="0" w:color="auto"/>
              <w:right w:val="single" w:sz="8" w:space="0" w:color="auto"/>
            </w:tcBorders>
            <w:shd w:val="clear" w:color="auto" w:fill="D6E3BC" w:themeFill="accent3" w:themeFillTint="66"/>
            <w:noWrap/>
            <w:vAlign w:val="center"/>
            <w:hideMark/>
          </w:tcPr>
          <w:p w14:paraId="7A7C9818"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Has </w:t>
            </w:r>
          </w:p>
        </w:tc>
        <w:tc>
          <w:tcPr>
            <w:tcW w:w="1417" w:type="dxa"/>
            <w:tcBorders>
              <w:top w:val="nil"/>
              <w:left w:val="nil"/>
              <w:bottom w:val="single" w:sz="8" w:space="0" w:color="auto"/>
              <w:right w:val="single" w:sz="8" w:space="0" w:color="auto"/>
            </w:tcBorders>
            <w:shd w:val="clear" w:color="auto" w:fill="D6E3BC" w:themeFill="accent3" w:themeFillTint="66"/>
            <w:noWrap/>
            <w:vAlign w:val="center"/>
            <w:hideMark/>
          </w:tcPr>
          <w:p w14:paraId="18E3C084" w14:textId="77777777" w:rsidR="00BB7547" w:rsidRPr="00BB7547" w:rsidRDefault="00BB7547" w:rsidP="00BB7547">
            <w:pPr>
              <w:spacing w:after="0" w:line="240" w:lineRule="auto"/>
              <w:jc w:val="center"/>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Monto  </w:t>
            </w:r>
          </w:p>
        </w:tc>
      </w:tr>
      <w:tr w:rsidR="00BB7547" w:rsidRPr="00BB7547" w14:paraId="59AAF7A9" w14:textId="77777777" w:rsidTr="00BB7547">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37C93C1E" w14:textId="77777777" w:rsidR="00BB7547" w:rsidRPr="00BB7547" w:rsidRDefault="00BB7547" w:rsidP="00777F3E">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2009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14:paraId="3E1413F4"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67" w:type="dxa"/>
            <w:tcBorders>
              <w:top w:val="nil"/>
              <w:left w:val="nil"/>
              <w:bottom w:val="single" w:sz="4" w:space="0" w:color="auto"/>
              <w:right w:val="single" w:sz="4" w:space="0" w:color="auto"/>
            </w:tcBorders>
            <w:shd w:val="clear" w:color="auto" w:fill="auto"/>
            <w:noWrap/>
            <w:vAlign w:val="bottom"/>
            <w:hideMark/>
          </w:tcPr>
          <w:p w14:paraId="234E554E"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0F2B46C3"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46 </w:t>
            </w:r>
          </w:p>
        </w:tc>
        <w:tc>
          <w:tcPr>
            <w:tcW w:w="992" w:type="dxa"/>
            <w:tcBorders>
              <w:top w:val="nil"/>
              <w:left w:val="nil"/>
              <w:bottom w:val="single" w:sz="4" w:space="0" w:color="auto"/>
              <w:right w:val="single" w:sz="4" w:space="0" w:color="auto"/>
            </w:tcBorders>
            <w:shd w:val="clear" w:color="auto" w:fill="auto"/>
            <w:noWrap/>
            <w:vAlign w:val="bottom"/>
            <w:hideMark/>
          </w:tcPr>
          <w:p w14:paraId="0A466DE0"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8,403,253 </w:t>
            </w:r>
          </w:p>
        </w:tc>
        <w:tc>
          <w:tcPr>
            <w:tcW w:w="800" w:type="dxa"/>
            <w:tcBorders>
              <w:top w:val="nil"/>
              <w:left w:val="nil"/>
              <w:bottom w:val="single" w:sz="4" w:space="0" w:color="auto"/>
              <w:right w:val="single" w:sz="4" w:space="0" w:color="auto"/>
            </w:tcBorders>
            <w:shd w:val="clear" w:color="auto" w:fill="auto"/>
            <w:noWrap/>
            <w:vAlign w:val="bottom"/>
            <w:hideMark/>
          </w:tcPr>
          <w:p w14:paraId="4AF1E558"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72" w:type="dxa"/>
            <w:tcBorders>
              <w:top w:val="nil"/>
              <w:left w:val="nil"/>
              <w:bottom w:val="single" w:sz="4" w:space="0" w:color="auto"/>
              <w:right w:val="single" w:sz="4" w:space="0" w:color="auto"/>
            </w:tcBorders>
            <w:shd w:val="clear" w:color="auto" w:fill="auto"/>
            <w:noWrap/>
            <w:vAlign w:val="bottom"/>
            <w:hideMark/>
          </w:tcPr>
          <w:p w14:paraId="3CF838EF"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72" w:type="dxa"/>
            <w:tcBorders>
              <w:top w:val="nil"/>
              <w:left w:val="nil"/>
              <w:bottom w:val="single" w:sz="4" w:space="0" w:color="auto"/>
              <w:right w:val="single" w:sz="4" w:space="0" w:color="auto"/>
            </w:tcBorders>
            <w:shd w:val="clear" w:color="auto" w:fill="auto"/>
            <w:noWrap/>
            <w:vAlign w:val="bottom"/>
            <w:hideMark/>
          </w:tcPr>
          <w:p w14:paraId="19AD0C1B"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15" w:type="dxa"/>
            <w:tcBorders>
              <w:top w:val="nil"/>
              <w:left w:val="nil"/>
              <w:bottom w:val="single" w:sz="4" w:space="0" w:color="auto"/>
              <w:right w:val="single" w:sz="4" w:space="0" w:color="auto"/>
            </w:tcBorders>
            <w:shd w:val="clear" w:color="auto" w:fill="auto"/>
            <w:noWrap/>
            <w:vAlign w:val="bottom"/>
            <w:hideMark/>
          </w:tcPr>
          <w:p w14:paraId="1EB63523"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44" w:type="dxa"/>
            <w:tcBorders>
              <w:top w:val="nil"/>
              <w:left w:val="nil"/>
              <w:bottom w:val="single" w:sz="4" w:space="0" w:color="auto"/>
              <w:right w:val="single" w:sz="4" w:space="0" w:color="auto"/>
            </w:tcBorders>
            <w:shd w:val="clear" w:color="auto" w:fill="auto"/>
            <w:noWrap/>
            <w:vAlign w:val="bottom"/>
            <w:hideMark/>
          </w:tcPr>
          <w:p w14:paraId="4F214493"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902" w:type="dxa"/>
            <w:tcBorders>
              <w:top w:val="nil"/>
              <w:left w:val="nil"/>
              <w:bottom w:val="single" w:sz="4" w:space="0" w:color="auto"/>
              <w:right w:val="single" w:sz="4" w:space="0" w:color="auto"/>
            </w:tcBorders>
            <w:shd w:val="clear" w:color="auto" w:fill="auto"/>
            <w:noWrap/>
            <w:vAlign w:val="bottom"/>
            <w:hideMark/>
          </w:tcPr>
          <w:p w14:paraId="4A509278"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83" w:type="dxa"/>
            <w:tcBorders>
              <w:top w:val="nil"/>
              <w:left w:val="nil"/>
              <w:bottom w:val="single" w:sz="4" w:space="0" w:color="auto"/>
              <w:right w:val="single" w:sz="4" w:space="0" w:color="auto"/>
            </w:tcBorders>
            <w:shd w:val="clear" w:color="auto" w:fill="auto"/>
            <w:noWrap/>
            <w:vAlign w:val="bottom"/>
            <w:hideMark/>
          </w:tcPr>
          <w:p w14:paraId="100FE1FC"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C5D3299"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2E6AFE4F"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r>
      <w:tr w:rsidR="00BB7547" w:rsidRPr="00BB7547" w14:paraId="0A7F24DC" w14:textId="77777777" w:rsidTr="00BB7547">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0EEBFBDE" w14:textId="77777777" w:rsidR="00BB7547" w:rsidRPr="00BB7547" w:rsidRDefault="00BB7547" w:rsidP="00777F3E">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2010</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E2A3597"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04568F57"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7C5B9E7"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163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4779765C"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16,873,097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19BE7E0B"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3BF61E93"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6BFFB82E"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4C49A130"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3FB99E9B"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4F0676ED"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460D3B0A"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049EB96A"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583BD59F"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r>
      <w:tr w:rsidR="00BB7547" w:rsidRPr="00BB7547" w14:paraId="5A73CC3D" w14:textId="77777777" w:rsidTr="00BB7547">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4AB5B535" w14:textId="77777777" w:rsidR="00BB7547" w:rsidRPr="00BB7547" w:rsidRDefault="00BB7547" w:rsidP="00777F3E">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2011</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7F58F51"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6287E0D4"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11C90D05"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53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690530C9"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12,194,567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072D832A"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780D8432"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39957D3B"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36F21F12"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019EB8D4"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412554D6"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50347BF2"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0883CEEE"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43A63609"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r>
      <w:tr w:rsidR="00BB7547" w:rsidRPr="00BB7547" w14:paraId="12EA6A11" w14:textId="77777777" w:rsidTr="00BB7547">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276F1940" w14:textId="77777777" w:rsidR="00BB7547" w:rsidRPr="00BB7547" w:rsidRDefault="00BB7547" w:rsidP="00777F3E">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2012</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C2884F6"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53,902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6981D3F7"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2,511,470,256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34AD9BA6"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20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0338FEE2"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1,188,475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3C96D3D5"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014960E9"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77177C8B"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5B11DFA6"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197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57BDD21F"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6,436,289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2832E1E7"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4311314F"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059D8E1A"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604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08612C3A"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19,003,427 </w:t>
            </w:r>
          </w:p>
        </w:tc>
      </w:tr>
      <w:tr w:rsidR="00BB7547" w:rsidRPr="00BB7547" w14:paraId="3FEBEB1B" w14:textId="77777777" w:rsidTr="00BB7547">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45F3BC1B" w14:textId="77777777" w:rsidR="00BB7547" w:rsidRPr="00BB7547" w:rsidRDefault="00BB7547" w:rsidP="00777F3E">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2013</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2843EE9"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50,772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166E4817"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2,400,273,593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1FD04CDC"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71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152157BC"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2,182,529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3B2F8989"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29BC1620"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2FA99CCC"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18F1096A"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95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7202F009"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11,010,504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75BF82E0"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4F0CC415"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37CB4B72"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3,157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0D1A2AE2"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89,074,184 </w:t>
            </w:r>
          </w:p>
        </w:tc>
      </w:tr>
      <w:tr w:rsidR="00BB7547" w:rsidRPr="00BB7547" w14:paraId="62EAB161" w14:textId="77777777" w:rsidTr="00BB7547">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58A73DD4" w14:textId="77777777" w:rsidR="00BB7547" w:rsidRPr="00BB7547" w:rsidRDefault="00BB7547" w:rsidP="00777F3E">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2014</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2FBD1BF"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120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31AA5D29"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5,644,678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6FC4C063"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29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6A1595A4"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950,780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591AA232"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6DCD4E66"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78459104"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1FD9514C"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6F109A69"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6B00AB1F"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13B1C391"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25A85C88"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134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46F2927D"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2,979,221 </w:t>
            </w:r>
          </w:p>
        </w:tc>
      </w:tr>
      <w:tr w:rsidR="00BB7547" w:rsidRPr="00BB7547" w14:paraId="33096D0F" w14:textId="77777777" w:rsidTr="00BB7547">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60A3CCA0" w14:textId="77777777" w:rsidR="00BB7547" w:rsidRPr="00BB7547" w:rsidRDefault="00BB7547" w:rsidP="00777F3E">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2015</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6EDEFAB"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907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711028EB"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58,065,142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13FEA93F"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184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BAFA2B1"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15,958,069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0C011AC0"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9,307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216BDEF1"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23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425476F4"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1,905,477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3D643958"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48F8C27B"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0A49B68A"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48EC750B"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32530794"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115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365697C7"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2,611,090 </w:t>
            </w:r>
          </w:p>
        </w:tc>
      </w:tr>
      <w:tr w:rsidR="00BB7547" w:rsidRPr="00BB7547" w14:paraId="0396F761" w14:textId="77777777" w:rsidTr="00BB7547">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0BA9A208" w14:textId="77777777" w:rsidR="00BB7547" w:rsidRPr="00BB7547" w:rsidRDefault="00BB7547" w:rsidP="00777F3E">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2016</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5B9CE9F"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6,449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443868B4"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257,114,079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43158B0C"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747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C84140B"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39,588,282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6201A4D0"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62,395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741CAFF4"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156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0B970F2B"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18,540,505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3D2D8AE9"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97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1736DF85"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2,891,586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2F29A0BF"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6B089866"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43CB792A"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341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6FF420B0"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7,860,676 </w:t>
            </w:r>
          </w:p>
        </w:tc>
      </w:tr>
      <w:tr w:rsidR="00BB7547" w:rsidRPr="00BB7547" w14:paraId="7AD198B5" w14:textId="77777777" w:rsidTr="00BB7547">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519CE608" w14:textId="77777777" w:rsidR="00BB7547" w:rsidRPr="00BB7547" w:rsidRDefault="00BB7547" w:rsidP="00777F3E">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2017</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B3197AD"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36,522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0894885D"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1,469,402,680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45401A52"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1,186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473EA104"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100,450,448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48B3FF81"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47,219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3C5DC4AA"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118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744E8E90"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13,369,207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04C01E3B"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276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595470E8"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8,820,998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177C6C52"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1B5438D1"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09147828"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1,497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71523BEB"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43,643,133 </w:t>
            </w:r>
          </w:p>
        </w:tc>
      </w:tr>
      <w:tr w:rsidR="00BB7547" w:rsidRPr="00BB7547" w14:paraId="2E387292" w14:textId="77777777" w:rsidTr="00BB7547">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55DC5F26" w14:textId="77777777" w:rsidR="00BB7547" w:rsidRPr="00BB7547" w:rsidRDefault="00BB7547" w:rsidP="00777F3E">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2018</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23B1757"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39,056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2FFB129D"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1,556,790,498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4E05D8BE"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672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5158DB59"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87,830,555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58E3B581"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278,089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32B6FD57"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695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3121C687"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66,952,138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77C9ED4D"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18A18F06"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08F889F6"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7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41D15F5C"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1,455,438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184420B8"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2,432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08A7F396"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56,010,971 </w:t>
            </w:r>
          </w:p>
        </w:tc>
      </w:tr>
      <w:tr w:rsidR="00BB7547" w:rsidRPr="00BB7547" w14:paraId="129DAEC8" w14:textId="77777777" w:rsidTr="00BB7547">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469023E7" w14:textId="77777777" w:rsidR="00BB7547" w:rsidRPr="00BB7547" w:rsidRDefault="00BB7547" w:rsidP="00777F3E">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2019</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2BE3F18"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43,300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77873DF4"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1,650,688,755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1A60A95D"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604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094E01AC"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148,553,742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10A2CF65"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191,142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50FB1A1A"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496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4C252B11"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85,778,157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48F1F9ED"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060DCF45"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5AD53932"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74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410016AB"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10,112,879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3B72805A"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2,489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32B2DB8E"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62,084,483 </w:t>
            </w:r>
          </w:p>
        </w:tc>
      </w:tr>
      <w:tr w:rsidR="00BB7547" w:rsidRPr="00BB7547" w14:paraId="5B05DACB" w14:textId="77777777" w:rsidTr="00BB7547">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4646DA1D" w14:textId="77777777" w:rsidR="00BB7547" w:rsidRPr="00BB7547" w:rsidRDefault="00BB7547" w:rsidP="00777F3E">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2020</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72A71DD"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31,543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225EF145"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1,319,201,200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2F5AB092"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619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453495F9"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202,492,665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0D6A4F7F"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30,411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42786D0A"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76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20FBF16D"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15,352,284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7C699F70"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7B167868"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28161D34"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99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736B0B43"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16,880,416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6C9BEC18"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1,925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34BD3E25"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65,359,650 </w:t>
            </w:r>
          </w:p>
        </w:tc>
      </w:tr>
      <w:tr w:rsidR="00BB7547" w:rsidRPr="00BB7547" w14:paraId="5BD64F47" w14:textId="77777777" w:rsidTr="00BB7547">
        <w:trPr>
          <w:trHeight w:val="248"/>
        </w:trPr>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0AA79749" w14:textId="77777777" w:rsidR="00BB7547" w:rsidRPr="00BB7547" w:rsidRDefault="00BB7547" w:rsidP="00777F3E">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2021</w:t>
            </w:r>
          </w:p>
        </w:tc>
        <w:tc>
          <w:tcPr>
            <w:tcW w:w="6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A637075"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2,066 </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33DE2766"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83,795,510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6C9A474C"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75AE273E"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35246072"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4F94D70C"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72" w:type="dxa"/>
            <w:tcBorders>
              <w:top w:val="single" w:sz="8" w:space="0" w:color="auto"/>
              <w:left w:val="nil"/>
              <w:bottom w:val="single" w:sz="4" w:space="0" w:color="auto"/>
              <w:right w:val="single" w:sz="4" w:space="0" w:color="auto"/>
            </w:tcBorders>
            <w:shd w:val="clear" w:color="auto" w:fill="auto"/>
            <w:noWrap/>
            <w:vAlign w:val="bottom"/>
            <w:hideMark/>
          </w:tcPr>
          <w:p w14:paraId="1C0AB4D6"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15" w:type="dxa"/>
            <w:tcBorders>
              <w:top w:val="single" w:sz="8" w:space="0" w:color="auto"/>
              <w:left w:val="nil"/>
              <w:bottom w:val="single" w:sz="4" w:space="0" w:color="auto"/>
              <w:right w:val="single" w:sz="4" w:space="0" w:color="auto"/>
            </w:tcBorders>
            <w:shd w:val="clear" w:color="auto" w:fill="auto"/>
            <w:noWrap/>
            <w:vAlign w:val="bottom"/>
            <w:hideMark/>
          </w:tcPr>
          <w:p w14:paraId="61C84889"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5B93A4F5"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902" w:type="dxa"/>
            <w:tcBorders>
              <w:top w:val="single" w:sz="8" w:space="0" w:color="auto"/>
              <w:left w:val="nil"/>
              <w:bottom w:val="single" w:sz="4" w:space="0" w:color="auto"/>
              <w:right w:val="single" w:sz="4" w:space="0" w:color="auto"/>
            </w:tcBorders>
            <w:shd w:val="clear" w:color="auto" w:fill="auto"/>
            <w:noWrap/>
            <w:vAlign w:val="bottom"/>
            <w:hideMark/>
          </w:tcPr>
          <w:p w14:paraId="4A2C2824"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34 </w:t>
            </w:r>
          </w:p>
        </w:tc>
        <w:tc>
          <w:tcPr>
            <w:tcW w:w="1183" w:type="dxa"/>
            <w:tcBorders>
              <w:top w:val="single" w:sz="8" w:space="0" w:color="auto"/>
              <w:left w:val="nil"/>
              <w:bottom w:val="single" w:sz="4" w:space="0" w:color="auto"/>
              <w:right w:val="single" w:sz="4" w:space="0" w:color="auto"/>
            </w:tcBorders>
            <w:shd w:val="clear" w:color="auto" w:fill="auto"/>
            <w:noWrap/>
            <w:vAlign w:val="bottom"/>
            <w:hideMark/>
          </w:tcPr>
          <w:p w14:paraId="1B0CBE74"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3,076,399 </w:t>
            </w:r>
          </w:p>
        </w:tc>
        <w:tc>
          <w:tcPr>
            <w:tcW w:w="1134" w:type="dxa"/>
            <w:gridSpan w:val="2"/>
            <w:tcBorders>
              <w:top w:val="single" w:sz="8" w:space="0" w:color="auto"/>
              <w:left w:val="nil"/>
              <w:bottom w:val="single" w:sz="4" w:space="0" w:color="auto"/>
              <w:right w:val="single" w:sz="4" w:space="0" w:color="auto"/>
            </w:tcBorders>
            <w:shd w:val="clear" w:color="auto" w:fill="auto"/>
            <w:noWrap/>
            <w:vAlign w:val="bottom"/>
            <w:hideMark/>
          </w:tcPr>
          <w:p w14:paraId="52F325A8"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54F87CBD" w14:textId="77777777" w:rsidR="00BB7547" w:rsidRPr="00BB7547" w:rsidRDefault="00BB7547" w:rsidP="00BB7547">
            <w:pPr>
              <w:spacing w:after="0" w:line="240" w:lineRule="auto"/>
              <w:jc w:val="right"/>
              <w:rPr>
                <w:rFonts w:ascii="Arial" w:eastAsia="Times New Roman" w:hAnsi="Arial" w:cs="Arial"/>
                <w:color w:val="000000"/>
                <w:sz w:val="14"/>
                <w:szCs w:val="14"/>
                <w:lang w:val="es-US" w:eastAsia="es-US"/>
              </w:rPr>
            </w:pPr>
            <w:r w:rsidRPr="00BB7547">
              <w:rPr>
                <w:rFonts w:ascii="Arial" w:eastAsia="Times New Roman" w:hAnsi="Arial" w:cs="Arial"/>
                <w:color w:val="000000"/>
                <w:sz w:val="14"/>
                <w:szCs w:val="14"/>
                <w:lang w:val="es-US" w:eastAsia="es-US"/>
              </w:rPr>
              <w:t xml:space="preserve">                                -   </w:t>
            </w:r>
          </w:p>
        </w:tc>
      </w:tr>
      <w:tr w:rsidR="00101172" w:rsidRPr="00BB7547" w14:paraId="466FF45B" w14:textId="77777777" w:rsidTr="00101172">
        <w:trPr>
          <w:trHeight w:val="248"/>
        </w:trPr>
        <w:tc>
          <w:tcPr>
            <w:tcW w:w="851" w:type="dxa"/>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14:paraId="47AC30DB" w14:textId="77777777" w:rsidR="00BB7547" w:rsidRPr="00BB7547" w:rsidRDefault="00BB7547" w:rsidP="00BB7547">
            <w:pPr>
              <w:spacing w:after="0" w:line="240" w:lineRule="auto"/>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SubTotal</w:t>
            </w:r>
          </w:p>
        </w:tc>
        <w:tc>
          <w:tcPr>
            <w:tcW w:w="676"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3DB2823"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264,636 </w:t>
            </w:r>
          </w:p>
        </w:tc>
        <w:tc>
          <w:tcPr>
            <w:tcW w:w="1167"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99F93BD"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11,312,446,389 </w:t>
            </w:r>
          </w:p>
        </w:tc>
        <w:tc>
          <w:tcPr>
            <w:tcW w:w="850"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9F3AF5F"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4,392 </w:t>
            </w:r>
          </w:p>
        </w:tc>
        <w:tc>
          <w:tcPr>
            <w:tcW w:w="992"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49BB724"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636,666,462 </w:t>
            </w:r>
          </w:p>
        </w:tc>
        <w:tc>
          <w:tcPr>
            <w:tcW w:w="800"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4CD9BA6"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618,563 </w:t>
            </w:r>
          </w:p>
        </w:tc>
        <w:tc>
          <w:tcPr>
            <w:tcW w:w="1072"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ED8F24A"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1,564 </w:t>
            </w:r>
          </w:p>
        </w:tc>
        <w:tc>
          <w:tcPr>
            <w:tcW w:w="1072"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3D3E98E"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201,897,768 </w:t>
            </w:r>
          </w:p>
        </w:tc>
        <w:tc>
          <w:tcPr>
            <w:tcW w:w="1015"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3B3E346"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664 </w:t>
            </w:r>
          </w:p>
        </w:tc>
        <w:tc>
          <w:tcPr>
            <w:tcW w:w="1044"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722C37B"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29,159,376 </w:t>
            </w:r>
          </w:p>
        </w:tc>
        <w:tc>
          <w:tcPr>
            <w:tcW w:w="902"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BB2115D"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213 </w:t>
            </w:r>
          </w:p>
        </w:tc>
        <w:tc>
          <w:tcPr>
            <w:tcW w:w="1183"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950E1CC"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31,525,132 </w:t>
            </w:r>
          </w:p>
        </w:tc>
        <w:tc>
          <w:tcPr>
            <w:tcW w:w="1134" w:type="dxa"/>
            <w:gridSpan w:val="2"/>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EF30DC0"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12,692 </w:t>
            </w:r>
          </w:p>
        </w:tc>
        <w:tc>
          <w:tcPr>
            <w:tcW w:w="1417"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5D6352E5"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348,626,835 </w:t>
            </w:r>
          </w:p>
        </w:tc>
      </w:tr>
      <w:tr w:rsidR="00BB7547" w:rsidRPr="00BB7547" w14:paraId="65B472EE" w14:textId="77777777" w:rsidTr="00101172">
        <w:trPr>
          <w:trHeight w:val="248"/>
        </w:trPr>
        <w:tc>
          <w:tcPr>
            <w:tcW w:w="12736" w:type="dxa"/>
            <w:gridSpan w:val="13"/>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4FFE26BE"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Total pagado</w:t>
            </w:r>
          </w:p>
        </w:tc>
        <w:tc>
          <w:tcPr>
            <w:tcW w:w="1439" w:type="dxa"/>
            <w:gridSpan w:val="2"/>
            <w:tcBorders>
              <w:top w:val="nil"/>
              <w:left w:val="nil"/>
              <w:bottom w:val="single" w:sz="8" w:space="0" w:color="auto"/>
              <w:right w:val="single" w:sz="8" w:space="0" w:color="auto"/>
            </w:tcBorders>
            <w:shd w:val="clear" w:color="auto" w:fill="D6E3BC" w:themeFill="accent3" w:themeFillTint="66"/>
            <w:noWrap/>
            <w:vAlign w:val="center"/>
            <w:hideMark/>
          </w:tcPr>
          <w:p w14:paraId="64211F23"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12,560,321,961 </w:t>
            </w:r>
          </w:p>
        </w:tc>
      </w:tr>
      <w:tr w:rsidR="00BB7547" w:rsidRPr="00BB7547" w14:paraId="5D45B4A3" w14:textId="77777777" w:rsidTr="00101172">
        <w:trPr>
          <w:trHeight w:val="248"/>
        </w:trPr>
        <w:tc>
          <w:tcPr>
            <w:tcW w:w="12736" w:type="dxa"/>
            <w:gridSpan w:val="13"/>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6A9FFE8"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Total Hectáreas</w:t>
            </w:r>
          </w:p>
        </w:tc>
        <w:tc>
          <w:tcPr>
            <w:tcW w:w="1439" w:type="dxa"/>
            <w:gridSpan w:val="2"/>
            <w:tcBorders>
              <w:top w:val="nil"/>
              <w:left w:val="nil"/>
              <w:bottom w:val="single" w:sz="8" w:space="0" w:color="auto"/>
              <w:right w:val="single" w:sz="8" w:space="0" w:color="auto"/>
            </w:tcBorders>
            <w:shd w:val="clear" w:color="auto" w:fill="D6E3BC" w:themeFill="accent3" w:themeFillTint="66"/>
            <w:noWrap/>
            <w:vAlign w:val="center"/>
            <w:hideMark/>
          </w:tcPr>
          <w:p w14:paraId="52CB5341" w14:textId="77777777" w:rsidR="00BB7547" w:rsidRPr="00BB7547" w:rsidRDefault="00BB7547" w:rsidP="00BB7547">
            <w:pPr>
              <w:spacing w:after="0" w:line="240" w:lineRule="auto"/>
              <w:jc w:val="right"/>
              <w:rPr>
                <w:rFonts w:ascii="Arial" w:eastAsia="Times New Roman" w:hAnsi="Arial" w:cs="Arial"/>
                <w:b/>
                <w:bCs/>
                <w:color w:val="000000"/>
                <w:sz w:val="14"/>
                <w:szCs w:val="14"/>
                <w:lang w:val="es-US" w:eastAsia="es-US"/>
              </w:rPr>
            </w:pPr>
            <w:r w:rsidRPr="00BB7547">
              <w:rPr>
                <w:rFonts w:ascii="Arial" w:eastAsia="Times New Roman" w:hAnsi="Arial" w:cs="Arial"/>
                <w:b/>
                <w:bCs/>
                <w:color w:val="000000"/>
                <w:sz w:val="14"/>
                <w:szCs w:val="14"/>
                <w:lang w:val="es-US" w:eastAsia="es-US"/>
              </w:rPr>
              <w:t xml:space="preserve">                       284,161 </w:t>
            </w:r>
          </w:p>
        </w:tc>
      </w:tr>
    </w:tbl>
    <w:p w14:paraId="1A87F165" w14:textId="77777777" w:rsidR="00BB7547" w:rsidRDefault="00BB7547" w:rsidP="00844CC5">
      <w:pPr>
        <w:spacing w:after="0" w:line="240" w:lineRule="auto"/>
        <w:jc w:val="both"/>
        <w:rPr>
          <w:rFonts w:ascii="Arial" w:hAnsi="Arial" w:cs="Arial"/>
          <w:color w:val="FF0000"/>
          <w:lang w:val="es-US"/>
        </w:rPr>
      </w:pPr>
    </w:p>
    <w:tbl>
      <w:tblPr>
        <w:tblW w:w="13628" w:type="dxa"/>
        <w:tblCellMar>
          <w:left w:w="70" w:type="dxa"/>
          <w:right w:w="70" w:type="dxa"/>
        </w:tblCellMar>
        <w:tblLook w:val="04A0" w:firstRow="1" w:lastRow="0" w:firstColumn="1" w:lastColumn="0" w:noHBand="0" w:noVBand="1"/>
      </w:tblPr>
      <w:tblGrid>
        <w:gridCol w:w="11792"/>
        <w:gridCol w:w="1836"/>
      </w:tblGrid>
      <w:tr w:rsidR="00777F3E" w:rsidRPr="00D70C1A" w14:paraId="2AA5679E" w14:textId="77777777" w:rsidTr="00187E94">
        <w:trPr>
          <w:trHeight w:val="291"/>
        </w:trPr>
        <w:tc>
          <w:tcPr>
            <w:tcW w:w="0" w:type="auto"/>
            <w:tcBorders>
              <w:top w:val="nil"/>
              <w:left w:val="nil"/>
              <w:bottom w:val="nil"/>
              <w:right w:val="nil"/>
            </w:tcBorders>
            <w:shd w:val="clear" w:color="000000" w:fill="FFFFFF"/>
            <w:noWrap/>
            <w:vAlign w:val="bottom"/>
            <w:hideMark/>
          </w:tcPr>
          <w:p w14:paraId="0EB9284E" w14:textId="77777777" w:rsidR="00777F3E" w:rsidRPr="00D70C1A" w:rsidRDefault="00777F3E" w:rsidP="00187E94">
            <w:pPr>
              <w:spacing w:after="0" w:line="240" w:lineRule="auto"/>
              <w:rPr>
                <w:rFonts w:ascii="Arial" w:eastAsia="Times New Roman" w:hAnsi="Arial" w:cs="Arial"/>
                <w:color w:val="000000"/>
                <w:sz w:val="14"/>
                <w:szCs w:val="14"/>
                <w:lang w:val="es-US" w:eastAsia="es-US"/>
              </w:rPr>
            </w:pPr>
            <w:r w:rsidRPr="00D70C1A">
              <w:rPr>
                <w:rFonts w:ascii="Arial" w:eastAsia="Times New Roman" w:hAnsi="Arial" w:cs="Arial"/>
                <w:color w:val="000000"/>
                <w:sz w:val="14"/>
                <w:szCs w:val="14"/>
                <w:lang w:val="es-US" w:eastAsia="es-US"/>
              </w:rPr>
              <w:t>Has= Hectáreas</w:t>
            </w:r>
          </w:p>
        </w:tc>
        <w:tc>
          <w:tcPr>
            <w:tcW w:w="0" w:type="auto"/>
            <w:tcBorders>
              <w:top w:val="nil"/>
              <w:left w:val="nil"/>
              <w:bottom w:val="nil"/>
              <w:right w:val="nil"/>
            </w:tcBorders>
            <w:shd w:val="clear" w:color="000000" w:fill="FFFFFF"/>
            <w:noWrap/>
            <w:vAlign w:val="bottom"/>
            <w:hideMark/>
          </w:tcPr>
          <w:p w14:paraId="704BE537" w14:textId="77777777" w:rsidR="00777F3E" w:rsidRPr="00D70C1A" w:rsidRDefault="00777F3E" w:rsidP="00187E94">
            <w:pPr>
              <w:spacing w:after="0" w:line="240" w:lineRule="auto"/>
              <w:rPr>
                <w:rFonts w:ascii="Arial" w:eastAsia="Times New Roman" w:hAnsi="Arial" w:cs="Arial"/>
                <w:color w:val="000000"/>
                <w:sz w:val="14"/>
                <w:szCs w:val="14"/>
                <w:lang w:val="es-US" w:eastAsia="es-US"/>
              </w:rPr>
            </w:pPr>
            <w:r w:rsidRPr="00D70C1A">
              <w:rPr>
                <w:rFonts w:ascii="Arial" w:eastAsia="Times New Roman" w:hAnsi="Arial" w:cs="Arial"/>
                <w:color w:val="000000"/>
                <w:sz w:val="14"/>
                <w:szCs w:val="14"/>
                <w:lang w:val="es-US" w:eastAsia="es-US"/>
              </w:rPr>
              <w:t> </w:t>
            </w:r>
          </w:p>
        </w:tc>
      </w:tr>
      <w:tr w:rsidR="00777F3E" w:rsidRPr="00D70C1A" w14:paraId="521D848F" w14:textId="77777777" w:rsidTr="00187E94">
        <w:trPr>
          <w:trHeight w:val="291"/>
        </w:trPr>
        <w:tc>
          <w:tcPr>
            <w:tcW w:w="0" w:type="auto"/>
            <w:gridSpan w:val="2"/>
            <w:tcBorders>
              <w:top w:val="nil"/>
              <w:left w:val="nil"/>
              <w:bottom w:val="nil"/>
              <w:right w:val="nil"/>
            </w:tcBorders>
            <w:shd w:val="clear" w:color="000000" w:fill="FFFFFF"/>
            <w:noWrap/>
            <w:vAlign w:val="bottom"/>
            <w:hideMark/>
          </w:tcPr>
          <w:p w14:paraId="2684DCF6" w14:textId="77777777" w:rsidR="00777F3E" w:rsidRPr="00D70C1A" w:rsidRDefault="00777F3E" w:rsidP="00187E94">
            <w:pPr>
              <w:spacing w:after="0" w:line="240" w:lineRule="auto"/>
              <w:rPr>
                <w:rFonts w:ascii="Arial" w:eastAsia="Times New Roman" w:hAnsi="Arial" w:cs="Arial"/>
                <w:color w:val="000000"/>
                <w:sz w:val="14"/>
                <w:szCs w:val="14"/>
                <w:lang w:val="es-US" w:eastAsia="es-US"/>
              </w:rPr>
            </w:pPr>
            <w:r w:rsidRPr="00D70C1A">
              <w:rPr>
                <w:rFonts w:ascii="Arial" w:eastAsia="Times New Roman" w:hAnsi="Arial" w:cs="Arial"/>
                <w:color w:val="000000"/>
                <w:sz w:val="14"/>
                <w:szCs w:val="14"/>
                <w:lang w:val="es-US" w:eastAsia="es-US"/>
              </w:rPr>
              <w:t>SAF=Sistemas Agroforestales</w:t>
            </w:r>
          </w:p>
        </w:tc>
      </w:tr>
    </w:tbl>
    <w:p w14:paraId="50BAEE61" w14:textId="6C447AEB" w:rsidR="00777F3E" w:rsidRPr="00844CC5" w:rsidRDefault="00777F3E" w:rsidP="00844CC5">
      <w:pPr>
        <w:spacing w:after="0" w:line="240" w:lineRule="auto"/>
        <w:jc w:val="both"/>
        <w:rPr>
          <w:rFonts w:ascii="Arial" w:hAnsi="Arial" w:cs="Arial"/>
          <w:color w:val="FF0000"/>
          <w:lang w:val="es-US"/>
        </w:rPr>
        <w:sectPr w:rsidR="00777F3E" w:rsidRPr="00844CC5" w:rsidSect="00BB7547">
          <w:pgSz w:w="15840" w:h="12240" w:orient="landscape"/>
          <w:pgMar w:top="1701" w:right="1412" w:bottom="1701" w:left="1412" w:header="709" w:footer="709" w:gutter="0"/>
          <w:cols w:space="708"/>
          <w:docGrid w:linePitch="360"/>
        </w:sectPr>
      </w:pPr>
    </w:p>
    <w:bookmarkEnd w:id="20"/>
    <w:p w14:paraId="2E57E7FD" w14:textId="77777777" w:rsidR="003D76ED" w:rsidRDefault="00C053D2" w:rsidP="00E70DB7">
      <w:pPr>
        <w:spacing w:after="0" w:line="240" w:lineRule="auto"/>
        <w:ind w:left="720"/>
        <w:jc w:val="center"/>
        <w:rPr>
          <w:rFonts w:ascii="Arial" w:hAnsi="Arial" w:cs="Arial"/>
          <w:b/>
          <w:sz w:val="24"/>
          <w:szCs w:val="24"/>
        </w:rPr>
      </w:pPr>
      <w:r w:rsidRPr="00607655">
        <w:rPr>
          <w:rFonts w:ascii="Arial" w:hAnsi="Arial" w:cs="Arial"/>
        </w:rPr>
        <w:lastRenderedPageBreak/>
        <w:t xml:space="preserve"> </w:t>
      </w:r>
    </w:p>
    <w:p w14:paraId="7D6BAC33" w14:textId="77777777" w:rsidR="00C73784" w:rsidRPr="00551D21" w:rsidRDefault="003D76ED" w:rsidP="00551D21">
      <w:pPr>
        <w:pStyle w:val="Ttulo2"/>
        <w:rPr>
          <w:rFonts w:ascii="Arial" w:hAnsi="Arial" w:cs="Arial"/>
          <w:color w:val="auto"/>
          <w:sz w:val="24"/>
          <w:szCs w:val="24"/>
        </w:rPr>
      </w:pPr>
      <w:bookmarkStart w:id="21" w:name="_Toc94522221"/>
      <w:r>
        <w:rPr>
          <w:rFonts w:ascii="Arial" w:eastAsia="Calibri" w:hAnsi="Arial" w:cs="Arial"/>
          <w:bCs w:val="0"/>
          <w:color w:val="auto"/>
          <w:sz w:val="22"/>
          <w:szCs w:val="22"/>
        </w:rPr>
        <w:t>7</w:t>
      </w:r>
      <w:r w:rsidR="00C73784" w:rsidRPr="00551D21">
        <w:rPr>
          <w:rFonts w:ascii="Arial" w:hAnsi="Arial" w:cs="Arial"/>
          <w:color w:val="auto"/>
          <w:sz w:val="24"/>
          <w:szCs w:val="24"/>
        </w:rPr>
        <w:t>. EJECUCION DEL PRESUPUESTO DE EGRESOS POR PROGRAMA</w:t>
      </w:r>
      <w:bookmarkEnd w:id="21"/>
    </w:p>
    <w:p w14:paraId="26BA11D2" w14:textId="77777777" w:rsidR="00C73784" w:rsidRDefault="00C73784" w:rsidP="00C73784">
      <w:pPr>
        <w:spacing w:after="0" w:line="240" w:lineRule="auto"/>
        <w:rPr>
          <w:rFonts w:ascii="Arial" w:hAnsi="Arial" w:cs="Arial"/>
          <w:b/>
        </w:rPr>
      </w:pPr>
    </w:p>
    <w:p w14:paraId="4B4A7157" w14:textId="77777777" w:rsidR="00C73784" w:rsidRPr="00756568" w:rsidRDefault="00C73784" w:rsidP="00C73784">
      <w:pPr>
        <w:spacing w:after="0" w:line="240" w:lineRule="auto"/>
        <w:rPr>
          <w:rFonts w:ascii="Arial" w:hAnsi="Arial" w:cs="Arial"/>
          <w:b/>
          <w:sz w:val="20"/>
          <w:szCs w:val="20"/>
        </w:rPr>
      </w:pPr>
    </w:p>
    <w:p w14:paraId="01EAFE76" w14:textId="77777777" w:rsidR="00C73784" w:rsidRPr="00756568" w:rsidRDefault="00C73784" w:rsidP="00C73784">
      <w:pPr>
        <w:spacing w:after="0" w:line="240" w:lineRule="auto"/>
        <w:jc w:val="center"/>
        <w:rPr>
          <w:rFonts w:ascii="Arial" w:hAnsi="Arial" w:cs="Arial"/>
          <w:b/>
          <w:sz w:val="20"/>
          <w:szCs w:val="20"/>
        </w:rPr>
      </w:pPr>
      <w:r w:rsidRPr="00756568">
        <w:rPr>
          <w:rFonts w:ascii="Arial" w:hAnsi="Arial" w:cs="Arial"/>
          <w:b/>
          <w:sz w:val="20"/>
          <w:szCs w:val="20"/>
        </w:rPr>
        <w:t>FONDO NACIONAL DE FINANCIAMIENTO FORESTAL</w:t>
      </w:r>
    </w:p>
    <w:p w14:paraId="2F309EE7" w14:textId="00D146AB" w:rsidR="00C73784" w:rsidRPr="00756568" w:rsidRDefault="00C73784" w:rsidP="00C73784">
      <w:pPr>
        <w:spacing w:after="0" w:line="240" w:lineRule="auto"/>
        <w:jc w:val="center"/>
        <w:rPr>
          <w:rFonts w:ascii="Arial" w:hAnsi="Arial" w:cs="Arial"/>
          <w:b/>
          <w:sz w:val="20"/>
          <w:szCs w:val="20"/>
        </w:rPr>
      </w:pPr>
      <w:r w:rsidRPr="00756568">
        <w:rPr>
          <w:rFonts w:ascii="Arial" w:hAnsi="Arial" w:cs="Arial"/>
          <w:b/>
          <w:sz w:val="20"/>
          <w:szCs w:val="20"/>
        </w:rPr>
        <w:t xml:space="preserve">EJECUCION PRESUPUESTARIA AL </w:t>
      </w:r>
      <w:r w:rsidR="009C7A5B">
        <w:rPr>
          <w:rFonts w:ascii="Arial" w:hAnsi="Arial" w:cs="Arial"/>
          <w:b/>
          <w:sz w:val="20"/>
          <w:szCs w:val="20"/>
        </w:rPr>
        <w:t>3</w:t>
      </w:r>
      <w:r w:rsidR="00A357C5">
        <w:rPr>
          <w:rFonts w:ascii="Arial" w:hAnsi="Arial" w:cs="Arial"/>
          <w:b/>
          <w:sz w:val="20"/>
          <w:szCs w:val="20"/>
        </w:rPr>
        <w:t>1</w:t>
      </w:r>
      <w:r w:rsidR="009C7A5B">
        <w:rPr>
          <w:rFonts w:ascii="Arial" w:hAnsi="Arial" w:cs="Arial"/>
          <w:b/>
          <w:sz w:val="20"/>
          <w:szCs w:val="20"/>
        </w:rPr>
        <w:t xml:space="preserve"> DE </w:t>
      </w:r>
      <w:r w:rsidR="00A357C5">
        <w:rPr>
          <w:rFonts w:ascii="Arial" w:hAnsi="Arial" w:cs="Arial"/>
          <w:b/>
          <w:sz w:val="20"/>
          <w:szCs w:val="20"/>
        </w:rPr>
        <w:t>DICIEMBRE</w:t>
      </w:r>
      <w:r w:rsidR="009C7A5B">
        <w:rPr>
          <w:rFonts w:ascii="Arial" w:hAnsi="Arial" w:cs="Arial"/>
          <w:b/>
          <w:sz w:val="20"/>
          <w:szCs w:val="20"/>
        </w:rPr>
        <w:t xml:space="preserve"> DEL 20</w:t>
      </w:r>
      <w:r w:rsidR="00F32309">
        <w:rPr>
          <w:rFonts w:ascii="Arial" w:hAnsi="Arial" w:cs="Arial"/>
          <w:b/>
          <w:sz w:val="20"/>
          <w:szCs w:val="20"/>
        </w:rPr>
        <w:t>2</w:t>
      </w:r>
      <w:r w:rsidR="009D553D">
        <w:rPr>
          <w:rFonts w:ascii="Arial" w:hAnsi="Arial" w:cs="Arial"/>
          <w:b/>
          <w:sz w:val="20"/>
          <w:szCs w:val="20"/>
        </w:rPr>
        <w:t>1</w:t>
      </w:r>
    </w:p>
    <w:p w14:paraId="774CD9EF" w14:textId="77777777" w:rsidR="00C73784" w:rsidRPr="00756568" w:rsidRDefault="00C73784" w:rsidP="00C73784">
      <w:pPr>
        <w:spacing w:after="0" w:line="240" w:lineRule="auto"/>
        <w:jc w:val="center"/>
        <w:rPr>
          <w:rFonts w:ascii="Arial" w:hAnsi="Arial" w:cs="Arial"/>
          <w:b/>
          <w:sz w:val="20"/>
          <w:szCs w:val="20"/>
        </w:rPr>
      </w:pPr>
      <w:r w:rsidRPr="00756568">
        <w:rPr>
          <w:rFonts w:ascii="Arial" w:hAnsi="Arial" w:cs="Arial"/>
          <w:b/>
          <w:sz w:val="20"/>
          <w:szCs w:val="20"/>
        </w:rPr>
        <w:t>EGRESOS REALES POR PROGRAMA</w:t>
      </w:r>
    </w:p>
    <w:p w14:paraId="5A51AABF" w14:textId="77777777" w:rsidR="00C73784" w:rsidRDefault="00C73784" w:rsidP="00C73784">
      <w:pPr>
        <w:spacing w:after="0" w:line="240" w:lineRule="auto"/>
        <w:jc w:val="center"/>
        <w:rPr>
          <w:rFonts w:ascii="Arial" w:hAnsi="Arial" w:cs="Arial"/>
          <w:b/>
        </w:rPr>
      </w:pPr>
      <w:r w:rsidRPr="00756568">
        <w:rPr>
          <w:rFonts w:ascii="Arial" w:hAnsi="Arial" w:cs="Arial"/>
          <w:b/>
          <w:sz w:val="20"/>
          <w:szCs w:val="20"/>
        </w:rPr>
        <w:t>(EXPRESADO EN COLONES</w:t>
      </w:r>
      <w:r w:rsidRPr="00756568">
        <w:rPr>
          <w:rFonts w:ascii="Arial" w:hAnsi="Arial" w:cs="Arial"/>
          <w:b/>
        </w:rPr>
        <w:t>)</w:t>
      </w:r>
    </w:p>
    <w:p w14:paraId="0A104439" w14:textId="77777777" w:rsidR="00C73784" w:rsidRDefault="00C73784" w:rsidP="00C73784">
      <w:pPr>
        <w:spacing w:after="0" w:line="240" w:lineRule="auto"/>
        <w:rPr>
          <w:b/>
          <w:sz w:val="12"/>
          <w:szCs w:val="12"/>
        </w:rPr>
      </w:pPr>
    </w:p>
    <w:p w14:paraId="2D15E239" w14:textId="77777777" w:rsidR="0057080A" w:rsidRDefault="0057080A" w:rsidP="00C73784">
      <w:pPr>
        <w:spacing w:after="0" w:line="240" w:lineRule="auto"/>
        <w:rPr>
          <w:b/>
          <w:sz w:val="12"/>
          <w:szCs w:val="12"/>
        </w:rPr>
      </w:pPr>
    </w:p>
    <w:tbl>
      <w:tblPr>
        <w:tblW w:w="10207" w:type="dxa"/>
        <w:tblInd w:w="-436" w:type="dxa"/>
        <w:tblLayout w:type="fixed"/>
        <w:tblCellMar>
          <w:left w:w="70" w:type="dxa"/>
          <w:right w:w="70" w:type="dxa"/>
        </w:tblCellMar>
        <w:tblLook w:val="04A0" w:firstRow="1" w:lastRow="0" w:firstColumn="1" w:lastColumn="0" w:noHBand="0" w:noVBand="1"/>
      </w:tblPr>
      <w:tblGrid>
        <w:gridCol w:w="2553"/>
        <w:gridCol w:w="1576"/>
        <w:gridCol w:w="1259"/>
        <w:gridCol w:w="1417"/>
        <w:gridCol w:w="851"/>
        <w:gridCol w:w="1559"/>
        <w:gridCol w:w="992"/>
      </w:tblGrid>
      <w:tr w:rsidR="001D2DC6" w:rsidRPr="00393404" w14:paraId="6971F3CD" w14:textId="77777777" w:rsidTr="00101172">
        <w:trPr>
          <w:trHeight w:val="420"/>
        </w:trPr>
        <w:tc>
          <w:tcPr>
            <w:tcW w:w="2553" w:type="dxa"/>
            <w:tcBorders>
              <w:top w:val="single" w:sz="8" w:space="0" w:color="auto"/>
              <w:left w:val="single" w:sz="8" w:space="0" w:color="auto"/>
              <w:bottom w:val="single" w:sz="8" w:space="0" w:color="auto"/>
              <w:right w:val="single" w:sz="8" w:space="0" w:color="auto"/>
            </w:tcBorders>
            <w:shd w:val="clear" w:color="auto" w:fill="D6E3BC" w:themeFill="accent3" w:themeFillTint="66"/>
            <w:noWrap/>
            <w:vAlign w:val="center"/>
            <w:hideMark/>
          </w:tcPr>
          <w:p w14:paraId="3C4F06E3" w14:textId="77777777" w:rsidR="00393404" w:rsidRPr="00393404" w:rsidRDefault="00393404" w:rsidP="00393404">
            <w:pPr>
              <w:spacing w:after="0" w:line="240" w:lineRule="auto"/>
              <w:jc w:val="center"/>
              <w:rPr>
                <w:rFonts w:ascii="Arial" w:eastAsia="Times New Roman" w:hAnsi="Arial" w:cs="Arial"/>
                <w:b/>
                <w:bCs/>
                <w:color w:val="000000"/>
                <w:sz w:val="16"/>
                <w:szCs w:val="16"/>
                <w:lang w:val="es-US" w:eastAsia="es-US"/>
              </w:rPr>
            </w:pPr>
            <w:r w:rsidRPr="00393404">
              <w:rPr>
                <w:rFonts w:ascii="Arial" w:eastAsia="Times New Roman" w:hAnsi="Arial" w:cs="Arial"/>
                <w:b/>
                <w:bCs/>
                <w:color w:val="000000"/>
                <w:sz w:val="16"/>
                <w:szCs w:val="16"/>
                <w:lang w:eastAsia="es-US"/>
              </w:rPr>
              <w:t>Partida</w:t>
            </w:r>
          </w:p>
        </w:tc>
        <w:tc>
          <w:tcPr>
            <w:tcW w:w="1576"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EC817EB" w14:textId="77777777" w:rsidR="00393404" w:rsidRPr="00393404" w:rsidRDefault="00393404" w:rsidP="00393404">
            <w:pPr>
              <w:spacing w:after="0" w:line="240" w:lineRule="auto"/>
              <w:jc w:val="center"/>
              <w:rPr>
                <w:rFonts w:ascii="Arial" w:eastAsia="Times New Roman" w:hAnsi="Arial" w:cs="Arial"/>
                <w:b/>
                <w:bCs/>
                <w:color w:val="000000"/>
                <w:sz w:val="16"/>
                <w:szCs w:val="16"/>
                <w:lang w:val="es-US" w:eastAsia="es-US"/>
              </w:rPr>
            </w:pPr>
            <w:r w:rsidRPr="00393404">
              <w:rPr>
                <w:rFonts w:ascii="Arial" w:eastAsia="Times New Roman" w:hAnsi="Arial" w:cs="Arial"/>
                <w:b/>
                <w:bCs/>
                <w:color w:val="000000"/>
                <w:sz w:val="16"/>
                <w:szCs w:val="16"/>
                <w:lang w:eastAsia="es-US"/>
              </w:rPr>
              <w:t>Egreso Ejecutado Consolidado</w:t>
            </w:r>
          </w:p>
        </w:tc>
        <w:tc>
          <w:tcPr>
            <w:tcW w:w="125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D4A69F7" w14:textId="77777777" w:rsidR="00393404" w:rsidRPr="00393404" w:rsidRDefault="00393404" w:rsidP="00393404">
            <w:pPr>
              <w:spacing w:after="0" w:line="240" w:lineRule="auto"/>
              <w:jc w:val="center"/>
              <w:rPr>
                <w:rFonts w:ascii="Arial" w:eastAsia="Times New Roman" w:hAnsi="Arial" w:cs="Arial"/>
                <w:b/>
                <w:bCs/>
                <w:color w:val="000000"/>
                <w:sz w:val="16"/>
                <w:szCs w:val="16"/>
                <w:lang w:val="es-US" w:eastAsia="es-US"/>
              </w:rPr>
            </w:pPr>
            <w:r w:rsidRPr="00393404">
              <w:rPr>
                <w:rFonts w:ascii="Arial" w:eastAsia="Times New Roman" w:hAnsi="Arial" w:cs="Arial"/>
                <w:b/>
                <w:bCs/>
                <w:color w:val="000000"/>
                <w:sz w:val="16"/>
                <w:szCs w:val="16"/>
                <w:lang w:eastAsia="es-US"/>
              </w:rPr>
              <w:t>%</w:t>
            </w:r>
          </w:p>
        </w:tc>
        <w:tc>
          <w:tcPr>
            <w:tcW w:w="1417"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4ACFE92B" w14:textId="77777777" w:rsidR="00393404" w:rsidRPr="00393404" w:rsidRDefault="00393404" w:rsidP="00393404">
            <w:pPr>
              <w:spacing w:after="0" w:line="240" w:lineRule="auto"/>
              <w:jc w:val="center"/>
              <w:rPr>
                <w:rFonts w:ascii="Arial" w:eastAsia="Times New Roman" w:hAnsi="Arial" w:cs="Arial"/>
                <w:b/>
                <w:bCs/>
                <w:color w:val="000000"/>
                <w:sz w:val="16"/>
                <w:szCs w:val="16"/>
                <w:lang w:val="es-US" w:eastAsia="es-US"/>
              </w:rPr>
            </w:pPr>
            <w:r w:rsidRPr="00393404">
              <w:rPr>
                <w:rFonts w:ascii="Arial" w:eastAsia="Times New Roman" w:hAnsi="Arial" w:cs="Arial"/>
                <w:b/>
                <w:bCs/>
                <w:color w:val="000000"/>
                <w:sz w:val="16"/>
                <w:szCs w:val="16"/>
                <w:lang w:eastAsia="es-US"/>
              </w:rPr>
              <w:t>Financiamiento Ambiental Forestal</w:t>
            </w:r>
          </w:p>
        </w:tc>
        <w:tc>
          <w:tcPr>
            <w:tcW w:w="85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2530F88E" w14:textId="77777777" w:rsidR="00393404" w:rsidRPr="00393404" w:rsidRDefault="00393404" w:rsidP="00393404">
            <w:pPr>
              <w:spacing w:after="0" w:line="240" w:lineRule="auto"/>
              <w:jc w:val="center"/>
              <w:rPr>
                <w:rFonts w:ascii="Arial" w:eastAsia="Times New Roman" w:hAnsi="Arial" w:cs="Arial"/>
                <w:b/>
                <w:bCs/>
                <w:color w:val="000000"/>
                <w:sz w:val="16"/>
                <w:szCs w:val="16"/>
                <w:lang w:val="es-US" w:eastAsia="es-US"/>
              </w:rPr>
            </w:pPr>
            <w:r w:rsidRPr="00393404">
              <w:rPr>
                <w:rFonts w:ascii="Arial" w:eastAsia="Times New Roman" w:hAnsi="Arial" w:cs="Arial"/>
                <w:b/>
                <w:bCs/>
                <w:color w:val="000000"/>
                <w:sz w:val="16"/>
                <w:szCs w:val="16"/>
                <w:lang w:eastAsia="es-US"/>
              </w:rPr>
              <w:t>%</w:t>
            </w:r>
          </w:p>
        </w:tc>
        <w:tc>
          <w:tcPr>
            <w:tcW w:w="155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62BC2292" w14:textId="77777777" w:rsidR="00393404" w:rsidRPr="00393404" w:rsidRDefault="00393404" w:rsidP="00393404">
            <w:pPr>
              <w:spacing w:after="0" w:line="240" w:lineRule="auto"/>
              <w:jc w:val="center"/>
              <w:rPr>
                <w:rFonts w:ascii="Arial" w:eastAsia="Times New Roman" w:hAnsi="Arial" w:cs="Arial"/>
                <w:b/>
                <w:bCs/>
                <w:color w:val="000000"/>
                <w:sz w:val="16"/>
                <w:szCs w:val="16"/>
                <w:lang w:val="es-US" w:eastAsia="es-US"/>
              </w:rPr>
            </w:pPr>
            <w:r w:rsidRPr="00393404">
              <w:rPr>
                <w:rFonts w:ascii="Arial" w:eastAsia="Times New Roman" w:hAnsi="Arial" w:cs="Arial"/>
                <w:b/>
                <w:bCs/>
                <w:color w:val="000000"/>
                <w:sz w:val="16"/>
                <w:szCs w:val="16"/>
                <w:lang w:eastAsia="es-US"/>
              </w:rPr>
              <w:t>Proyectos Especiales</w:t>
            </w:r>
          </w:p>
        </w:tc>
        <w:tc>
          <w:tcPr>
            <w:tcW w:w="99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668723B6" w14:textId="77777777" w:rsidR="00393404" w:rsidRPr="00393404" w:rsidRDefault="00393404" w:rsidP="00393404">
            <w:pPr>
              <w:spacing w:after="0" w:line="240" w:lineRule="auto"/>
              <w:jc w:val="center"/>
              <w:rPr>
                <w:rFonts w:ascii="Arial" w:eastAsia="Times New Roman" w:hAnsi="Arial" w:cs="Arial"/>
                <w:b/>
                <w:bCs/>
                <w:color w:val="000000"/>
                <w:sz w:val="16"/>
                <w:szCs w:val="16"/>
                <w:lang w:val="es-US" w:eastAsia="es-US"/>
              </w:rPr>
            </w:pPr>
            <w:r w:rsidRPr="00393404">
              <w:rPr>
                <w:rFonts w:ascii="Arial" w:eastAsia="Times New Roman" w:hAnsi="Arial" w:cs="Arial"/>
                <w:b/>
                <w:bCs/>
                <w:color w:val="000000"/>
                <w:sz w:val="16"/>
                <w:szCs w:val="16"/>
                <w:lang w:eastAsia="es-US"/>
              </w:rPr>
              <w:t xml:space="preserve">% </w:t>
            </w:r>
          </w:p>
        </w:tc>
      </w:tr>
      <w:tr w:rsidR="00393404" w:rsidRPr="00393404" w14:paraId="55E444BF" w14:textId="77777777" w:rsidTr="001D2DC6">
        <w:trPr>
          <w:trHeight w:val="300"/>
        </w:trPr>
        <w:tc>
          <w:tcPr>
            <w:tcW w:w="2553" w:type="dxa"/>
            <w:tcBorders>
              <w:top w:val="nil"/>
              <w:left w:val="single" w:sz="8" w:space="0" w:color="auto"/>
              <w:bottom w:val="single" w:sz="4" w:space="0" w:color="auto"/>
              <w:right w:val="single" w:sz="8" w:space="0" w:color="auto"/>
            </w:tcBorders>
            <w:shd w:val="clear" w:color="000000" w:fill="FFFFFF"/>
            <w:noWrap/>
            <w:vAlign w:val="center"/>
            <w:hideMark/>
          </w:tcPr>
          <w:p w14:paraId="53A2F4E2" w14:textId="77777777" w:rsidR="00393404" w:rsidRPr="00393404" w:rsidRDefault="00393404" w:rsidP="00393404">
            <w:pPr>
              <w:spacing w:after="0" w:line="240" w:lineRule="auto"/>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0 Remuneraciones</w:t>
            </w:r>
          </w:p>
        </w:tc>
        <w:tc>
          <w:tcPr>
            <w:tcW w:w="1576" w:type="dxa"/>
            <w:tcBorders>
              <w:top w:val="nil"/>
              <w:left w:val="nil"/>
              <w:bottom w:val="single" w:sz="8" w:space="0" w:color="auto"/>
              <w:right w:val="single" w:sz="8" w:space="0" w:color="auto"/>
            </w:tcBorders>
            <w:shd w:val="clear" w:color="auto" w:fill="auto"/>
            <w:noWrap/>
            <w:vAlign w:val="center"/>
            <w:hideMark/>
          </w:tcPr>
          <w:p w14:paraId="2D997425"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169,144,970 </w:t>
            </w:r>
          </w:p>
        </w:tc>
        <w:tc>
          <w:tcPr>
            <w:tcW w:w="1259" w:type="dxa"/>
            <w:tcBorders>
              <w:top w:val="nil"/>
              <w:left w:val="nil"/>
              <w:bottom w:val="single" w:sz="8" w:space="0" w:color="auto"/>
              <w:right w:val="single" w:sz="8" w:space="0" w:color="auto"/>
            </w:tcBorders>
            <w:shd w:val="clear" w:color="000000" w:fill="FFFFFF"/>
            <w:noWrap/>
            <w:vAlign w:val="center"/>
            <w:hideMark/>
          </w:tcPr>
          <w:p w14:paraId="73097473"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1.24%</w:t>
            </w:r>
          </w:p>
        </w:tc>
        <w:tc>
          <w:tcPr>
            <w:tcW w:w="1417" w:type="dxa"/>
            <w:tcBorders>
              <w:top w:val="nil"/>
              <w:left w:val="nil"/>
              <w:bottom w:val="single" w:sz="8" w:space="0" w:color="auto"/>
              <w:right w:val="single" w:sz="8" w:space="0" w:color="auto"/>
            </w:tcBorders>
            <w:shd w:val="clear" w:color="000000" w:fill="FFFFFF"/>
            <w:noWrap/>
            <w:vAlign w:val="center"/>
            <w:hideMark/>
          </w:tcPr>
          <w:p w14:paraId="4CC544C8"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169,144,970 </w:t>
            </w:r>
          </w:p>
        </w:tc>
        <w:tc>
          <w:tcPr>
            <w:tcW w:w="851" w:type="dxa"/>
            <w:tcBorders>
              <w:top w:val="nil"/>
              <w:left w:val="nil"/>
              <w:bottom w:val="single" w:sz="8" w:space="0" w:color="auto"/>
              <w:right w:val="single" w:sz="8" w:space="0" w:color="auto"/>
            </w:tcBorders>
            <w:shd w:val="clear" w:color="000000" w:fill="FFFFFF"/>
            <w:noWrap/>
            <w:vAlign w:val="center"/>
            <w:hideMark/>
          </w:tcPr>
          <w:p w14:paraId="46EC80CD"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1.26%</w:t>
            </w:r>
          </w:p>
        </w:tc>
        <w:tc>
          <w:tcPr>
            <w:tcW w:w="1559" w:type="dxa"/>
            <w:tcBorders>
              <w:top w:val="nil"/>
              <w:left w:val="nil"/>
              <w:bottom w:val="single" w:sz="8" w:space="0" w:color="auto"/>
              <w:right w:val="single" w:sz="8" w:space="0" w:color="auto"/>
            </w:tcBorders>
            <w:shd w:val="clear" w:color="000000" w:fill="FFFFFF"/>
            <w:noWrap/>
            <w:vAlign w:val="center"/>
            <w:hideMark/>
          </w:tcPr>
          <w:p w14:paraId="7A1611A2"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   </w:t>
            </w:r>
          </w:p>
        </w:tc>
        <w:tc>
          <w:tcPr>
            <w:tcW w:w="992" w:type="dxa"/>
            <w:tcBorders>
              <w:top w:val="nil"/>
              <w:left w:val="nil"/>
              <w:bottom w:val="single" w:sz="8" w:space="0" w:color="auto"/>
              <w:right w:val="single" w:sz="8" w:space="0" w:color="auto"/>
            </w:tcBorders>
            <w:shd w:val="clear" w:color="000000" w:fill="FFFFFF"/>
            <w:noWrap/>
            <w:vAlign w:val="center"/>
            <w:hideMark/>
          </w:tcPr>
          <w:p w14:paraId="3BAF79E6"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0.00%</w:t>
            </w:r>
          </w:p>
        </w:tc>
      </w:tr>
      <w:tr w:rsidR="00393404" w:rsidRPr="00393404" w14:paraId="2A218265" w14:textId="77777777" w:rsidTr="001D2DC6">
        <w:trPr>
          <w:trHeight w:val="300"/>
        </w:trPr>
        <w:tc>
          <w:tcPr>
            <w:tcW w:w="2553" w:type="dxa"/>
            <w:tcBorders>
              <w:top w:val="nil"/>
              <w:left w:val="single" w:sz="8" w:space="0" w:color="auto"/>
              <w:bottom w:val="single" w:sz="4" w:space="0" w:color="auto"/>
              <w:right w:val="single" w:sz="8" w:space="0" w:color="auto"/>
            </w:tcBorders>
            <w:shd w:val="clear" w:color="000000" w:fill="FFFFFF"/>
            <w:noWrap/>
            <w:vAlign w:val="center"/>
            <w:hideMark/>
          </w:tcPr>
          <w:p w14:paraId="312E2536" w14:textId="77777777" w:rsidR="00393404" w:rsidRPr="00393404" w:rsidRDefault="00393404" w:rsidP="00393404">
            <w:pPr>
              <w:spacing w:after="0" w:line="240" w:lineRule="auto"/>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1 Servicios</w:t>
            </w:r>
          </w:p>
        </w:tc>
        <w:tc>
          <w:tcPr>
            <w:tcW w:w="1576" w:type="dxa"/>
            <w:tcBorders>
              <w:top w:val="nil"/>
              <w:left w:val="nil"/>
              <w:bottom w:val="single" w:sz="8" w:space="0" w:color="auto"/>
              <w:right w:val="single" w:sz="8" w:space="0" w:color="auto"/>
            </w:tcBorders>
            <w:shd w:val="clear" w:color="auto" w:fill="auto"/>
            <w:noWrap/>
            <w:vAlign w:val="center"/>
            <w:hideMark/>
          </w:tcPr>
          <w:p w14:paraId="52564994"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111,669,411 </w:t>
            </w:r>
          </w:p>
        </w:tc>
        <w:tc>
          <w:tcPr>
            <w:tcW w:w="1259" w:type="dxa"/>
            <w:tcBorders>
              <w:top w:val="nil"/>
              <w:left w:val="nil"/>
              <w:bottom w:val="single" w:sz="8" w:space="0" w:color="auto"/>
              <w:right w:val="single" w:sz="8" w:space="0" w:color="auto"/>
            </w:tcBorders>
            <w:shd w:val="clear" w:color="000000" w:fill="FFFFFF"/>
            <w:noWrap/>
            <w:vAlign w:val="center"/>
            <w:hideMark/>
          </w:tcPr>
          <w:p w14:paraId="53519F1C"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0.82%</w:t>
            </w:r>
          </w:p>
        </w:tc>
        <w:tc>
          <w:tcPr>
            <w:tcW w:w="1417" w:type="dxa"/>
            <w:tcBorders>
              <w:top w:val="nil"/>
              <w:left w:val="nil"/>
              <w:bottom w:val="single" w:sz="8" w:space="0" w:color="auto"/>
              <w:right w:val="single" w:sz="8" w:space="0" w:color="auto"/>
            </w:tcBorders>
            <w:shd w:val="clear" w:color="000000" w:fill="FFFFFF"/>
            <w:noWrap/>
            <w:vAlign w:val="center"/>
            <w:hideMark/>
          </w:tcPr>
          <w:p w14:paraId="7D51E809"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63,362,123 </w:t>
            </w:r>
          </w:p>
        </w:tc>
        <w:tc>
          <w:tcPr>
            <w:tcW w:w="851" w:type="dxa"/>
            <w:tcBorders>
              <w:top w:val="nil"/>
              <w:left w:val="nil"/>
              <w:bottom w:val="single" w:sz="8" w:space="0" w:color="auto"/>
              <w:right w:val="single" w:sz="8" w:space="0" w:color="auto"/>
            </w:tcBorders>
            <w:shd w:val="clear" w:color="000000" w:fill="FFFFFF"/>
            <w:noWrap/>
            <w:vAlign w:val="center"/>
            <w:hideMark/>
          </w:tcPr>
          <w:p w14:paraId="4A3F8C91"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0.47%</w:t>
            </w:r>
          </w:p>
        </w:tc>
        <w:tc>
          <w:tcPr>
            <w:tcW w:w="1559" w:type="dxa"/>
            <w:tcBorders>
              <w:top w:val="nil"/>
              <w:left w:val="nil"/>
              <w:bottom w:val="single" w:sz="8" w:space="0" w:color="auto"/>
              <w:right w:val="single" w:sz="8" w:space="0" w:color="auto"/>
            </w:tcBorders>
            <w:shd w:val="clear" w:color="000000" w:fill="FFFFFF"/>
            <w:noWrap/>
            <w:vAlign w:val="center"/>
            <w:hideMark/>
          </w:tcPr>
          <w:p w14:paraId="030074B7" w14:textId="4DD4C365"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48,307,288</w:t>
            </w:r>
          </w:p>
        </w:tc>
        <w:tc>
          <w:tcPr>
            <w:tcW w:w="992" w:type="dxa"/>
            <w:tcBorders>
              <w:top w:val="nil"/>
              <w:left w:val="nil"/>
              <w:bottom w:val="single" w:sz="8" w:space="0" w:color="auto"/>
              <w:right w:val="single" w:sz="8" w:space="0" w:color="auto"/>
            </w:tcBorders>
            <w:shd w:val="clear" w:color="000000" w:fill="FFFFFF"/>
            <w:noWrap/>
            <w:vAlign w:val="center"/>
            <w:hideMark/>
          </w:tcPr>
          <w:p w14:paraId="438A4262"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77.00%</w:t>
            </w:r>
          </w:p>
        </w:tc>
      </w:tr>
      <w:tr w:rsidR="00393404" w:rsidRPr="00393404" w14:paraId="4406A293" w14:textId="77777777" w:rsidTr="001D2DC6">
        <w:trPr>
          <w:trHeight w:val="300"/>
        </w:trPr>
        <w:tc>
          <w:tcPr>
            <w:tcW w:w="2553" w:type="dxa"/>
            <w:tcBorders>
              <w:top w:val="nil"/>
              <w:left w:val="single" w:sz="8" w:space="0" w:color="auto"/>
              <w:bottom w:val="single" w:sz="4" w:space="0" w:color="auto"/>
              <w:right w:val="single" w:sz="8" w:space="0" w:color="auto"/>
            </w:tcBorders>
            <w:shd w:val="clear" w:color="000000" w:fill="FFFFFF"/>
            <w:noWrap/>
            <w:vAlign w:val="center"/>
            <w:hideMark/>
          </w:tcPr>
          <w:p w14:paraId="62943089" w14:textId="77777777" w:rsidR="00393404" w:rsidRPr="00393404" w:rsidRDefault="00393404" w:rsidP="00393404">
            <w:pPr>
              <w:spacing w:after="0" w:line="240" w:lineRule="auto"/>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2 Materiales y suministros</w:t>
            </w:r>
          </w:p>
        </w:tc>
        <w:tc>
          <w:tcPr>
            <w:tcW w:w="1576" w:type="dxa"/>
            <w:tcBorders>
              <w:top w:val="nil"/>
              <w:left w:val="nil"/>
              <w:bottom w:val="single" w:sz="8" w:space="0" w:color="auto"/>
              <w:right w:val="single" w:sz="8" w:space="0" w:color="auto"/>
            </w:tcBorders>
            <w:shd w:val="clear" w:color="auto" w:fill="auto"/>
            <w:noWrap/>
            <w:vAlign w:val="center"/>
            <w:hideMark/>
          </w:tcPr>
          <w:p w14:paraId="6A16DB6C"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144,877 </w:t>
            </w:r>
          </w:p>
        </w:tc>
        <w:tc>
          <w:tcPr>
            <w:tcW w:w="1259" w:type="dxa"/>
            <w:tcBorders>
              <w:top w:val="nil"/>
              <w:left w:val="nil"/>
              <w:bottom w:val="single" w:sz="8" w:space="0" w:color="auto"/>
              <w:right w:val="single" w:sz="8" w:space="0" w:color="auto"/>
            </w:tcBorders>
            <w:shd w:val="clear" w:color="000000" w:fill="FFFFFF"/>
            <w:noWrap/>
            <w:vAlign w:val="center"/>
            <w:hideMark/>
          </w:tcPr>
          <w:p w14:paraId="09ECAE68"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0.00%</w:t>
            </w:r>
          </w:p>
        </w:tc>
        <w:tc>
          <w:tcPr>
            <w:tcW w:w="1417" w:type="dxa"/>
            <w:tcBorders>
              <w:top w:val="nil"/>
              <w:left w:val="nil"/>
              <w:bottom w:val="single" w:sz="8" w:space="0" w:color="auto"/>
              <w:right w:val="single" w:sz="8" w:space="0" w:color="auto"/>
            </w:tcBorders>
            <w:shd w:val="clear" w:color="000000" w:fill="FFFFFF"/>
            <w:noWrap/>
            <w:vAlign w:val="center"/>
            <w:hideMark/>
          </w:tcPr>
          <w:p w14:paraId="57EB7C09"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144,877 </w:t>
            </w:r>
          </w:p>
        </w:tc>
        <w:tc>
          <w:tcPr>
            <w:tcW w:w="851" w:type="dxa"/>
            <w:tcBorders>
              <w:top w:val="nil"/>
              <w:left w:val="nil"/>
              <w:bottom w:val="single" w:sz="8" w:space="0" w:color="auto"/>
              <w:right w:val="single" w:sz="8" w:space="0" w:color="auto"/>
            </w:tcBorders>
            <w:shd w:val="clear" w:color="000000" w:fill="FFFFFF"/>
            <w:noWrap/>
            <w:vAlign w:val="center"/>
            <w:hideMark/>
          </w:tcPr>
          <w:p w14:paraId="00023E37"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0.00%</w:t>
            </w:r>
          </w:p>
        </w:tc>
        <w:tc>
          <w:tcPr>
            <w:tcW w:w="1559" w:type="dxa"/>
            <w:tcBorders>
              <w:top w:val="nil"/>
              <w:left w:val="nil"/>
              <w:bottom w:val="single" w:sz="8" w:space="0" w:color="auto"/>
              <w:right w:val="single" w:sz="8" w:space="0" w:color="auto"/>
            </w:tcBorders>
            <w:shd w:val="clear" w:color="000000" w:fill="FFFFFF"/>
            <w:noWrap/>
            <w:vAlign w:val="center"/>
            <w:hideMark/>
          </w:tcPr>
          <w:p w14:paraId="71196865"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   </w:t>
            </w:r>
          </w:p>
        </w:tc>
        <w:tc>
          <w:tcPr>
            <w:tcW w:w="992" w:type="dxa"/>
            <w:tcBorders>
              <w:top w:val="nil"/>
              <w:left w:val="nil"/>
              <w:bottom w:val="single" w:sz="8" w:space="0" w:color="auto"/>
              <w:right w:val="single" w:sz="8" w:space="0" w:color="auto"/>
            </w:tcBorders>
            <w:shd w:val="clear" w:color="000000" w:fill="FFFFFF"/>
            <w:noWrap/>
            <w:vAlign w:val="center"/>
            <w:hideMark/>
          </w:tcPr>
          <w:p w14:paraId="76C6CF2B"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3.00%</w:t>
            </w:r>
          </w:p>
        </w:tc>
      </w:tr>
      <w:tr w:rsidR="00393404" w:rsidRPr="00393404" w14:paraId="1BD2341D" w14:textId="77777777" w:rsidTr="001D2DC6">
        <w:trPr>
          <w:trHeight w:val="300"/>
        </w:trPr>
        <w:tc>
          <w:tcPr>
            <w:tcW w:w="2553" w:type="dxa"/>
            <w:tcBorders>
              <w:top w:val="nil"/>
              <w:left w:val="single" w:sz="8" w:space="0" w:color="auto"/>
              <w:bottom w:val="single" w:sz="4" w:space="0" w:color="auto"/>
              <w:right w:val="single" w:sz="8" w:space="0" w:color="auto"/>
            </w:tcBorders>
            <w:shd w:val="clear" w:color="000000" w:fill="FFFFFF"/>
            <w:noWrap/>
            <w:vAlign w:val="center"/>
            <w:hideMark/>
          </w:tcPr>
          <w:p w14:paraId="4D97C847" w14:textId="77777777" w:rsidR="00393404" w:rsidRPr="00393404" w:rsidRDefault="00393404" w:rsidP="00393404">
            <w:pPr>
              <w:spacing w:after="0" w:line="240" w:lineRule="auto"/>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4 Activos Financieros</w:t>
            </w:r>
          </w:p>
        </w:tc>
        <w:tc>
          <w:tcPr>
            <w:tcW w:w="1576" w:type="dxa"/>
            <w:tcBorders>
              <w:top w:val="nil"/>
              <w:left w:val="nil"/>
              <w:bottom w:val="single" w:sz="8" w:space="0" w:color="auto"/>
              <w:right w:val="single" w:sz="8" w:space="0" w:color="auto"/>
            </w:tcBorders>
            <w:shd w:val="clear" w:color="auto" w:fill="auto"/>
            <w:noWrap/>
            <w:vAlign w:val="center"/>
            <w:hideMark/>
          </w:tcPr>
          <w:p w14:paraId="52EB34B1"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605,505,947 </w:t>
            </w:r>
          </w:p>
        </w:tc>
        <w:tc>
          <w:tcPr>
            <w:tcW w:w="1259" w:type="dxa"/>
            <w:tcBorders>
              <w:top w:val="nil"/>
              <w:left w:val="nil"/>
              <w:bottom w:val="single" w:sz="8" w:space="0" w:color="auto"/>
              <w:right w:val="single" w:sz="8" w:space="0" w:color="auto"/>
            </w:tcBorders>
            <w:shd w:val="clear" w:color="000000" w:fill="FFFFFF"/>
            <w:noWrap/>
            <w:vAlign w:val="center"/>
            <w:hideMark/>
          </w:tcPr>
          <w:p w14:paraId="24514F88"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4.44%</w:t>
            </w:r>
          </w:p>
        </w:tc>
        <w:tc>
          <w:tcPr>
            <w:tcW w:w="1417" w:type="dxa"/>
            <w:tcBorders>
              <w:top w:val="nil"/>
              <w:left w:val="nil"/>
              <w:bottom w:val="single" w:sz="8" w:space="0" w:color="auto"/>
              <w:right w:val="single" w:sz="8" w:space="0" w:color="auto"/>
            </w:tcBorders>
            <w:shd w:val="clear" w:color="000000" w:fill="FFFFFF"/>
            <w:noWrap/>
            <w:vAlign w:val="center"/>
            <w:hideMark/>
          </w:tcPr>
          <w:p w14:paraId="5E64D717"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605,505,947 </w:t>
            </w:r>
          </w:p>
        </w:tc>
        <w:tc>
          <w:tcPr>
            <w:tcW w:w="851" w:type="dxa"/>
            <w:tcBorders>
              <w:top w:val="nil"/>
              <w:left w:val="nil"/>
              <w:bottom w:val="single" w:sz="8" w:space="0" w:color="auto"/>
              <w:right w:val="single" w:sz="8" w:space="0" w:color="auto"/>
            </w:tcBorders>
            <w:shd w:val="clear" w:color="000000" w:fill="FFFFFF"/>
            <w:noWrap/>
            <w:vAlign w:val="center"/>
            <w:hideMark/>
          </w:tcPr>
          <w:p w14:paraId="5D9C8085"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4.52%</w:t>
            </w:r>
          </w:p>
        </w:tc>
        <w:tc>
          <w:tcPr>
            <w:tcW w:w="1559" w:type="dxa"/>
            <w:tcBorders>
              <w:top w:val="nil"/>
              <w:left w:val="nil"/>
              <w:bottom w:val="single" w:sz="8" w:space="0" w:color="auto"/>
              <w:right w:val="single" w:sz="8" w:space="0" w:color="auto"/>
            </w:tcBorders>
            <w:shd w:val="clear" w:color="000000" w:fill="FFFFFF"/>
            <w:noWrap/>
            <w:vAlign w:val="center"/>
            <w:hideMark/>
          </w:tcPr>
          <w:p w14:paraId="57FB4F1F"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   </w:t>
            </w:r>
          </w:p>
        </w:tc>
        <w:tc>
          <w:tcPr>
            <w:tcW w:w="992" w:type="dxa"/>
            <w:tcBorders>
              <w:top w:val="nil"/>
              <w:left w:val="nil"/>
              <w:bottom w:val="single" w:sz="8" w:space="0" w:color="auto"/>
              <w:right w:val="single" w:sz="8" w:space="0" w:color="auto"/>
            </w:tcBorders>
            <w:shd w:val="clear" w:color="000000" w:fill="FFFFFF"/>
            <w:noWrap/>
            <w:vAlign w:val="center"/>
            <w:hideMark/>
          </w:tcPr>
          <w:p w14:paraId="5F174C2D"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0.00%</w:t>
            </w:r>
          </w:p>
        </w:tc>
      </w:tr>
      <w:tr w:rsidR="00393404" w:rsidRPr="00393404" w14:paraId="2750FD07" w14:textId="77777777" w:rsidTr="001D2DC6">
        <w:trPr>
          <w:trHeight w:val="300"/>
        </w:trPr>
        <w:tc>
          <w:tcPr>
            <w:tcW w:w="2553" w:type="dxa"/>
            <w:tcBorders>
              <w:top w:val="nil"/>
              <w:left w:val="single" w:sz="8" w:space="0" w:color="auto"/>
              <w:bottom w:val="single" w:sz="4" w:space="0" w:color="auto"/>
              <w:right w:val="single" w:sz="8" w:space="0" w:color="auto"/>
            </w:tcBorders>
            <w:shd w:val="clear" w:color="000000" w:fill="FFFFFF"/>
            <w:noWrap/>
            <w:vAlign w:val="center"/>
            <w:hideMark/>
          </w:tcPr>
          <w:p w14:paraId="6A26073D" w14:textId="77777777" w:rsidR="00393404" w:rsidRPr="00393404" w:rsidRDefault="00393404" w:rsidP="00393404">
            <w:pPr>
              <w:spacing w:after="0" w:line="240" w:lineRule="auto"/>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6 Transferencias Corrientes</w:t>
            </w:r>
          </w:p>
        </w:tc>
        <w:tc>
          <w:tcPr>
            <w:tcW w:w="1576" w:type="dxa"/>
            <w:tcBorders>
              <w:top w:val="nil"/>
              <w:left w:val="nil"/>
              <w:bottom w:val="single" w:sz="8" w:space="0" w:color="auto"/>
              <w:right w:val="single" w:sz="8" w:space="0" w:color="auto"/>
            </w:tcBorders>
            <w:shd w:val="clear" w:color="auto" w:fill="auto"/>
            <w:noWrap/>
            <w:vAlign w:val="center"/>
            <w:hideMark/>
          </w:tcPr>
          <w:p w14:paraId="4FF08CAC"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176,418,266 </w:t>
            </w:r>
          </w:p>
        </w:tc>
        <w:tc>
          <w:tcPr>
            <w:tcW w:w="1259" w:type="dxa"/>
            <w:tcBorders>
              <w:top w:val="nil"/>
              <w:left w:val="nil"/>
              <w:bottom w:val="single" w:sz="8" w:space="0" w:color="auto"/>
              <w:right w:val="single" w:sz="8" w:space="0" w:color="auto"/>
            </w:tcBorders>
            <w:shd w:val="clear" w:color="000000" w:fill="FFFFFF"/>
            <w:noWrap/>
            <w:vAlign w:val="center"/>
            <w:hideMark/>
          </w:tcPr>
          <w:p w14:paraId="5A517055"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1.29%</w:t>
            </w:r>
          </w:p>
        </w:tc>
        <w:tc>
          <w:tcPr>
            <w:tcW w:w="1417" w:type="dxa"/>
            <w:tcBorders>
              <w:top w:val="nil"/>
              <w:left w:val="nil"/>
              <w:bottom w:val="single" w:sz="8" w:space="0" w:color="auto"/>
              <w:right w:val="single" w:sz="8" w:space="0" w:color="auto"/>
            </w:tcBorders>
            <w:shd w:val="clear" w:color="000000" w:fill="FFFFFF"/>
            <w:noWrap/>
            <w:vAlign w:val="center"/>
            <w:hideMark/>
          </w:tcPr>
          <w:p w14:paraId="014F6285"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3,034,080 </w:t>
            </w:r>
          </w:p>
        </w:tc>
        <w:tc>
          <w:tcPr>
            <w:tcW w:w="851" w:type="dxa"/>
            <w:tcBorders>
              <w:top w:val="nil"/>
              <w:left w:val="nil"/>
              <w:bottom w:val="single" w:sz="8" w:space="0" w:color="auto"/>
              <w:right w:val="single" w:sz="8" w:space="0" w:color="auto"/>
            </w:tcBorders>
            <w:shd w:val="clear" w:color="000000" w:fill="FFFFFF"/>
            <w:noWrap/>
            <w:vAlign w:val="center"/>
            <w:hideMark/>
          </w:tcPr>
          <w:p w14:paraId="5D834289"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0.02%</w:t>
            </w:r>
          </w:p>
        </w:tc>
        <w:tc>
          <w:tcPr>
            <w:tcW w:w="1559" w:type="dxa"/>
            <w:tcBorders>
              <w:top w:val="nil"/>
              <w:left w:val="nil"/>
              <w:bottom w:val="single" w:sz="8" w:space="0" w:color="auto"/>
              <w:right w:val="single" w:sz="8" w:space="0" w:color="auto"/>
            </w:tcBorders>
            <w:shd w:val="clear" w:color="000000" w:fill="FFFFFF"/>
            <w:noWrap/>
            <w:vAlign w:val="center"/>
            <w:hideMark/>
          </w:tcPr>
          <w:p w14:paraId="0F9C60C8" w14:textId="3FB5ABAD"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173,384,18</w:t>
            </w:r>
            <w:r w:rsidR="001D2DC6">
              <w:rPr>
                <w:rFonts w:ascii="Arial" w:eastAsia="Times New Roman" w:hAnsi="Arial" w:cs="Arial"/>
                <w:color w:val="000000"/>
                <w:sz w:val="16"/>
                <w:szCs w:val="16"/>
                <w:lang w:eastAsia="es-US"/>
              </w:rPr>
              <w:t>6</w:t>
            </w:r>
          </w:p>
        </w:tc>
        <w:tc>
          <w:tcPr>
            <w:tcW w:w="992" w:type="dxa"/>
            <w:tcBorders>
              <w:top w:val="nil"/>
              <w:left w:val="nil"/>
              <w:bottom w:val="single" w:sz="8" w:space="0" w:color="auto"/>
              <w:right w:val="single" w:sz="8" w:space="0" w:color="auto"/>
            </w:tcBorders>
            <w:shd w:val="clear" w:color="000000" w:fill="FFFFFF"/>
            <w:noWrap/>
            <w:vAlign w:val="center"/>
            <w:hideMark/>
          </w:tcPr>
          <w:p w14:paraId="7D39A3E1"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18.00%</w:t>
            </w:r>
          </w:p>
        </w:tc>
      </w:tr>
      <w:tr w:rsidR="00393404" w:rsidRPr="00393404" w14:paraId="6B8AF87A" w14:textId="77777777" w:rsidTr="001D2DC6">
        <w:trPr>
          <w:trHeight w:val="300"/>
        </w:trPr>
        <w:tc>
          <w:tcPr>
            <w:tcW w:w="2553" w:type="dxa"/>
            <w:tcBorders>
              <w:top w:val="nil"/>
              <w:left w:val="single" w:sz="8" w:space="0" w:color="auto"/>
              <w:bottom w:val="single" w:sz="4" w:space="0" w:color="auto"/>
              <w:right w:val="single" w:sz="8" w:space="0" w:color="auto"/>
            </w:tcBorders>
            <w:shd w:val="clear" w:color="000000" w:fill="FFFFFF"/>
            <w:noWrap/>
            <w:vAlign w:val="center"/>
            <w:hideMark/>
          </w:tcPr>
          <w:p w14:paraId="6907CCFB" w14:textId="77777777" w:rsidR="00393404" w:rsidRPr="00393404" w:rsidRDefault="00393404" w:rsidP="00393404">
            <w:pPr>
              <w:spacing w:after="0" w:line="240" w:lineRule="auto"/>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7 Transferencias Corrientes</w:t>
            </w:r>
          </w:p>
        </w:tc>
        <w:tc>
          <w:tcPr>
            <w:tcW w:w="1576" w:type="dxa"/>
            <w:tcBorders>
              <w:top w:val="nil"/>
              <w:left w:val="nil"/>
              <w:bottom w:val="single" w:sz="8" w:space="0" w:color="auto"/>
              <w:right w:val="single" w:sz="8" w:space="0" w:color="auto"/>
            </w:tcBorders>
            <w:shd w:val="clear" w:color="auto" w:fill="auto"/>
            <w:noWrap/>
            <w:vAlign w:val="center"/>
            <w:hideMark/>
          </w:tcPr>
          <w:p w14:paraId="6B4FB869"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12,560,321,961 </w:t>
            </w:r>
          </w:p>
        </w:tc>
        <w:tc>
          <w:tcPr>
            <w:tcW w:w="1259" w:type="dxa"/>
            <w:tcBorders>
              <w:top w:val="nil"/>
              <w:left w:val="nil"/>
              <w:bottom w:val="single" w:sz="8" w:space="0" w:color="auto"/>
              <w:right w:val="single" w:sz="8" w:space="0" w:color="auto"/>
            </w:tcBorders>
            <w:shd w:val="clear" w:color="000000" w:fill="FFFFFF"/>
            <w:noWrap/>
            <w:vAlign w:val="center"/>
            <w:hideMark/>
          </w:tcPr>
          <w:p w14:paraId="6C627E51"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92.20%</w:t>
            </w:r>
          </w:p>
        </w:tc>
        <w:tc>
          <w:tcPr>
            <w:tcW w:w="1417" w:type="dxa"/>
            <w:tcBorders>
              <w:top w:val="nil"/>
              <w:left w:val="nil"/>
              <w:bottom w:val="single" w:sz="8" w:space="0" w:color="auto"/>
              <w:right w:val="single" w:sz="8" w:space="0" w:color="auto"/>
            </w:tcBorders>
            <w:shd w:val="clear" w:color="000000" w:fill="FFFFFF"/>
            <w:noWrap/>
            <w:vAlign w:val="center"/>
            <w:hideMark/>
          </w:tcPr>
          <w:p w14:paraId="1994D21A"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12,560,321,961 </w:t>
            </w:r>
          </w:p>
        </w:tc>
        <w:tc>
          <w:tcPr>
            <w:tcW w:w="851" w:type="dxa"/>
            <w:tcBorders>
              <w:top w:val="nil"/>
              <w:left w:val="nil"/>
              <w:bottom w:val="single" w:sz="8" w:space="0" w:color="auto"/>
              <w:right w:val="single" w:sz="8" w:space="0" w:color="auto"/>
            </w:tcBorders>
            <w:shd w:val="clear" w:color="000000" w:fill="FFFFFF"/>
            <w:noWrap/>
            <w:vAlign w:val="center"/>
            <w:hideMark/>
          </w:tcPr>
          <w:p w14:paraId="7D4CFFD7"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93.72%</w:t>
            </w:r>
          </w:p>
        </w:tc>
        <w:tc>
          <w:tcPr>
            <w:tcW w:w="1559" w:type="dxa"/>
            <w:tcBorders>
              <w:top w:val="nil"/>
              <w:left w:val="nil"/>
              <w:bottom w:val="single" w:sz="8" w:space="0" w:color="auto"/>
              <w:right w:val="single" w:sz="8" w:space="0" w:color="auto"/>
            </w:tcBorders>
            <w:shd w:val="clear" w:color="000000" w:fill="FFFFFF"/>
            <w:noWrap/>
            <w:vAlign w:val="center"/>
            <w:hideMark/>
          </w:tcPr>
          <w:p w14:paraId="0DFFD77D"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   </w:t>
            </w:r>
          </w:p>
        </w:tc>
        <w:tc>
          <w:tcPr>
            <w:tcW w:w="992" w:type="dxa"/>
            <w:tcBorders>
              <w:top w:val="nil"/>
              <w:left w:val="nil"/>
              <w:bottom w:val="single" w:sz="8" w:space="0" w:color="auto"/>
              <w:right w:val="single" w:sz="8" w:space="0" w:color="auto"/>
            </w:tcBorders>
            <w:shd w:val="clear" w:color="000000" w:fill="FFFFFF"/>
            <w:noWrap/>
            <w:vAlign w:val="center"/>
            <w:hideMark/>
          </w:tcPr>
          <w:p w14:paraId="2AFA9DF8"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0.00%</w:t>
            </w:r>
          </w:p>
        </w:tc>
      </w:tr>
      <w:tr w:rsidR="00393404" w:rsidRPr="00393404" w14:paraId="53824014" w14:textId="77777777" w:rsidTr="001D2DC6">
        <w:trPr>
          <w:trHeight w:val="300"/>
        </w:trPr>
        <w:tc>
          <w:tcPr>
            <w:tcW w:w="2553" w:type="dxa"/>
            <w:tcBorders>
              <w:top w:val="nil"/>
              <w:left w:val="single" w:sz="8" w:space="0" w:color="auto"/>
              <w:bottom w:val="nil"/>
              <w:right w:val="single" w:sz="8" w:space="0" w:color="auto"/>
            </w:tcBorders>
            <w:shd w:val="clear" w:color="000000" w:fill="FFFFFF"/>
            <w:noWrap/>
            <w:vAlign w:val="center"/>
            <w:hideMark/>
          </w:tcPr>
          <w:p w14:paraId="4D6B41CD" w14:textId="77777777" w:rsidR="00393404" w:rsidRPr="00393404" w:rsidRDefault="00393404" w:rsidP="00393404">
            <w:pPr>
              <w:spacing w:after="0" w:line="240" w:lineRule="auto"/>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9 Cuentas Especiales</w:t>
            </w:r>
          </w:p>
        </w:tc>
        <w:tc>
          <w:tcPr>
            <w:tcW w:w="1576" w:type="dxa"/>
            <w:tcBorders>
              <w:top w:val="nil"/>
              <w:left w:val="nil"/>
              <w:bottom w:val="single" w:sz="8" w:space="0" w:color="auto"/>
              <w:right w:val="single" w:sz="8" w:space="0" w:color="auto"/>
            </w:tcBorders>
            <w:shd w:val="clear" w:color="auto" w:fill="auto"/>
            <w:noWrap/>
            <w:vAlign w:val="center"/>
            <w:hideMark/>
          </w:tcPr>
          <w:p w14:paraId="26C83B74"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   </w:t>
            </w:r>
          </w:p>
        </w:tc>
        <w:tc>
          <w:tcPr>
            <w:tcW w:w="1259" w:type="dxa"/>
            <w:tcBorders>
              <w:top w:val="nil"/>
              <w:left w:val="nil"/>
              <w:bottom w:val="single" w:sz="8" w:space="0" w:color="auto"/>
              <w:right w:val="single" w:sz="8" w:space="0" w:color="auto"/>
            </w:tcBorders>
            <w:shd w:val="clear" w:color="000000" w:fill="FFFFFF"/>
            <w:noWrap/>
            <w:vAlign w:val="center"/>
            <w:hideMark/>
          </w:tcPr>
          <w:p w14:paraId="6A9D8CC8"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0.00%</w:t>
            </w:r>
          </w:p>
        </w:tc>
        <w:tc>
          <w:tcPr>
            <w:tcW w:w="1417" w:type="dxa"/>
            <w:tcBorders>
              <w:top w:val="nil"/>
              <w:left w:val="nil"/>
              <w:bottom w:val="single" w:sz="8" w:space="0" w:color="auto"/>
              <w:right w:val="single" w:sz="8" w:space="0" w:color="auto"/>
            </w:tcBorders>
            <w:shd w:val="clear" w:color="000000" w:fill="FFFFFF"/>
            <w:noWrap/>
            <w:vAlign w:val="center"/>
            <w:hideMark/>
          </w:tcPr>
          <w:p w14:paraId="392EC4F9"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   </w:t>
            </w:r>
          </w:p>
        </w:tc>
        <w:tc>
          <w:tcPr>
            <w:tcW w:w="851" w:type="dxa"/>
            <w:tcBorders>
              <w:top w:val="nil"/>
              <w:left w:val="nil"/>
              <w:bottom w:val="single" w:sz="8" w:space="0" w:color="auto"/>
              <w:right w:val="single" w:sz="8" w:space="0" w:color="auto"/>
            </w:tcBorders>
            <w:shd w:val="clear" w:color="000000" w:fill="FFFFFF"/>
            <w:noWrap/>
            <w:vAlign w:val="center"/>
            <w:hideMark/>
          </w:tcPr>
          <w:p w14:paraId="52476903"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val="es-US" w:eastAsia="es-US"/>
              </w:rPr>
              <w:t>0.00%</w:t>
            </w:r>
          </w:p>
        </w:tc>
        <w:tc>
          <w:tcPr>
            <w:tcW w:w="1559" w:type="dxa"/>
            <w:tcBorders>
              <w:top w:val="nil"/>
              <w:left w:val="nil"/>
              <w:bottom w:val="single" w:sz="8" w:space="0" w:color="auto"/>
              <w:right w:val="single" w:sz="8" w:space="0" w:color="auto"/>
            </w:tcBorders>
            <w:shd w:val="clear" w:color="000000" w:fill="FFFFFF"/>
            <w:noWrap/>
            <w:vAlign w:val="center"/>
            <w:hideMark/>
          </w:tcPr>
          <w:p w14:paraId="189468CA"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 xml:space="preserve">                                   -   </w:t>
            </w:r>
          </w:p>
        </w:tc>
        <w:tc>
          <w:tcPr>
            <w:tcW w:w="992" w:type="dxa"/>
            <w:tcBorders>
              <w:top w:val="nil"/>
              <w:left w:val="nil"/>
              <w:bottom w:val="single" w:sz="8" w:space="0" w:color="auto"/>
              <w:right w:val="single" w:sz="8" w:space="0" w:color="auto"/>
            </w:tcBorders>
            <w:shd w:val="clear" w:color="000000" w:fill="FFFFFF"/>
            <w:noWrap/>
            <w:vAlign w:val="center"/>
            <w:hideMark/>
          </w:tcPr>
          <w:p w14:paraId="1084D8EA" w14:textId="77777777" w:rsidR="00393404" w:rsidRPr="00393404" w:rsidRDefault="00393404" w:rsidP="00393404">
            <w:pPr>
              <w:spacing w:after="0" w:line="240" w:lineRule="auto"/>
              <w:jc w:val="right"/>
              <w:rPr>
                <w:rFonts w:ascii="Arial" w:eastAsia="Times New Roman" w:hAnsi="Arial" w:cs="Arial"/>
                <w:color w:val="000000"/>
                <w:sz w:val="16"/>
                <w:szCs w:val="16"/>
                <w:lang w:val="es-US" w:eastAsia="es-US"/>
              </w:rPr>
            </w:pPr>
            <w:r w:rsidRPr="00393404">
              <w:rPr>
                <w:rFonts w:ascii="Arial" w:eastAsia="Times New Roman" w:hAnsi="Arial" w:cs="Arial"/>
                <w:color w:val="000000"/>
                <w:sz w:val="16"/>
                <w:szCs w:val="16"/>
                <w:lang w:eastAsia="es-US"/>
              </w:rPr>
              <w:t>0.00%</w:t>
            </w:r>
          </w:p>
        </w:tc>
      </w:tr>
      <w:tr w:rsidR="00101172" w:rsidRPr="00393404" w14:paraId="75D494B8" w14:textId="77777777" w:rsidTr="00101172">
        <w:trPr>
          <w:trHeight w:val="300"/>
        </w:trPr>
        <w:tc>
          <w:tcPr>
            <w:tcW w:w="2553" w:type="dxa"/>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14:paraId="46E12C83" w14:textId="77777777" w:rsidR="00393404" w:rsidRPr="00393404" w:rsidRDefault="00393404" w:rsidP="00393404">
            <w:pPr>
              <w:spacing w:after="0" w:line="240" w:lineRule="auto"/>
              <w:jc w:val="center"/>
              <w:rPr>
                <w:rFonts w:ascii="Arial" w:eastAsia="Times New Roman" w:hAnsi="Arial" w:cs="Arial"/>
                <w:b/>
                <w:bCs/>
                <w:color w:val="000000"/>
                <w:sz w:val="16"/>
                <w:szCs w:val="16"/>
                <w:lang w:val="es-US" w:eastAsia="es-US"/>
              </w:rPr>
            </w:pPr>
            <w:r w:rsidRPr="00393404">
              <w:rPr>
                <w:rFonts w:ascii="Arial" w:eastAsia="Times New Roman" w:hAnsi="Arial" w:cs="Arial"/>
                <w:b/>
                <w:bCs/>
                <w:color w:val="000000"/>
                <w:sz w:val="16"/>
                <w:szCs w:val="16"/>
                <w:lang w:eastAsia="es-US"/>
              </w:rPr>
              <w:t> </w:t>
            </w:r>
          </w:p>
        </w:tc>
        <w:tc>
          <w:tcPr>
            <w:tcW w:w="1576" w:type="dxa"/>
            <w:tcBorders>
              <w:top w:val="nil"/>
              <w:left w:val="nil"/>
              <w:bottom w:val="single" w:sz="8" w:space="0" w:color="auto"/>
              <w:right w:val="single" w:sz="8" w:space="0" w:color="auto"/>
            </w:tcBorders>
            <w:shd w:val="clear" w:color="auto" w:fill="D6E3BC" w:themeFill="accent3" w:themeFillTint="66"/>
            <w:noWrap/>
            <w:vAlign w:val="center"/>
            <w:hideMark/>
          </w:tcPr>
          <w:p w14:paraId="477570FC" w14:textId="4898FC10" w:rsidR="00393404" w:rsidRPr="00393404" w:rsidRDefault="00393404" w:rsidP="00393404">
            <w:pPr>
              <w:spacing w:after="0" w:line="240" w:lineRule="auto"/>
              <w:jc w:val="right"/>
              <w:rPr>
                <w:rFonts w:ascii="Arial" w:eastAsia="Times New Roman" w:hAnsi="Arial" w:cs="Arial"/>
                <w:b/>
                <w:bCs/>
                <w:color w:val="000000"/>
                <w:sz w:val="16"/>
                <w:szCs w:val="16"/>
                <w:lang w:val="es-US" w:eastAsia="es-US"/>
              </w:rPr>
            </w:pPr>
            <w:r w:rsidRPr="00393404">
              <w:rPr>
                <w:rFonts w:ascii="Arial" w:eastAsia="Times New Roman" w:hAnsi="Arial" w:cs="Arial"/>
                <w:b/>
                <w:bCs/>
                <w:color w:val="000000"/>
                <w:sz w:val="16"/>
                <w:szCs w:val="16"/>
                <w:lang w:eastAsia="es-US"/>
              </w:rPr>
              <w:t xml:space="preserve">     13,623,205,430 </w:t>
            </w:r>
          </w:p>
        </w:tc>
        <w:tc>
          <w:tcPr>
            <w:tcW w:w="1259" w:type="dxa"/>
            <w:tcBorders>
              <w:top w:val="nil"/>
              <w:left w:val="nil"/>
              <w:bottom w:val="single" w:sz="8" w:space="0" w:color="auto"/>
              <w:right w:val="single" w:sz="8" w:space="0" w:color="auto"/>
            </w:tcBorders>
            <w:shd w:val="clear" w:color="auto" w:fill="D6E3BC" w:themeFill="accent3" w:themeFillTint="66"/>
            <w:noWrap/>
            <w:vAlign w:val="center"/>
            <w:hideMark/>
          </w:tcPr>
          <w:p w14:paraId="7F7C53C0" w14:textId="77777777" w:rsidR="00393404" w:rsidRPr="00393404" w:rsidRDefault="00393404" w:rsidP="00393404">
            <w:pPr>
              <w:spacing w:after="0" w:line="240" w:lineRule="auto"/>
              <w:jc w:val="right"/>
              <w:rPr>
                <w:rFonts w:ascii="Arial" w:eastAsia="Times New Roman" w:hAnsi="Arial" w:cs="Arial"/>
                <w:b/>
                <w:bCs/>
                <w:color w:val="000000"/>
                <w:sz w:val="16"/>
                <w:szCs w:val="16"/>
                <w:lang w:val="es-US" w:eastAsia="es-US"/>
              </w:rPr>
            </w:pPr>
            <w:r w:rsidRPr="00393404">
              <w:rPr>
                <w:rFonts w:ascii="Arial" w:eastAsia="Times New Roman" w:hAnsi="Arial" w:cs="Arial"/>
                <w:b/>
                <w:bCs/>
                <w:color w:val="000000"/>
                <w:sz w:val="16"/>
                <w:szCs w:val="16"/>
                <w:lang w:eastAsia="es-US"/>
              </w:rPr>
              <w:t>100.00%</w:t>
            </w:r>
          </w:p>
        </w:tc>
        <w:tc>
          <w:tcPr>
            <w:tcW w:w="1417" w:type="dxa"/>
            <w:tcBorders>
              <w:top w:val="nil"/>
              <w:left w:val="nil"/>
              <w:bottom w:val="single" w:sz="8" w:space="0" w:color="auto"/>
              <w:right w:val="single" w:sz="8" w:space="0" w:color="auto"/>
            </w:tcBorders>
            <w:shd w:val="clear" w:color="auto" w:fill="D6E3BC" w:themeFill="accent3" w:themeFillTint="66"/>
            <w:noWrap/>
            <w:vAlign w:val="center"/>
            <w:hideMark/>
          </w:tcPr>
          <w:p w14:paraId="5FA5F5A4" w14:textId="64D2AD7E" w:rsidR="00393404" w:rsidRPr="00393404" w:rsidRDefault="00393404" w:rsidP="00393404">
            <w:pPr>
              <w:spacing w:after="0" w:line="240" w:lineRule="auto"/>
              <w:jc w:val="right"/>
              <w:rPr>
                <w:rFonts w:ascii="Arial" w:eastAsia="Times New Roman" w:hAnsi="Arial" w:cs="Arial"/>
                <w:b/>
                <w:bCs/>
                <w:color w:val="000000"/>
                <w:sz w:val="16"/>
                <w:szCs w:val="16"/>
                <w:lang w:val="es-US" w:eastAsia="es-US"/>
              </w:rPr>
            </w:pPr>
            <w:r w:rsidRPr="00393404">
              <w:rPr>
                <w:rFonts w:ascii="Arial" w:eastAsia="Times New Roman" w:hAnsi="Arial" w:cs="Arial"/>
                <w:b/>
                <w:bCs/>
                <w:color w:val="000000"/>
                <w:sz w:val="16"/>
                <w:szCs w:val="16"/>
                <w:lang w:eastAsia="es-US"/>
              </w:rPr>
              <w:t xml:space="preserve">13,401,513,956 </w:t>
            </w:r>
          </w:p>
        </w:tc>
        <w:tc>
          <w:tcPr>
            <w:tcW w:w="851" w:type="dxa"/>
            <w:tcBorders>
              <w:top w:val="nil"/>
              <w:left w:val="nil"/>
              <w:bottom w:val="single" w:sz="8" w:space="0" w:color="auto"/>
              <w:right w:val="single" w:sz="8" w:space="0" w:color="auto"/>
            </w:tcBorders>
            <w:shd w:val="clear" w:color="auto" w:fill="D6E3BC" w:themeFill="accent3" w:themeFillTint="66"/>
            <w:noWrap/>
            <w:vAlign w:val="center"/>
            <w:hideMark/>
          </w:tcPr>
          <w:p w14:paraId="7CCD8F62" w14:textId="77777777" w:rsidR="00393404" w:rsidRPr="00393404" w:rsidRDefault="00393404" w:rsidP="00393404">
            <w:pPr>
              <w:spacing w:after="0" w:line="240" w:lineRule="auto"/>
              <w:jc w:val="right"/>
              <w:rPr>
                <w:rFonts w:ascii="Arial" w:eastAsia="Times New Roman" w:hAnsi="Arial" w:cs="Arial"/>
                <w:b/>
                <w:bCs/>
                <w:color w:val="000000"/>
                <w:sz w:val="16"/>
                <w:szCs w:val="16"/>
                <w:lang w:val="es-US" w:eastAsia="es-US"/>
              </w:rPr>
            </w:pPr>
            <w:r w:rsidRPr="00393404">
              <w:rPr>
                <w:rFonts w:ascii="Arial" w:eastAsia="Times New Roman" w:hAnsi="Arial" w:cs="Arial"/>
                <w:b/>
                <w:bCs/>
                <w:color w:val="000000"/>
                <w:sz w:val="16"/>
                <w:szCs w:val="16"/>
                <w:lang w:eastAsia="es-US"/>
              </w:rPr>
              <w:t>100.00%</w:t>
            </w:r>
          </w:p>
        </w:tc>
        <w:tc>
          <w:tcPr>
            <w:tcW w:w="1559" w:type="dxa"/>
            <w:tcBorders>
              <w:top w:val="nil"/>
              <w:left w:val="nil"/>
              <w:bottom w:val="single" w:sz="8" w:space="0" w:color="auto"/>
              <w:right w:val="single" w:sz="8" w:space="0" w:color="auto"/>
            </w:tcBorders>
            <w:shd w:val="clear" w:color="auto" w:fill="D6E3BC" w:themeFill="accent3" w:themeFillTint="66"/>
            <w:noWrap/>
            <w:vAlign w:val="center"/>
            <w:hideMark/>
          </w:tcPr>
          <w:p w14:paraId="750297A3" w14:textId="4C433409" w:rsidR="00393404" w:rsidRPr="00393404" w:rsidRDefault="00393404" w:rsidP="00393404">
            <w:pPr>
              <w:spacing w:after="0" w:line="240" w:lineRule="auto"/>
              <w:jc w:val="right"/>
              <w:rPr>
                <w:rFonts w:ascii="Arial" w:eastAsia="Times New Roman" w:hAnsi="Arial" w:cs="Arial"/>
                <w:b/>
                <w:bCs/>
                <w:color w:val="000000"/>
                <w:sz w:val="16"/>
                <w:szCs w:val="16"/>
                <w:lang w:val="es-US" w:eastAsia="es-US"/>
              </w:rPr>
            </w:pPr>
            <w:r w:rsidRPr="00393404">
              <w:rPr>
                <w:rFonts w:ascii="Arial" w:eastAsia="Times New Roman" w:hAnsi="Arial" w:cs="Arial"/>
                <w:b/>
                <w:bCs/>
                <w:color w:val="000000"/>
                <w:sz w:val="16"/>
                <w:szCs w:val="16"/>
                <w:lang w:eastAsia="es-US"/>
              </w:rPr>
              <w:t xml:space="preserve">          221,691,474</w:t>
            </w:r>
          </w:p>
        </w:tc>
        <w:tc>
          <w:tcPr>
            <w:tcW w:w="992" w:type="dxa"/>
            <w:tcBorders>
              <w:top w:val="nil"/>
              <w:left w:val="nil"/>
              <w:bottom w:val="single" w:sz="8" w:space="0" w:color="auto"/>
              <w:right w:val="single" w:sz="8" w:space="0" w:color="auto"/>
            </w:tcBorders>
            <w:shd w:val="clear" w:color="auto" w:fill="D6E3BC" w:themeFill="accent3" w:themeFillTint="66"/>
            <w:noWrap/>
            <w:vAlign w:val="center"/>
            <w:hideMark/>
          </w:tcPr>
          <w:p w14:paraId="7F803DEC" w14:textId="77777777" w:rsidR="00393404" w:rsidRPr="00393404" w:rsidRDefault="00393404" w:rsidP="00393404">
            <w:pPr>
              <w:spacing w:after="0" w:line="240" w:lineRule="auto"/>
              <w:jc w:val="right"/>
              <w:rPr>
                <w:rFonts w:ascii="Arial" w:eastAsia="Times New Roman" w:hAnsi="Arial" w:cs="Arial"/>
                <w:b/>
                <w:bCs/>
                <w:color w:val="000000"/>
                <w:sz w:val="16"/>
                <w:szCs w:val="16"/>
                <w:lang w:val="es-US" w:eastAsia="es-US"/>
              </w:rPr>
            </w:pPr>
            <w:r w:rsidRPr="00393404">
              <w:rPr>
                <w:rFonts w:ascii="Arial" w:eastAsia="Times New Roman" w:hAnsi="Arial" w:cs="Arial"/>
                <w:b/>
                <w:bCs/>
                <w:color w:val="000000"/>
                <w:sz w:val="16"/>
                <w:szCs w:val="16"/>
                <w:lang w:eastAsia="es-US"/>
              </w:rPr>
              <w:t>100.00%</w:t>
            </w:r>
          </w:p>
        </w:tc>
      </w:tr>
    </w:tbl>
    <w:p w14:paraId="3B94824B" w14:textId="77777777" w:rsidR="00570522" w:rsidRDefault="00570522" w:rsidP="00C73784">
      <w:pPr>
        <w:spacing w:after="0" w:line="240" w:lineRule="auto"/>
        <w:rPr>
          <w:b/>
          <w:sz w:val="12"/>
          <w:szCs w:val="12"/>
        </w:rPr>
      </w:pPr>
    </w:p>
    <w:p w14:paraId="4B574C11" w14:textId="77777777" w:rsidR="00570522" w:rsidRDefault="00570522" w:rsidP="00C73784">
      <w:pPr>
        <w:spacing w:after="0" w:line="240" w:lineRule="auto"/>
        <w:rPr>
          <w:b/>
          <w:sz w:val="12"/>
          <w:szCs w:val="12"/>
        </w:rPr>
      </w:pPr>
    </w:p>
    <w:p w14:paraId="1173EBA4" w14:textId="77777777" w:rsidR="00570522" w:rsidRDefault="00570522" w:rsidP="00C73784">
      <w:pPr>
        <w:spacing w:after="0" w:line="240" w:lineRule="auto"/>
        <w:rPr>
          <w:b/>
          <w:sz w:val="12"/>
          <w:szCs w:val="12"/>
        </w:rPr>
      </w:pPr>
    </w:p>
    <w:p w14:paraId="2723A994" w14:textId="77777777" w:rsidR="00570522" w:rsidRDefault="00570522" w:rsidP="00C73784">
      <w:pPr>
        <w:spacing w:after="0" w:line="240" w:lineRule="auto"/>
        <w:rPr>
          <w:b/>
          <w:sz w:val="12"/>
          <w:szCs w:val="12"/>
        </w:rPr>
      </w:pPr>
    </w:p>
    <w:p w14:paraId="1E2D5E2F" w14:textId="77777777" w:rsidR="00570522" w:rsidRDefault="00570522" w:rsidP="00C73784">
      <w:pPr>
        <w:spacing w:after="0" w:line="240" w:lineRule="auto"/>
        <w:rPr>
          <w:b/>
          <w:sz w:val="12"/>
          <w:szCs w:val="12"/>
        </w:rPr>
      </w:pPr>
    </w:p>
    <w:p w14:paraId="76C823A1" w14:textId="77777777" w:rsidR="000A2677" w:rsidRPr="00393404" w:rsidRDefault="000A2677" w:rsidP="00C73784">
      <w:pPr>
        <w:spacing w:after="0" w:line="240" w:lineRule="auto"/>
        <w:rPr>
          <w:rFonts w:ascii="Arial" w:hAnsi="Arial" w:cs="Arial"/>
          <w:b/>
          <w:sz w:val="24"/>
          <w:szCs w:val="24"/>
        </w:rPr>
      </w:pPr>
    </w:p>
    <w:p w14:paraId="1BC33A09" w14:textId="734A296A" w:rsidR="0006122B" w:rsidRPr="00393404" w:rsidRDefault="00393404" w:rsidP="0024323E">
      <w:pPr>
        <w:spacing w:after="0" w:line="240" w:lineRule="auto"/>
        <w:jc w:val="both"/>
        <w:rPr>
          <w:rFonts w:ascii="Arial" w:hAnsi="Arial" w:cs="Arial"/>
          <w:bCs/>
          <w:sz w:val="24"/>
          <w:szCs w:val="24"/>
        </w:rPr>
      </w:pPr>
      <w:r w:rsidRPr="00393404">
        <w:rPr>
          <w:rFonts w:ascii="Arial" w:hAnsi="Arial" w:cs="Arial"/>
          <w:bCs/>
          <w:sz w:val="24"/>
          <w:szCs w:val="24"/>
        </w:rPr>
        <w:t>Como</w:t>
      </w:r>
      <w:r w:rsidR="001D2DC6">
        <w:rPr>
          <w:rFonts w:ascii="Arial" w:hAnsi="Arial" w:cs="Arial"/>
          <w:bCs/>
          <w:sz w:val="24"/>
          <w:szCs w:val="24"/>
        </w:rPr>
        <w:t xml:space="preserve"> se muestra en el cuadro anterior, se cuenta con dos programas presupuestarios, el programa Financiamiento Ambiental Forestal en el cual se ejecutó la suma de ¢13.401.513.956 y el programa Proyectos Especiales, en el cual se ejecutó la suma de ¢221.691.474.</w:t>
      </w:r>
    </w:p>
    <w:p w14:paraId="2B961DB3" w14:textId="77777777" w:rsidR="0006122B" w:rsidRDefault="0006122B" w:rsidP="0024323E">
      <w:pPr>
        <w:spacing w:after="0" w:line="240" w:lineRule="auto"/>
        <w:jc w:val="both"/>
        <w:rPr>
          <w:b/>
          <w:sz w:val="12"/>
          <w:szCs w:val="12"/>
        </w:rPr>
      </w:pPr>
    </w:p>
    <w:p w14:paraId="38FE18DF" w14:textId="77777777" w:rsidR="0006122B" w:rsidRDefault="0006122B" w:rsidP="0024323E">
      <w:pPr>
        <w:spacing w:after="0" w:line="240" w:lineRule="auto"/>
        <w:jc w:val="both"/>
        <w:rPr>
          <w:b/>
          <w:sz w:val="12"/>
          <w:szCs w:val="12"/>
        </w:rPr>
      </w:pPr>
    </w:p>
    <w:p w14:paraId="070CE960" w14:textId="77777777" w:rsidR="0006122B" w:rsidRDefault="0006122B" w:rsidP="00C73784">
      <w:pPr>
        <w:spacing w:after="0" w:line="240" w:lineRule="auto"/>
        <w:rPr>
          <w:b/>
          <w:sz w:val="12"/>
          <w:szCs w:val="12"/>
        </w:rPr>
      </w:pPr>
    </w:p>
    <w:p w14:paraId="1561AA7F" w14:textId="77777777" w:rsidR="000A2677" w:rsidRDefault="000A2677" w:rsidP="00C73784">
      <w:pPr>
        <w:spacing w:after="0" w:line="240" w:lineRule="auto"/>
        <w:rPr>
          <w:b/>
          <w:sz w:val="12"/>
          <w:szCs w:val="12"/>
        </w:rPr>
      </w:pPr>
    </w:p>
    <w:p w14:paraId="5ED67A77" w14:textId="77777777" w:rsidR="000A2677" w:rsidRDefault="000A2677" w:rsidP="00C73784">
      <w:pPr>
        <w:spacing w:after="0" w:line="240" w:lineRule="auto"/>
        <w:rPr>
          <w:b/>
          <w:sz w:val="12"/>
          <w:szCs w:val="12"/>
        </w:rPr>
      </w:pPr>
    </w:p>
    <w:p w14:paraId="65250723" w14:textId="77777777" w:rsidR="000A2677" w:rsidRDefault="000A2677" w:rsidP="00C73784">
      <w:pPr>
        <w:spacing w:after="0" w:line="240" w:lineRule="auto"/>
        <w:rPr>
          <w:b/>
          <w:sz w:val="12"/>
          <w:szCs w:val="12"/>
        </w:rPr>
      </w:pPr>
    </w:p>
    <w:p w14:paraId="588FB6BC" w14:textId="77777777" w:rsidR="000A2677" w:rsidRDefault="000A2677" w:rsidP="00C73784">
      <w:pPr>
        <w:spacing w:after="0" w:line="240" w:lineRule="auto"/>
        <w:rPr>
          <w:b/>
          <w:sz w:val="12"/>
          <w:szCs w:val="12"/>
        </w:rPr>
      </w:pPr>
    </w:p>
    <w:p w14:paraId="1C622F27" w14:textId="77777777" w:rsidR="000A2677" w:rsidRDefault="000A2677" w:rsidP="00C73784">
      <w:pPr>
        <w:spacing w:after="0" w:line="240" w:lineRule="auto"/>
        <w:rPr>
          <w:b/>
          <w:sz w:val="12"/>
          <w:szCs w:val="12"/>
        </w:rPr>
      </w:pPr>
    </w:p>
    <w:p w14:paraId="7DB7B15F" w14:textId="77777777" w:rsidR="000A2677" w:rsidRDefault="000A2677" w:rsidP="00C73784">
      <w:pPr>
        <w:spacing w:after="0" w:line="240" w:lineRule="auto"/>
        <w:rPr>
          <w:b/>
          <w:sz w:val="12"/>
          <w:szCs w:val="12"/>
        </w:rPr>
      </w:pPr>
    </w:p>
    <w:p w14:paraId="0B1C9149" w14:textId="77777777" w:rsidR="000A2677" w:rsidRDefault="000A2677" w:rsidP="00C73784">
      <w:pPr>
        <w:spacing w:after="0" w:line="240" w:lineRule="auto"/>
        <w:rPr>
          <w:b/>
          <w:sz w:val="12"/>
          <w:szCs w:val="12"/>
        </w:rPr>
      </w:pPr>
    </w:p>
    <w:p w14:paraId="61FE5617" w14:textId="77777777" w:rsidR="000A2677" w:rsidRDefault="000A2677" w:rsidP="00C73784">
      <w:pPr>
        <w:spacing w:after="0" w:line="240" w:lineRule="auto"/>
        <w:rPr>
          <w:b/>
          <w:sz w:val="12"/>
          <w:szCs w:val="12"/>
        </w:rPr>
      </w:pPr>
    </w:p>
    <w:p w14:paraId="75398F83" w14:textId="77777777" w:rsidR="000A2677" w:rsidRDefault="000A2677" w:rsidP="00C73784">
      <w:pPr>
        <w:spacing w:after="0" w:line="240" w:lineRule="auto"/>
        <w:rPr>
          <w:b/>
          <w:sz w:val="12"/>
          <w:szCs w:val="12"/>
        </w:rPr>
      </w:pPr>
    </w:p>
    <w:p w14:paraId="3C4388A8" w14:textId="77777777" w:rsidR="00570522" w:rsidRDefault="00570522" w:rsidP="00C73784">
      <w:pPr>
        <w:spacing w:after="0" w:line="240" w:lineRule="auto"/>
        <w:rPr>
          <w:b/>
          <w:sz w:val="12"/>
          <w:szCs w:val="12"/>
        </w:rPr>
      </w:pPr>
    </w:p>
    <w:p w14:paraId="05DE5673" w14:textId="77777777" w:rsidR="00570522" w:rsidRDefault="00570522" w:rsidP="00C73784">
      <w:pPr>
        <w:spacing w:after="0" w:line="240" w:lineRule="auto"/>
        <w:rPr>
          <w:b/>
          <w:sz w:val="12"/>
          <w:szCs w:val="12"/>
        </w:rPr>
      </w:pPr>
    </w:p>
    <w:p w14:paraId="3DA71CD8" w14:textId="77777777" w:rsidR="00570522" w:rsidRDefault="00570522" w:rsidP="00C73784">
      <w:pPr>
        <w:spacing w:after="0" w:line="240" w:lineRule="auto"/>
        <w:rPr>
          <w:b/>
          <w:sz w:val="12"/>
          <w:szCs w:val="12"/>
        </w:rPr>
      </w:pPr>
    </w:p>
    <w:p w14:paraId="4F0A649B" w14:textId="77777777" w:rsidR="00570522" w:rsidRDefault="00570522" w:rsidP="00C73784">
      <w:pPr>
        <w:spacing w:after="0" w:line="240" w:lineRule="auto"/>
        <w:rPr>
          <w:b/>
          <w:sz w:val="12"/>
          <w:szCs w:val="12"/>
        </w:rPr>
      </w:pPr>
    </w:p>
    <w:p w14:paraId="5CC27BDA" w14:textId="77777777" w:rsidR="00570522" w:rsidRDefault="00570522" w:rsidP="00C73784">
      <w:pPr>
        <w:spacing w:after="0" w:line="240" w:lineRule="auto"/>
        <w:rPr>
          <w:b/>
          <w:sz w:val="12"/>
          <w:szCs w:val="12"/>
        </w:rPr>
      </w:pPr>
    </w:p>
    <w:p w14:paraId="2C164977" w14:textId="77777777" w:rsidR="00570522" w:rsidRDefault="00570522" w:rsidP="00C73784">
      <w:pPr>
        <w:spacing w:after="0" w:line="240" w:lineRule="auto"/>
        <w:rPr>
          <w:b/>
          <w:sz w:val="12"/>
          <w:szCs w:val="12"/>
        </w:rPr>
      </w:pPr>
    </w:p>
    <w:p w14:paraId="6E0D29F4" w14:textId="77777777" w:rsidR="00570522" w:rsidRDefault="00570522" w:rsidP="00C73784">
      <w:pPr>
        <w:spacing w:after="0" w:line="240" w:lineRule="auto"/>
        <w:rPr>
          <w:b/>
          <w:sz w:val="12"/>
          <w:szCs w:val="12"/>
        </w:rPr>
      </w:pPr>
    </w:p>
    <w:p w14:paraId="0A0F59AC" w14:textId="77777777" w:rsidR="00570522" w:rsidRDefault="00570522" w:rsidP="00C73784">
      <w:pPr>
        <w:spacing w:after="0" w:line="240" w:lineRule="auto"/>
        <w:rPr>
          <w:b/>
          <w:sz w:val="12"/>
          <w:szCs w:val="12"/>
        </w:rPr>
      </w:pPr>
    </w:p>
    <w:p w14:paraId="09EFE1D8" w14:textId="77777777" w:rsidR="00570522" w:rsidRDefault="00570522" w:rsidP="00C73784">
      <w:pPr>
        <w:spacing w:after="0" w:line="240" w:lineRule="auto"/>
        <w:rPr>
          <w:b/>
          <w:sz w:val="12"/>
          <w:szCs w:val="12"/>
        </w:rPr>
      </w:pPr>
    </w:p>
    <w:p w14:paraId="52B7E473" w14:textId="77777777" w:rsidR="002F2F16" w:rsidRDefault="002F2F16" w:rsidP="00C73784">
      <w:pPr>
        <w:spacing w:after="0" w:line="240" w:lineRule="auto"/>
        <w:rPr>
          <w:b/>
          <w:sz w:val="12"/>
          <w:szCs w:val="12"/>
        </w:rPr>
      </w:pPr>
    </w:p>
    <w:p w14:paraId="73C3E677" w14:textId="77777777" w:rsidR="00570522" w:rsidRDefault="00570522" w:rsidP="00C73784">
      <w:pPr>
        <w:spacing w:after="0" w:line="240" w:lineRule="auto"/>
        <w:rPr>
          <w:b/>
          <w:sz w:val="12"/>
          <w:szCs w:val="12"/>
        </w:rPr>
      </w:pPr>
    </w:p>
    <w:p w14:paraId="3D6D6981" w14:textId="77777777" w:rsidR="00570522" w:rsidRDefault="00570522" w:rsidP="00C73784">
      <w:pPr>
        <w:spacing w:after="0" w:line="240" w:lineRule="auto"/>
        <w:rPr>
          <w:b/>
          <w:sz w:val="12"/>
          <w:szCs w:val="12"/>
        </w:rPr>
      </w:pPr>
    </w:p>
    <w:p w14:paraId="29754086" w14:textId="77777777" w:rsidR="00570522" w:rsidRDefault="00570522" w:rsidP="00C73784">
      <w:pPr>
        <w:spacing w:after="0" w:line="240" w:lineRule="auto"/>
        <w:rPr>
          <w:b/>
          <w:sz w:val="12"/>
          <w:szCs w:val="12"/>
        </w:rPr>
      </w:pPr>
    </w:p>
    <w:p w14:paraId="1239132C" w14:textId="77777777" w:rsidR="00380DA2" w:rsidRDefault="00380DA2" w:rsidP="00C73784">
      <w:pPr>
        <w:spacing w:after="0" w:line="240" w:lineRule="auto"/>
        <w:rPr>
          <w:b/>
          <w:sz w:val="12"/>
          <w:szCs w:val="12"/>
        </w:rPr>
      </w:pPr>
    </w:p>
    <w:p w14:paraId="32A14531" w14:textId="77777777" w:rsidR="00380DA2" w:rsidRDefault="00380DA2" w:rsidP="00C73784">
      <w:pPr>
        <w:spacing w:after="0" w:line="240" w:lineRule="auto"/>
        <w:rPr>
          <w:b/>
          <w:sz w:val="12"/>
          <w:szCs w:val="12"/>
        </w:rPr>
      </w:pPr>
    </w:p>
    <w:p w14:paraId="6FE84A34" w14:textId="77777777" w:rsidR="00380DA2" w:rsidRDefault="00380DA2" w:rsidP="00C73784">
      <w:pPr>
        <w:spacing w:after="0" w:line="240" w:lineRule="auto"/>
        <w:rPr>
          <w:b/>
          <w:sz w:val="12"/>
          <w:szCs w:val="12"/>
        </w:rPr>
      </w:pPr>
    </w:p>
    <w:p w14:paraId="3D73B230" w14:textId="77777777" w:rsidR="00380DA2" w:rsidRDefault="00380DA2" w:rsidP="00C73784">
      <w:pPr>
        <w:spacing w:after="0" w:line="240" w:lineRule="auto"/>
        <w:rPr>
          <w:b/>
          <w:sz w:val="12"/>
          <w:szCs w:val="12"/>
        </w:rPr>
      </w:pPr>
    </w:p>
    <w:p w14:paraId="1A87BAAD" w14:textId="77777777" w:rsidR="00380DA2" w:rsidRDefault="00380DA2" w:rsidP="00C73784">
      <w:pPr>
        <w:spacing w:after="0" w:line="240" w:lineRule="auto"/>
        <w:rPr>
          <w:b/>
          <w:sz w:val="12"/>
          <w:szCs w:val="12"/>
        </w:rPr>
      </w:pPr>
    </w:p>
    <w:p w14:paraId="6988939F" w14:textId="77777777" w:rsidR="00570522" w:rsidRDefault="00570522" w:rsidP="00C73784">
      <w:pPr>
        <w:spacing w:after="0" w:line="240" w:lineRule="auto"/>
        <w:rPr>
          <w:b/>
          <w:sz w:val="12"/>
          <w:szCs w:val="12"/>
        </w:rPr>
      </w:pPr>
    </w:p>
    <w:p w14:paraId="379422E0" w14:textId="77777777" w:rsidR="00570522" w:rsidRDefault="00570522" w:rsidP="00C73784">
      <w:pPr>
        <w:spacing w:after="0" w:line="240" w:lineRule="auto"/>
        <w:rPr>
          <w:b/>
          <w:sz w:val="12"/>
          <w:szCs w:val="12"/>
        </w:rPr>
      </w:pPr>
    </w:p>
    <w:p w14:paraId="490AC0F1" w14:textId="77777777" w:rsidR="00570522" w:rsidRDefault="00570522" w:rsidP="00C73784">
      <w:pPr>
        <w:spacing w:after="0" w:line="240" w:lineRule="auto"/>
        <w:rPr>
          <w:b/>
          <w:sz w:val="12"/>
          <w:szCs w:val="12"/>
        </w:rPr>
      </w:pPr>
    </w:p>
    <w:p w14:paraId="3C98C806" w14:textId="77777777" w:rsidR="00570522" w:rsidRPr="00EA54FE" w:rsidRDefault="00570522" w:rsidP="00D5596F">
      <w:pPr>
        <w:pStyle w:val="Prrafodelista"/>
        <w:numPr>
          <w:ilvl w:val="0"/>
          <w:numId w:val="4"/>
        </w:numPr>
        <w:spacing w:after="0" w:line="240" w:lineRule="auto"/>
        <w:outlineLvl w:val="1"/>
        <w:rPr>
          <w:rFonts w:ascii="Arial" w:hAnsi="Arial" w:cs="Arial"/>
          <w:b/>
        </w:rPr>
      </w:pPr>
      <w:bookmarkStart w:id="22" w:name="_Toc94522222"/>
      <w:r w:rsidRPr="00EA54FE">
        <w:rPr>
          <w:rFonts w:ascii="Arial" w:hAnsi="Arial" w:cs="Arial"/>
          <w:b/>
        </w:rPr>
        <w:t>LIQUIDACION PRESUPUESTARIA</w:t>
      </w:r>
      <w:bookmarkEnd w:id="22"/>
    </w:p>
    <w:p w14:paraId="4C3E6C4A" w14:textId="77777777" w:rsidR="00570522" w:rsidRPr="00EA54FE" w:rsidRDefault="00570522" w:rsidP="00570522">
      <w:pPr>
        <w:pStyle w:val="Prrafodelista"/>
        <w:spacing w:after="0" w:line="240" w:lineRule="auto"/>
        <w:rPr>
          <w:rFonts w:ascii="Arial" w:hAnsi="Arial" w:cs="Arial"/>
          <w:b/>
        </w:rPr>
      </w:pPr>
    </w:p>
    <w:p w14:paraId="11CD321F" w14:textId="77777777" w:rsidR="00570522" w:rsidRPr="00EA54FE" w:rsidRDefault="00570522" w:rsidP="00570522">
      <w:pPr>
        <w:spacing w:after="0" w:line="240" w:lineRule="auto"/>
        <w:rPr>
          <w:rFonts w:ascii="Arial" w:hAnsi="Arial" w:cs="Arial"/>
        </w:rPr>
      </w:pPr>
    </w:p>
    <w:p w14:paraId="08087D92" w14:textId="63C59A15" w:rsidR="00EF41CA" w:rsidRDefault="00570522" w:rsidP="00570522">
      <w:pPr>
        <w:spacing w:after="0" w:line="240" w:lineRule="auto"/>
        <w:jc w:val="both"/>
        <w:rPr>
          <w:rFonts w:ascii="Arial" w:hAnsi="Arial" w:cs="Arial"/>
        </w:rPr>
      </w:pPr>
      <w:r w:rsidRPr="00EA54FE">
        <w:rPr>
          <w:rFonts w:ascii="Arial" w:hAnsi="Arial" w:cs="Arial"/>
        </w:rPr>
        <w:t xml:space="preserve">En el siguiente cuadro se resume el resultado de la ejecución presupuestaria del Fideicomiso 544 FONAFIFO/BNCR </w:t>
      </w:r>
      <w:r w:rsidR="00380DA2" w:rsidRPr="00EA54FE">
        <w:rPr>
          <w:rFonts w:ascii="Arial" w:hAnsi="Arial" w:cs="Arial"/>
        </w:rPr>
        <w:t>del p</w:t>
      </w:r>
      <w:r w:rsidR="0006122B">
        <w:rPr>
          <w:rFonts w:ascii="Arial" w:hAnsi="Arial" w:cs="Arial"/>
        </w:rPr>
        <w:t>eriodo</w:t>
      </w:r>
      <w:r w:rsidR="00380DA2" w:rsidRPr="00EA54FE">
        <w:rPr>
          <w:rFonts w:ascii="Arial" w:hAnsi="Arial" w:cs="Arial"/>
        </w:rPr>
        <w:t xml:space="preserve"> 20</w:t>
      </w:r>
      <w:r w:rsidR="00F32309">
        <w:rPr>
          <w:rFonts w:ascii="Arial" w:hAnsi="Arial" w:cs="Arial"/>
        </w:rPr>
        <w:t>2</w:t>
      </w:r>
      <w:r w:rsidR="00017D28">
        <w:rPr>
          <w:rFonts w:ascii="Arial" w:hAnsi="Arial" w:cs="Arial"/>
        </w:rPr>
        <w:t>1</w:t>
      </w:r>
      <w:r w:rsidR="00380DA2" w:rsidRPr="00EA54FE">
        <w:rPr>
          <w:rFonts w:ascii="Arial" w:hAnsi="Arial" w:cs="Arial"/>
        </w:rPr>
        <w:t xml:space="preserve">: </w:t>
      </w:r>
    </w:p>
    <w:p w14:paraId="48C60741" w14:textId="77777777" w:rsidR="00EA54FE" w:rsidRPr="00EA54FE" w:rsidRDefault="00EA54FE" w:rsidP="00570522">
      <w:pPr>
        <w:spacing w:after="0" w:line="240" w:lineRule="auto"/>
        <w:jc w:val="both"/>
        <w:rPr>
          <w:rFonts w:ascii="Arial" w:hAnsi="Arial" w:cs="Arial"/>
        </w:rPr>
      </w:pPr>
    </w:p>
    <w:tbl>
      <w:tblPr>
        <w:tblW w:w="7360" w:type="dxa"/>
        <w:jc w:val="center"/>
        <w:tblCellMar>
          <w:left w:w="70" w:type="dxa"/>
          <w:right w:w="70" w:type="dxa"/>
        </w:tblCellMar>
        <w:tblLook w:val="04A0" w:firstRow="1" w:lastRow="0" w:firstColumn="1" w:lastColumn="0" w:noHBand="0" w:noVBand="1"/>
      </w:tblPr>
      <w:tblGrid>
        <w:gridCol w:w="3755"/>
        <w:gridCol w:w="185"/>
        <w:gridCol w:w="3502"/>
      </w:tblGrid>
      <w:tr w:rsidR="00017D28" w:rsidRPr="00017D28" w14:paraId="2697960D" w14:textId="77777777" w:rsidTr="00101172">
        <w:trPr>
          <w:trHeight w:val="300"/>
          <w:jc w:val="center"/>
        </w:trPr>
        <w:tc>
          <w:tcPr>
            <w:tcW w:w="7360" w:type="dxa"/>
            <w:gridSpan w:val="3"/>
            <w:tcBorders>
              <w:top w:val="single" w:sz="8" w:space="0" w:color="auto"/>
              <w:left w:val="single" w:sz="8" w:space="0" w:color="auto"/>
              <w:bottom w:val="nil"/>
              <w:right w:val="single" w:sz="8" w:space="0" w:color="000000"/>
            </w:tcBorders>
            <w:shd w:val="clear" w:color="auto" w:fill="D6E3BC" w:themeFill="accent3" w:themeFillTint="66"/>
            <w:vAlign w:val="center"/>
            <w:hideMark/>
          </w:tcPr>
          <w:p w14:paraId="274BEB88" w14:textId="77777777" w:rsidR="00017D28" w:rsidRPr="00017D28" w:rsidRDefault="00017D28" w:rsidP="00017D28">
            <w:pPr>
              <w:spacing w:after="0" w:line="240" w:lineRule="auto"/>
              <w:jc w:val="center"/>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Fondo Nacional de Financiamiento Forestal</w:t>
            </w:r>
          </w:p>
        </w:tc>
      </w:tr>
      <w:tr w:rsidR="00017D28" w:rsidRPr="00017D28" w14:paraId="40570176" w14:textId="77777777" w:rsidTr="00101172">
        <w:trPr>
          <w:trHeight w:val="300"/>
          <w:jc w:val="center"/>
        </w:trPr>
        <w:tc>
          <w:tcPr>
            <w:tcW w:w="7360" w:type="dxa"/>
            <w:gridSpan w:val="3"/>
            <w:tcBorders>
              <w:top w:val="nil"/>
              <w:left w:val="single" w:sz="8" w:space="0" w:color="auto"/>
              <w:bottom w:val="nil"/>
              <w:right w:val="single" w:sz="8" w:space="0" w:color="000000"/>
            </w:tcBorders>
            <w:shd w:val="clear" w:color="auto" w:fill="D6E3BC" w:themeFill="accent3" w:themeFillTint="66"/>
            <w:vAlign w:val="center"/>
            <w:hideMark/>
          </w:tcPr>
          <w:p w14:paraId="20643BCE" w14:textId="77777777" w:rsidR="00017D28" w:rsidRPr="00017D28" w:rsidRDefault="00017D28" w:rsidP="00017D28">
            <w:pPr>
              <w:spacing w:after="0" w:line="240" w:lineRule="auto"/>
              <w:jc w:val="center"/>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Fideicomiso 544 FONAFIFO/BNCR</w:t>
            </w:r>
          </w:p>
        </w:tc>
      </w:tr>
      <w:tr w:rsidR="00017D28" w:rsidRPr="00017D28" w14:paraId="7D597877" w14:textId="77777777" w:rsidTr="00101172">
        <w:trPr>
          <w:trHeight w:val="300"/>
          <w:jc w:val="center"/>
        </w:trPr>
        <w:tc>
          <w:tcPr>
            <w:tcW w:w="7360" w:type="dxa"/>
            <w:gridSpan w:val="3"/>
            <w:tcBorders>
              <w:top w:val="nil"/>
              <w:left w:val="single" w:sz="8" w:space="0" w:color="auto"/>
              <w:bottom w:val="single" w:sz="8" w:space="0" w:color="auto"/>
              <w:right w:val="single" w:sz="8" w:space="0" w:color="000000"/>
            </w:tcBorders>
            <w:shd w:val="clear" w:color="auto" w:fill="D6E3BC" w:themeFill="accent3" w:themeFillTint="66"/>
            <w:vAlign w:val="center"/>
            <w:hideMark/>
          </w:tcPr>
          <w:p w14:paraId="64DFEB79" w14:textId="77777777" w:rsidR="00017D28" w:rsidRPr="00017D28" w:rsidRDefault="00017D28" w:rsidP="00017D28">
            <w:pPr>
              <w:spacing w:after="0" w:line="240" w:lineRule="auto"/>
              <w:jc w:val="center"/>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(expresado en colones)</w:t>
            </w:r>
          </w:p>
        </w:tc>
      </w:tr>
      <w:tr w:rsidR="00017D28" w:rsidRPr="00017D28" w14:paraId="08253FE7" w14:textId="77777777" w:rsidTr="00101172">
        <w:trPr>
          <w:trHeight w:val="300"/>
          <w:jc w:val="center"/>
        </w:trPr>
        <w:tc>
          <w:tcPr>
            <w:tcW w:w="7360" w:type="dxa"/>
            <w:gridSpan w:val="3"/>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6C6F6291" w14:textId="77777777" w:rsidR="00017D28" w:rsidRPr="00017D28" w:rsidRDefault="00017D28" w:rsidP="00017D28">
            <w:pPr>
              <w:spacing w:after="0" w:line="240" w:lineRule="auto"/>
              <w:jc w:val="center"/>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Liquidación Presupuestaria  al 31 de diciembre del 2021</w:t>
            </w:r>
          </w:p>
        </w:tc>
      </w:tr>
      <w:tr w:rsidR="00017D28" w:rsidRPr="00017D28" w14:paraId="33F5E246" w14:textId="77777777" w:rsidTr="00017D28">
        <w:trPr>
          <w:trHeight w:val="288"/>
          <w:jc w:val="center"/>
        </w:trPr>
        <w:tc>
          <w:tcPr>
            <w:tcW w:w="3755" w:type="dxa"/>
            <w:tcBorders>
              <w:top w:val="nil"/>
              <w:left w:val="single" w:sz="8" w:space="0" w:color="auto"/>
              <w:bottom w:val="nil"/>
              <w:right w:val="nil"/>
            </w:tcBorders>
            <w:shd w:val="clear" w:color="000000" w:fill="FFFFFF"/>
            <w:noWrap/>
            <w:vAlign w:val="center"/>
            <w:hideMark/>
          </w:tcPr>
          <w:p w14:paraId="181131B3" w14:textId="77777777" w:rsidR="00017D28" w:rsidRPr="00017D28" w:rsidRDefault="00017D28" w:rsidP="00017D28">
            <w:pPr>
              <w:spacing w:after="0" w:line="240" w:lineRule="auto"/>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Ingresos Presupuestados</w:t>
            </w:r>
          </w:p>
        </w:tc>
        <w:tc>
          <w:tcPr>
            <w:tcW w:w="103" w:type="dxa"/>
            <w:tcBorders>
              <w:top w:val="nil"/>
              <w:left w:val="single" w:sz="8" w:space="0" w:color="auto"/>
              <w:bottom w:val="nil"/>
              <w:right w:val="single" w:sz="8" w:space="0" w:color="auto"/>
            </w:tcBorders>
            <w:shd w:val="clear" w:color="000000" w:fill="FFFFFF"/>
            <w:noWrap/>
            <w:vAlign w:val="center"/>
            <w:hideMark/>
          </w:tcPr>
          <w:p w14:paraId="66AC5D04" w14:textId="77777777" w:rsidR="00017D28" w:rsidRPr="00017D28" w:rsidRDefault="00017D28" w:rsidP="00017D28">
            <w:pPr>
              <w:spacing w:after="0" w:line="240" w:lineRule="auto"/>
              <w:jc w:val="right"/>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 </w:t>
            </w:r>
          </w:p>
        </w:tc>
        <w:tc>
          <w:tcPr>
            <w:tcW w:w="3502" w:type="dxa"/>
            <w:tcBorders>
              <w:top w:val="nil"/>
              <w:left w:val="nil"/>
              <w:bottom w:val="nil"/>
              <w:right w:val="single" w:sz="8" w:space="0" w:color="auto"/>
            </w:tcBorders>
            <w:shd w:val="clear" w:color="000000" w:fill="FFFFFF"/>
            <w:noWrap/>
            <w:vAlign w:val="center"/>
            <w:hideMark/>
          </w:tcPr>
          <w:p w14:paraId="7D795D1B" w14:textId="77777777" w:rsidR="00017D28" w:rsidRPr="00017D28" w:rsidRDefault="00017D28" w:rsidP="00017D28">
            <w:pPr>
              <w:spacing w:after="0" w:line="240" w:lineRule="auto"/>
              <w:jc w:val="right"/>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 xml:space="preserve">                        15,471,282,524 </w:t>
            </w:r>
          </w:p>
        </w:tc>
      </w:tr>
      <w:tr w:rsidR="00017D28" w:rsidRPr="00017D28" w14:paraId="73D61333" w14:textId="77777777" w:rsidTr="00017D28">
        <w:trPr>
          <w:trHeight w:val="288"/>
          <w:jc w:val="center"/>
        </w:trPr>
        <w:tc>
          <w:tcPr>
            <w:tcW w:w="3755" w:type="dxa"/>
            <w:tcBorders>
              <w:top w:val="nil"/>
              <w:left w:val="single" w:sz="8" w:space="0" w:color="auto"/>
              <w:bottom w:val="nil"/>
              <w:right w:val="nil"/>
            </w:tcBorders>
            <w:shd w:val="clear" w:color="000000" w:fill="FFFFFF"/>
            <w:noWrap/>
            <w:vAlign w:val="center"/>
            <w:hideMark/>
          </w:tcPr>
          <w:p w14:paraId="7AF66EDE" w14:textId="77777777" w:rsidR="00017D28" w:rsidRPr="00017D28" w:rsidRDefault="00017D28" w:rsidP="00017D28">
            <w:pPr>
              <w:spacing w:after="0" w:line="240" w:lineRule="auto"/>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Menos</w:t>
            </w:r>
          </w:p>
        </w:tc>
        <w:tc>
          <w:tcPr>
            <w:tcW w:w="103" w:type="dxa"/>
            <w:tcBorders>
              <w:top w:val="nil"/>
              <w:left w:val="single" w:sz="8" w:space="0" w:color="auto"/>
              <w:bottom w:val="nil"/>
              <w:right w:val="single" w:sz="8" w:space="0" w:color="auto"/>
            </w:tcBorders>
            <w:shd w:val="clear" w:color="000000" w:fill="FFFFFF"/>
            <w:noWrap/>
            <w:vAlign w:val="center"/>
            <w:hideMark/>
          </w:tcPr>
          <w:p w14:paraId="5B0839E0" w14:textId="77777777" w:rsidR="00017D28" w:rsidRPr="00017D28" w:rsidRDefault="00017D28" w:rsidP="00017D28">
            <w:pPr>
              <w:spacing w:after="0" w:line="240" w:lineRule="auto"/>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 </w:t>
            </w:r>
          </w:p>
        </w:tc>
        <w:tc>
          <w:tcPr>
            <w:tcW w:w="3502" w:type="dxa"/>
            <w:tcBorders>
              <w:top w:val="nil"/>
              <w:left w:val="nil"/>
              <w:bottom w:val="nil"/>
              <w:right w:val="single" w:sz="8" w:space="0" w:color="auto"/>
            </w:tcBorders>
            <w:shd w:val="clear" w:color="000000" w:fill="FFFFFF"/>
            <w:noWrap/>
            <w:vAlign w:val="center"/>
            <w:hideMark/>
          </w:tcPr>
          <w:p w14:paraId="65A130B2" w14:textId="77777777" w:rsidR="00017D28" w:rsidRPr="00017D28" w:rsidRDefault="00017D28" w:rsidP="00017D28">
            <w:pPr>
              <w:spacing w:after="0" w:line="240" w:lineRule="auto"/>
              <w:jc w:val="right"/>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 </w:t>
            </w:r>
          </w:p>
        </w:tc>
      </w:tr>
      <w:tr w:rsidR="00017D28" w:rsidRPr="00017D28" w14:paraId="49BBF51A" w14:textId="77777777" w:rsidTr="00017D28">
        <w:trPr>
          <w:trHeight w:val="300"/>
          <w:jc w:val="center"/>
        </w:trPr>
        <w:tc>
          <w:tcPr>
            <w:tcW w:w="3755" w:type="dxa"/>
            <w:tcBorders>
              <w:top w:val="nil"/>
              <w:left w:val="single" w:sz="8" w:space="0" w:color="auto"/>
              <w:bottom w:val="single" w:sz="8" w:space="0" w:color="auto"/>
              <w:right w:val="nil"/>
            </w:tcBorders>
            <w:shd w:val="clear" w:color="000000" w:fill="FFFFFF"/>
            <w:noWrap/>
            <w:vAlign w:val="center"/>
            <w:hideMark/>
          </w:tcPr>
          <w:p w14:paraId="76AB7300" w14:textId="77777777" w:rsidR="00017D28" w:rsidRPr="00017D28" w:rsidRDefault="00017D28" w:rsidP="00017D28">
            <w:pPr>
              <w:spacing w:after="0" w:line="240" w:lineRule="auto"/>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Ingresos Reales</w:t>
            </w:r>
          </w:p>
        </w:tc>
        <w:tc>
          <w:tcPr>
            <w:tcW w:w="103" w:type="dxa"/>
            <w:tcBorders>
              <w:top w:val="nil"/>
              <w:left w:val="single" w:sz="8" w:space="0" w:color="auto"/>
              <w:bottom w:val="single" w:sz="8" w:space="0" w:color="auto"/>
              <w:right w:val="single" w:sz="8" w:space="0" w:color="auto"/>
            </w:tcBorders>
            <w:shd w:val="clear" w:color="000000" w:fill="FFFFFF"/>
            <w:noWrap/>
            <w:vAlign w:val="center"/>
            <w:hideMark/>
          </w:tcPr>
          <w:p w14:paraId="2A67C15C" w14:textId="77777777" w:rsidR="00017D28" w:rsidRPr="00017D28" w:rsidRDefault="00017D28" w:rsidP="00017D28">
            <w:pPr>
              <w:spacing w:after="0" w:line="240" w:lineRule="auto"/>
              <w:jc w:val="right"/>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 </w:t>
            </w:r>
          </w:p>
        </w:tc>
        <w:tc>
          <w:tcPr>
            <w:tcW w:w="3502" w:type="dxa"/>
            <w:tcBorders>
              <w:top w:val="nil"/>
              <w:left w:val="nil"/>
              <w:bottom w:val="single" w:sz="8" w:space="0" w:color="auto"/>
              <w:right w:val="single" w:sz="8" w:space="0" w:color="auto"/>
            </w:tcBorders>
            <w:shd w:val="clear" w:color="000000" w:fill="FFFFFF"/>
            <w:noWrap/>
            <w:vAlign w:val="center"/>
            <w:hideMark/>
          </w:tcPr>
          <w:p w14:paraId="6971B1B9" w14:textId="77777777" w:rsidR="00017D28" w:rsidRPr="00017D28" w:rsidRDefault="00017D28" w:rsidP="00017D28">
            <w:pPr>
              <w:spacing w:after="0" w:line="240" w:lineRule="auto"/>
              <w:jc w:val="right"/>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 xml:space="preserve">                        31,343,640,744 </w:t>
            </w:r>
          </w:p>
        </w:tc>
      </w:tr>
      <w:tr w:rsidR="00017D28" w:rsidRPr="00017D28" w14:paraId="57E7732E" w14:textId="77777777" w:rsidTr="00017D28">
        <w:trPr>
          <w:trHeight w:val="300"/>
          <w:jc w:val="center"/>
        </w:trPr>
        <w:tc>
          <w:tcPr>
            <w:tcW w:w="3755" w:type="dxa"/>
            <w:tcBorders>
              <w:top w:val="nil"/>
              <w:left w:val="single" w:sz="8" w:space="0" w:color="auto"/>
              <w:bottom w:val="nil"/>
              <w:right w:val="single" w:sz="8" w:space="0" w:color="auto"/>
            </w:tcBorders>
            <w:shd w:val="clear" w:color="000000" w:fill="FFFFFF"/>
            <w:noWrap/>
            <w:vAlign w:val="center"/>
            <w:hideMark/>
          </w:tcPr>
          <w:p w14:paraId="4AB6B9B1" w14:textId="77777777" w:rsidR="00017D28" w:rsidRPr="00017D28" w:rsidRDefault="00017D28" w:rsidP="00017D28">
            <w:pPr>
              <w:spacing w:after="0" w:line="240" w:lineRule="auto"/>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Superávit o Déficit de Ingresos</w:t>
            </w:r>
          </w:p>
        </w:tc>
        <w:tc>
          <w:tcPr>
            <w:tcW w:w="103" w:type="dxa"/>
            <w:tcBorders>
              <w:top w:val="nil"/>
              <w:left w:val="nil"/>
              <w:bottom w:val="nil"/>
              <w:right w:val="single" w:sz="8" w:space="0" w:color="auto"/>
            </w:tcBorders>
            <w:shd w:val="clear" w:color="000000" w:fill="FFFFFF"/>
            <w:noWrap/>
            <w:vAlign w:val="center"/>
            <w:hideMark/>
          </w:tcPr>
          <w:p w14:paraId="5EFE8D92" w14:textId="77777777" w:rsidR="00017D28" w:rsidRPr="00017D28" w:rsidRDefault="00017D28" w:rsidP="00017D28">
            <w:pPr>
              <w:spacing w:after="0" w:line="240" w:lineRule="auto"/>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 </w:t>
            </w:r>
          </w:p>
        </w:tc>
        <w:tc>
          <w:tcPr>
            <w:tcW w:w="3502" w:type="dxa"/>
            <w:tcBorders>
              <w:top w:val="nil"/>
              <w:left w:val="nil"/>
              <w:bottom w:val="nil"/>
              <w:right w:val="single" w:sz="8" w:space="0" w:color="auto"/>
            </w:tcBorders>
            <w:shd w:val="clear" w:color="000000" w:fill="FFFFFF"/>
            <w:noWrap/>
            <w:vAlign w:val="center"/>
            <w:hideMark/>
          </w:tcPr>
          <w:p w14:paraId="668A04CF" w14:textId="77777777" w:rsidR="00017D28" w:rsidRPr="00017D28" w:rsidRDefault="00017D28" w:rsidP="00017D28">
            <w:pPr>
              <w:spacing w:after="0" w:line="240" w:lineRule="auto"/>
              <w:jc w:val="right"/>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 xml:space="preserve">-                       15,872,358,220 </w:t>
            </w:r>
          </w:p>
        </w:tc>
      </w:tr>
      <w:tr w:rsidR="00017D28" w:rsidRPr="00017D28" w14:paraId="68610929" w14:textId="77777777" w:rsidTr="00017D28">
        <w:trPr>
          <w:trHeight w:val="288"/>
          <w:jc w:val="center"/>
        </w:trPr>
        <w:tc>
          <w:tcPr>
            <w:tcW w:w="3755" w:type="dxa"/>
            <w:tcBorders>
              <w:top w:val="single" w:sz="8" w:space="0" w:color="auto"/>
              <w:left w:val="single" w:sz="8" w:space="0" w:color="auto"/>
              <w:bottom w:val="nil"/>
              <w:right w:val="single" w:sz="8" w:space="0" w:color="auto"/>
            </w:tcBorders>
            <w:shd w:val="clear" w:color="000000" w:fill="FFFFFF"/>
            <w:noWrap/>
            <w:vAlign w:val="center"/>
            <w:hideMark/>
          </w:tcPr>
          <w:p w14:paraId="653AA0D2" w14:textId="77777777" w:rsidR="00017D28" w:rsidRPr="00017D28" w:rsidRDefault="00017D28" w:rsidP="00017D28">
            <w:pPr>
              <w:spacing w:after="0" w:line="240" w:lineRule="auto"/>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Egresos Presupuestados</w:t>
            </w:r>
          </w:p>
        </w:tc>
        <w:tc>
          <w:tcPr>
            <w:tcW w:w="103" w:type="dxa"/>
            <w:tcBorders>
              <w:top w:val="single" w:sz="8" w:space="0" w:color="auto"/>
              <w:left w:val="nil"/>
              <w:bottom w:val="nil"/>
              <w:right w:val="single" w:sz="8" w:space="0" w:color="auto"/>
            </w:tcBorders>
            <w:shd w:val="clear" w:color="000000" w:fill="FFFFFF"/>
            <w:noWrap/>
            <w:vAlign w:val="center"/>
            <w:hideMark/>
          </w:tcPr>
          <w:p w14:paraId="153894D3" w14:textId="77777777" w:rsidR="00017D28" w:rsidRPr="00017D28" w:rsidRDefault="00017D28" w:rsidP="00017D28">
            <w:pPr>
              <w:spacing w:after="0" w:line="240" w:lineRule="auto"/>
              <w:jc w:val="right"/>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 </w:t>
            </w:r>
          </w:p>
        </w:tc>
        <w:tc>
          <w:tcPr>
            <w:tcW w:w="3502" w:type="dxa"/>
            <w:tcBorders>
              <w:top w:val="single" w:sz="8" w:space="0" w:color="auto"/>
              <w:left w:val="nil"/>
              <w:bottom w:val="nil"/>
              <w:right w:val="single" w:sz="8" w:space="0" w:color="auto"/>
            </w:tcBorders>
            <w:shd w:val="clear" w:color="000000" w:fill="FFFFFF"/>
            <w:noWrap/>
            <w:vAlign w:val="center"/>
            <w:hideMark/>
          </w:tcPr>
          <w:p w14:paraId="36B211C8" w14:textId="77777777" w:rsidR="00017D28" w:rsidRPr="00017D28" w:rsidRDefault="00017D28" w:rsidP="00017D28">
            <w:pPr>
              <w:spacing w:after="0" w:line="240" w:lineRule="auto"/>
              <w:jc w:val="right"/>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 xml:space="preserve">                        15,471,282,524 </w:t>
            </w:r>
          </w:p>
        </w:tc>
      </w:tr>
      <w:tr w:rsidR="00017D28" w:rsidRPr="00017D28" w14:paraId="4CC344B9" w14:textId="77777777" w:rsidTr="00017D28">
        <w:trPr>
          <w:trHeight w:val="288"/>
          <w:jc w:val="center"/>
        </w:trPr>
        <w:tc>
          <w:tcPr>
            <w:tcW w:w="3755" w:type="dxa"/>
            <w:tcBorders>
              <w:top w:val="nil"/>
              <w:left w:val="single" w:sz="8" w:space="0" w:color="auto"/>
              <w:bottom w:val="nil"/>
              <w:right w:val="single" w:sz="8" w:space="0" w:color="auto"/>
            </w:tcBorders>
            <w:shd w:val="clear" w:color="000000" w:fill="FFFFFF"/>
            <w:noWrap/>
            <w:vAlign w:val="center"/>
            <w:hideMark/>
          </w:tcPr>
          <w:p w14:paraId="6DA94C20" w14:textId="77777777" w:rsidR="00017D28" w:rsidRPr="00017D28" w:rsidRDefault="00017D28" w:rsidP="00017D28">
            <w:pPr>
              <w:spacing w:after="0" w:line="240" w:lineRule="auto"/>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Menos</w:t>
            </w:r>
          </w:p>
        </w:tc>
        <w:tc>
          <w:tcPr>
            <w:tcW w:w="103" w:type="dxa"/>
            <w:tcBorders>
              <w:top w:val="nil"/>
              <w:left w:val="nil"/>
              <w:bottom w:val="nil"/>
              <w:right w:val="single" w:sz="8" w:space="0" w:color="auto"/>
            </w:tcBorders>
            <w:shd w:val="clear" w:color="000000" w:fill="FFFFFF"/>
            <w:noWrap/>
            <w:vAlign w:val="center"/>
            <w:hideMark/>
          </w:tcPr>
          <w:p w14:paraId="12DA467D" w14:textId="77777777" w:rsidR="00017D28" w:rsidRPr="00017D28" w:rsidRDefault="00017D28" w:rsidP="00017D28">
            <w:pPr>
              <w:spacing w:after="0" w:line="240" w:lineRule="auto"/>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 </w:t>
            </w:r>
          </w:p>
        </w:tc>
        <w:tc>
          <w:tcPr>
            <w:tcW w:w="3502" w:type="dxa"/>
            <w:tcBorders>
              <w:top w:val="nil"/>
              <w:left w:val="nil"/>
              <w:bottom w:val="nil"/>
              <w:right w:val="single" w:sz="8" w:space="0" w:color="auto"/>
            </w:tcBorders>
            <w:shd w:val="clear" w:color="000000" w:fill="FFFFFF"/>
            <w:noWrap/>
            <w:vAlign w:val="center"/>
            <w:hideMark/>
          </w:tcPr>
          <w:p w14:paraId="5ACEDB63" w14:textId="77777777" w:rsidR="00017D28" w:rsidRPr="00017D28" w:rsidRDefault="00017D28" w:rsidP="00017D28">
            <w:pPr>
              <w:spacing w:after="0" w:line="240" w:lineRule="auto"/>
              <w:jc w:val="right"/>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 </w:t>
            </w:r>
          </w:p>
        </w:tc>
      </w:tr>
      <w:tr w:rsidR="00017D28" w:rsidRPr="00017D28" w14:paraId="7661ED06" w14:textId="77777777" w:rsidTr="00017D28">
        <w:trPr>
          <w:trHeight w:val="300"/>
          <w:jc w:val="center"/>
        </w:trPr>
        <w:tc>
          <w:tcPr>
            <w:tcW w:w="3755" w:type="dxa"/>
            <w:tcBorders>
              <w:top w:val="nil"/>
              <w:left w:val="single" w:sz="8" w:space="0" w:color="auto"/>
              <w:bottom w:val="single" w:sz="8" w:space="0" w:color="auto"/>
              <w:right w:val="single" w:sz="8" w:space="0" w:color="auto"/>
            </w:tcBorders>
            <w:shd w:val="clear" w:color="000000" w:fill="FFFFFF"/>
            <w:noWrap/>
            <w:vAlign w:val="center"/>
            <w:hideMark/>
          </w:tcPr>
          <w:p w14:paraId="7A304C4A" w14:textId="77777777" w:rsidR="00017D28" w:rsidRPr="00017D28" w:rsidRDefault="00017D28" w:rsidP="00017D28">
            <w:pPr>
              <w:spacing w:after="0" w:line="240" w:lineRule="auto"/>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Egresos Reales</w:t>
            </w:r>
          </w:p>
        </w:tc>
        <w:tc>
          <w:tcPr>
            <w:tcW w:w="103" w:type="dxa"/>
            <w:tcBorders>
              <w:top w:val="nil"/>
              <w:left w:val="nil"/>
              <w:bottom w:val="single" w:sz="8" w:space="0" w:color="auto"/>
              <w:right w:val="single" w:sz="8" w:space="0" w:color="auto"/>
            </w:tcBorders>
            <w:shd w:val="clear" w:color="000000" w:fill="FFFFFF"/>
            <w:noWrap/>
            <w:vAlign w:val="center"/>
            <w:hideMark/>
          </w:tcPr>
          <w:p w14:paraId="29EB9FFB" w14:textId="77777777" w:rsidR="00017D28" w:rsidRPr="00017D28" w:rsidRDefault="00017D28" w:rsidP="00017D28">
            <w:pPr>
              <w:spacing w:after="0" w:line="240" w:lineRule="auto"/>
              <w:jc w:val="right"/>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 </w:t>
            </w:r>
          </w:p>
        </w:tc>
        <w:tc>
          <w:tcPr>
            <w:tcW w:w="3502" w:type="dxa"/>
            <w:tcBorders>
              <w:top w:val="nil"/>
              <w:left w:val="nil"/>
              <w:bottom w:val="single" w:sz="8" w:space="0" w:color="auto"/>
              <w:right w:val="single" w:sz="8" w:space="0" w:color="auto"/>
            </w:tcBorders>
            <w:shd w:val="clear" w:color="000000" w:fill="FFFFFF"/>
            <w:noWrap/>
            <w:vAlign w:val="center"/>
            <w:hideMark/>
          </w:tcPr>
          <w:p w14:paraId="4F6525A4" w14:textId="77777777" w:rsidR="00017D28" w:rsidRPr="00017D28" w:rsidRDefault="00017D28" w:rsidP="00017D28">
            <w:pPr>
              <w:spacing w:after="0" w:line="240" w:lineRule="auto"/>
              <w:jc w:val="right"/>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 xml:space="preserve">                        13,623,205,430 </w:t>
            </w:r>
          </w:p>
        </w:tc>
      </w:tr>
      <w:tr w:rsidR="00017D28" w:rsidRPr="00017D28" w14:paraId="2C6267E6" w14:textId="77777777" w:rsidTr="00017D28">
        <w:trPr>
          <w:trHeight w:val="300"/>
          <w:jc w:val="center"/>
        </w:trPr>
        <w:tc>
          <w:tcPr>
            <w:tcW w:w="3755" w:type="dxa"/>
            <w:tcBorders>
              <w:top w:val="nil"/>
              <w:left w:val="single" w:sz="8" w:space="0" w:color="auto"/>
              <w:bottom w:val="single" w:sz="8" w:space="0" w:color="auto"/>
              <w:right w:val="single" w:sz="8" w:space="0" w:color="auto"/>
            </w:tcBorders>
            <w:shd w:val="clear" w:color="000000" w:fill="FFFFFF"/>
            <w:noWrap/>
            <w:vAlign w:val="center"/>
            <w:hideMark/>
          </w:tcPr>
          <w:p w14:paraId="25CF0754" w14:textId="77777777" w:rsidR="00017D28" w:rsidRPr="00017D28" w:rsidRDefault="00017D28" w:rsidP="00017D28">
            <w:pPr>
              <w:spacing w:after="0" w:line="240" w:lineRule="auto"/>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Superávit o Déficit de Egresos</w:t>
            </w:r>
          </w:p>
        </w:tc>
        <w:tc>
          <w:tcPr>
            <w:tcW w:w="103" w:type="dxa"/>
            <w:tcBorders>
              <w:top w:val="nil"/>
              <w:left w:val="nil"/>
              <w:bottom w:val="single" w:sz="8" w:space="0" w:color="auto"/>
              <w:right w:val="single" w:sz="8" w:space="0" w:color="auto"/>
            </w:tcBorders>
            <w:shd w:val="clear" w:color="000000" w:fill="FFFFFF"/>
            <w:noWrap/>
            <w:vAlign w:val="center"/>
            <w:hideMark/>
          </w:tcPr>
          <w:p w14:paraId="1258D6A5" w14:textId="77777777" w:rsidR="00017D28" w:rsidRPr="00017D28" w:rsidRDefault="00017D28" w:rsidP="00017D28">
            <w:pPr>
              <w:spacing w:after="0" w:line="240" w:lineRule="auto"/>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 </w:t>
            </w:r>
          </w:p>
        </w:tc>
        <w:tc>
          <w:tcPr>
            <w:tcW w:w="3502" w:type="dxa"/>
            <w:tcBorders>
              <w:top w:val="nil"/>
              <w:left w:val="nil"/>
              <w:bottom w:val="single" w:sz="8" w:space="0" w:color="auto"/>
              <w:right w:val="single" w:sz="8" w:space="0" w:color="auto"/>
            </w:tcBorders>
            <w:shd w:val="clear" w:color="000000" w:fill="FFFFFF"/>
            <w:noWrap/>
            <w:vAlign w:val="center"/>
            <w:hideMark/>
          </w:tcPr>
          <w:p w14:paraId="752F2319" w14:textId="77777777" w:rsidR="00017D28" w:rsidRPr="00017D28" w:rsidRDefault="00017D28" w:rsidP="00017D28">
            <w:pPr>
              <w:spacing w:after="0" w:line="240" w:lineRule="auto"/>
              <w:jc w:val="right"/>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 xml:space="preserve">                          1,848,077,094 </w:t>
            </w:r>
          </w:p>
        </w:tc>
      </w:tr>
      <w:tr w:rsidR="00017D28" w:rsidRPr="00017D28" w14:paraId="4A9908A7" w14:textId="77777777" w:rsidTr="00101172">
        <w:trPr>
          <w:trHeight w:val="300"/>
          <w:jc w:val="center"/>
        </w:trPr>
        <w:tc>
          <w:tcPr>
            <w:tcW w:w="3755" w:type="dxa"/>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14:paraId="5638B919" w14:textId="77777777" w:rsidR="00017D28" w:rsidRPr="00017D28" w:rsidRDefault="00017D28" w:rsidP="00017D28">
            <w:pPr>
              <w:spacing w:after="0" w:line="240" w:lineRule="auto"/>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Superávit Acumulado</w:t>
            </w:r>
          </w:p>
        </w:tc>
        <w:tc>
          <w:tcPr>
            <w:tcW w:w="103" w:type="dxa"/>
            <w:tcBorders>
              <w:top w:val="nil"/>
              <w:left w:val="nil"/>
              <w:bottom w:val="single" w:sz="8" w:space="0" w:color="auto"/>
              <w:right w:val="single" w:sz="8" w:space="0" w:color="auto"/>
            </w:tcBorders>
            <w:shd w:val="clear" w:color="auto" w:fill="D6E3BC" w:themeFill="accent3" w:themeFillTint="66"/>
            <w:noWrap/>
            <w:vAlign w:val="center"/>
            <w:hideMark/>
          </w:tcPr>
          <w:p w14:paraId="5921C60D" w14:textId="77777777" w:rsidR="00017D28" w:rsidRPr="00017D28" w:rsidRDefault="00017D28" w:rsidP="00017D28">
            <w:pPr>
              <w:spacing w:after="0" w:line="240" w:lineRule="auto"/>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 </w:t>
            </w:r>
          </w:p>
        </w:tc>
        <w:tc>
          <w:tcPr>
            <w:tcW w:w="3502" w:type="dxa"/>
            <w:tcBorders>
              <w:top w:val="nil"/>
              <w:left w:val="nil"/>
              <w:bottom w:val="single" w:sz="8" w:space="0" w:color="auto"/>
              <w:right w:val="single" w:sz="8" w:space="0" w:color="auto"/>
            </w:tcBorders>
            <w:shd w:val="clear" w:color="auto" w:fill="D6E3BC" w:themeFill="accent3" w:themeFillTint="66"/>
            <w:noWrap/>
            <w:vAlign w:val="center"/>
            <w:hideMark/>
          </w:tcPr>
          <w:p w14:paraId="7FB7D5FB" w14:textId="77777777" w:rsidR="00017D28" w:rsidRPr="00017D28" w:rsidRDefault="00017D28" w:rsidP="00017D28">
            <w:pPr>
              <w:spacing w:after="0" w:line="240" w:lineRule="auto"/>
              <w:jc w:val="right"/>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 xml:space="preserve">                        17,720,435,314 </w:t>
            </w:r>
          </w:p>
        </w:tc>
      </w:tr>
      <w:tr w:rsidR="00017D28" w:rsidRPr="00017D28" w14:paraId="678ED3D0" w14:textId="77777777" w:rsidTr="00017D28">
        <w:trPr>
          <w:trHeight w:val="300"/>
          <w:jc w:val="center"/>
        </w:trPr>
        <w:tc>
          <w:tcPr>
            <w:tcW w:w="3755" w:type="dxa"/>
            <w:tcBorders>
              <w:top w:val="nil"/>
              <w:left w:val="single" w:sz="8" w:space="0" w:color="auto"/>
              <w:bottom w:val="single" w:sz="8" w:space="0" w:color="auto"/>
              <w:right w:val="single" w:sz="8" w:space="0" w:color="auto"/>
            </w:tcBorders>
            <w:shd w:val="clear" w:color="000000" w:fill="FFFFFF"/>
            <w:noWrap/>
            <w:vAlign w:val="center"/>
            <w:hideMark/>
          </w:tcPr>
          <w:p w14:paraId="6BEDBBEB" w14:textId="77777777" w:rsidR="00017D28" w:rsidRPr="00017D28" w:rsidRDefault="00017D28" w:rsidP="00017D28">
            <w:pPr>
              <w:spacing w:after="0" w:line="240" w:lineRule="auto"/>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 </w:t>
            </w:r>
          </w:p>
        </w:tc>
        <w:tc>
          <w:tcPr>
            <w:tcW w:w="103" w:type="dxa"/>
            <w:tcBorders>
              <w:top w:val="nil"/>
              <w:left w:val="nil"/>
              <w:bottom w:val="single" w:sz="8" w:space="0" w:color="auto"/>
              <w:right w:val="single" w:sz="8" w:space="0" w:color="auto"/>
            </w:tcBorders>
            <w:shd w:val="clear" w:color="000000" w:fill="FFFFFF"/>
            <w:noWrap/>
            <w:vAlign w:val="center"/>
            <w:hideMark/>
          </w:tcPr>
          <w:p w14:paraId="1A4F0AA1" w14:textId="77777777" w:rsidR="00017D28" w:rsidRPr="00017D28" w:rsidRDefault="00017D28" w:rsidP="00017D28">
            <w:pPr>
              <w:spacing w:after="0" w:line="240" w:lineRule="auto"/>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 </w:t>
            </w:r>
          </w:p>
        </w:tc>
        <w:tc>
          <w:tcPr>
            <w:tcW w:w="3502" w:type="dxa"/>
            <w:tcBorders>
              <w:top w:val="nil"/>
              <w:left w:val="nil"/>
              <w:bottom w:val="single" w:sz="8" w:space="0" w:color="auto"/>
              <w:right w:val="single" w:sz="8" w:space="0" w:color="auto"/>
            </w:tcBorders>
            <w:shd w:val="clear" w:color="000000" w:fill="FFFFFF"/>
            <w:noWrap/>
            <w:vAlign w:val="center"/>
            <w:hideMark/>
          </w:tcPr>
          <w:p w14:paraId="65577776" w14:textId="77777777" w:rsidR="00017D28" w:rsidRPr="00017D28" w:rsidRDefault="00017D28" w:rsidP="00017D28">
            <w:pPr>
              <w:spacing w:after="0" w:line="240" w:lineRule="auto"/>
              <w:jc w:val="right"/>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 </w:t>
            </w:r>
          </w:p>
        </w:tc>
      </w:tr>
      <w:tr w:rsidR="00017D28" w:rsidRPr="00017D28" w14:paraId="76D4C8CC" w14:textId="77777777" w:rsidTr="00101172">
        <w:trPr>
          <w:trHeight w:val="300"/>
          <w:jc w:val="center"/>
        </w:trPr>
        <w:tc>
          <w:tcPr>
            <w:tcW w:w="3755" w:type="dxa"/>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14:paraId="6D60CC9E" w14:textId="77777777" w:rsidR="00017D28" w:rsidRPr="00017D28" w:rsidRDefault="00017D28" w:rsidP="00017D28">
            <w:pPr>
              <w:spacing w:after="0" w:line="240" w:lineRule="auto"/>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Superávit Específico</w:t>
            </w:r>
          </w:p>
        </w:tc>
        <w:tc>
          <w:tcPr>
            <w:tcW w:w="103" w:type="dxa"/>
            <w:tcBorders>
              <w:top w:val="nil"/>
              <w:left w:val="nil"/>
              <w:bottom w:val="single" w:sz="8" w:space="0" w:color="auto"/>
              <w:right w:val="single" w:sz="8" w:space="0" w:color="auto"/>
            </w:tcBorders>
            <w:shd w:val="clear" w:color="auto" w:fill="D6E3BC" w:themeFill="accent3" w:themeFillTint="66"/>
            <w:noWrap/>
            <w:vAlign w:val="center"/>
            <w:hideMark/>
          </w:tcPr>
          <w:p w14:paraId="3596C57B" w14:textId="77777777" w:rsidR="00017D28" w:rsidRPr="00017D28" w:rsidRDefault="00017D28" w:rsidP="00017D28">
            <w:pPr>
              <w:spacing w:after="0" w:line="240" w:lineRule="auto"/>
              <w:jc w:val="right"/>
              <w:rPr>
                <w:rFonts w:ascii="Arial" w:eastAsia="Times New Roman" w:hAnsi="Arial" w:cs="Arial"/>
                <w:color w:val="000000"/>
                <w:sz w:val="16"/>
                <w:szCs w:val="16"/>
                <w:lang w:val="es-US" w:eastAsia="es-US"/>
              </w:rPr>
            </w:pPr>
            <w:r w:rsidRPr="00017D28">
              <w:rPr>
                <w:rFonts w:ascii="Arial" w:eastAsia="Times New Roman" w:hAnsi="Arial" w:cs="Arial"/>
                <w:color w:val="000000"/>
                <w:sz w:val="16"/>
                <w:szCs w:val="16"/>
                <w:lang w:val="es-US" w:eastAsia="es-US"/>
              </w:rPr>
              <w:t> </w:t>
            </w:r>
          </w:p>
        </w:tc>
        <w:tc>
          <w:tcPr>
            <w:tcW w:w="3502" w:type="dxa"/>
            <w:tcBorders>
              <w:top w:val="nil"/>
              <w:left w:val="nil"/>
              <w:bottom w:val="single" w:sz="8" w:space="0" w:color="auto"/>
              <w:right w:val="single" w:sz="8" w:space="0" w:color="auto"/>
            </w:tcBorders>
            <w:shd w:val="clear" w:color="auto" w:fill="D6E3BC" w:themeFill="accent3" w:themeFillTint="66"/>
            <w:noWrap/>
            <w:vAlign w:val="center"/>
            <w:hideMark/>
          </w:tcPr>
          <w:p w14:paraId="7422D1BA" w14:textId="77777777" w:rsidR="00017D28" w:rsidRPr="00017D28" w:rsidRDefault="00017D28" w:rsidP="00017D28">
            <w:pPr>
              <w:spacing w:after="0" w:line="240" w:lineRule="auto"/>
              <w:jc w:val="right"/>
              <w:rPr>
                <w:rFonts w:ascii="Arial" w:eastAsia="Times New Roman" w:hAnsi="Arial" w:cs="Arial"/>
                <w:b/>
                <w:bCs/>
                <w:color w:val="000000"/>
                <w:sz w:val="16"/>
                <w:szCs w:val="16"/>
                <w:lang w:val="es-US" w:eastAsia="es-US"/>
              </w:rPr>
            </w:pPr>
            <w:r w:rsidRPr="00017D28">
              <w:rPr>
                <w:rFonts w:ascii="Arial" w:eastAsia="Times New Roman" w:hAnsi="Arial" w:cs="Arial"/>
                <w:b/>
                <w:bCs/>
                <w:color w:val="000000"/>
                <w:sz w:val="16"/>
                <w:szCs w:val="16"/>
                <w:lang w:val="es-US" w:eastAsia="es-US"/>
              </w:rPr>
              <w:t xml:space="preserve">                        17,720,435,314 </w:t>
            </w:r>
          </w:p>
        </w:tc>
      </w:tr>
    </w:tbl>
    <w:p w14:paraId="701131CF" w14:textId="77777777" w:rsidR="00570522" w:rsidRPr="00EA54FE" w:rsidRDefault="00570522" w:rsidP="00570522">
      <w:pPr>
        <w:spacing w:after="0" w:line="240" w:lineRule="auto"/>
        <w:rPr>
          <w:rFonts w:ascii="Arial" w:hAnsi="Arial" w:cs="Arial"/>
        </w:rPr>
      </w:pPr>
    </w:p>
    <w:p w14:paraId="1E62D65B" w14:textId="77777777" w:rsidR="00EF41CA" w:rsidRPr="00EA54FE" w:rsidRDefault="00EF41CA" w:rsidP="00570522">
      <w:pPr>
        <w:spacing w:after="0" w:line="240" w:lineRule="auto"/>
        <w:rPr>
          <w:rFonts w:ascii="Arial" w:hAnsi="Arial" w:cs="Arial"/>
        </w:rPr>
      </w:pPr>
    </w:p>
    <w:p w14:paraId="50C6331B" w14:textId="77777777" w:rsidR="00570522" w:rsidRPr="00EA54FE" w:rsidRDefault="00570522" w:rsidP="00570522">
      <w:pPr>
        <w:spacing w:after="0" w:line="240" w:lineRule="auto"/>
        <w:rPr>
          <w:rFonts w:ascii="Arial" w:hAnsi="Arial" w:cs="Arial"/>
          <w:sz w:val="24"/>
          <w:szCs w:val="24"/>
        </w:rPr>
      </w:pPr>
    </w:p>
    <w:p w14:paraId="5EA368AD" w14:textId="77777777" w:rsidR="00570522" w:rsidRPr="00EA54FE" w:rsidRDefault="00570522" w:rsidP="00570522">
      <w:pPr>
        <w:spacing w:after="0" w:line="240" w:lineRule="auto"/>
        <w:rPr>
          <w:rFonts w:ascii="Arial" w:hAnsi="Arial" w:cs="Arial"/>
          <w:sz w:val="24"/>
          <w:szCs w:val="24"/>
        </w:rPr>
      </w:pPr>
    </w:p>
    <w:p w14:paraId="3DF394D5" w14:textId="77777777" w:rsidR="00666B67" w:rsidRPr="009D3FDA" w:rsidRDefault="005641E3" w:rsidP="005641E3">
      <w:pPr>
        <w:pStyle w:val="Ttulo2"/>
        <w:rPr>
          <w:rFonts w:ascii="Arial" w:eastAsia="Times New Roman" w:hAnsi="Arial" w:cs="Arial"/>
          <w:color w:val="auto"/>
          <w:sz w:val="24"/>
          <w:szCs w:val="24"/>
          <w:lang w:eastAsia="es-CR"/>
        </w:rPr>
      </w:pPr>
      <w:bookmarkStart w:id="23" w:name="_Toc94522223"/>
      <w:r>
        <w:rPr>
          <w:rFonts w:ascii="Arial" w:eastAsia="Calibri" w:hAnsi="Arial" w:cs="Arial"/>
          <w:color w:val="auto"/>
          <w:sz w:val="24"/>
          <w:szCs w:val="24"/>
        </w:rPr>
        <w:t>9.</w:t>
      </w:r>
      <w:r w:rsidR="001F4B0E" w:rsidRPr="009D3FDA">
        <w:rPr>
          <w:rFonts w:ascii="Arial" w:eastAsia="Calibri" w:hAnsi="Arial" w:cs="Arial"/>
          <w:color w:val="auto"/>
          <w:sz w:val="24"/>
          <w:szCs w:val="24"/>
        </w:rPr>
        <w:t>Evaluación</w:t>
      </w:r>
      <w:r w:rsidR="001F4B0E" w:rsidRPr="009D3FDA">
        <w:rPr>
          <w:rFonts w:ascii="Arial" w:eastAsia="Times New Roman" w:hAnsi="Arial" w:cs="Arial"/>
          <w:color w:val="auto"/>
          <w:sz w:val="24"/>
          <w:szCs w:val="24"/>
          <w:lang w:eastAsia="es-CR"/>
        </w:rPr>
        <w:t xml:space="preserve"> de los resultados</w:t>
      </w:r>
      <w:bookmarkEnd w:id="23"/>
    </w:p>
    <w:p w14:paraId="44A17D01" w14:textId="77777777" w:rsidR="00A62A68" w:rsidRPr="00F66BFC" w:rsidRDefault="00A62A68" w:rsidP="00A62A68">
      <w:pPr>
        <w:pStyle w:val="Prrafodelista"/>
        <w:rPr>
          <w:rFonts w:ascii="Arial" w:eastAsia="Times New Roman" w:hAnsi="Arial" w:cs="Arial"/>
          <w:b/>
          <w:sz w:val="24"/>
          <w:szCs w:val="24"/>
          <w:lang w:eastAsia="es-CR"/>
        </w:rPr>
      </w:pPr>
      <w:bookmarkStart w:id="24" w:name="_Hlk94520691"/>
    </w:p>
    <w:p w14:paraId="0245701A" w14:textId="77777777" w:rsidR="00A62A68" w:rsidRPr="005641E3" w:rsidRDefault="005641E3" w:rsidP="005641E3">
      <w:pPr>
        <w:pStyle w:val="Ttulo2"/>
        <w:rPr>
          <w:rFonts w:ascii="Arial" w:hAnsi="Arial" w:cs="Arial"/>
          <w:color w:val="auto"/>
          <w:sz w:val="24"/>
          <w:szCs w:val="24"/>
        </w:rPr>
      </w:pPr>
      <w:bookmarkStart w:id="25" w:name="_Toc94522224"/>
      <w:r w:rsidRPr="005641E3">
        <w:rPr>
          <w:rFonts w:ascii="Arial" w:hAnsi="Arial" w:cs="Arial"/>
          <w:color w:val="auto"/>
          <w:sz w:val="24"/>
          <w:szCs w:val="24"/>
        </w:rPr>
        <w:t>9.1</w:t>
      </w:r>
      <w:r w:rsidR="009D3FDA" w:rsidRPr="005641E3">
        <w:rPr>
          <w:rFonts w:ascii="Arial" w:hAnsi="Arial" w:cs="Arial"/>
          <w:color w:val="auto"/>
          <w:sz w:val="24"/>
          <w:szCs w:val="24"/>
        </w:rPr>
        <w:t xml:space="preserve"> </w:t>
      </w:r>
      <w:r w:rsidR="00A62A68" w:rsidRPr="005641E3">
        <w:rPr>
          <w:rFonts w:ascii="Arial" w:hAnsi="Arial" w:cs="Arial"/>
          <w:color w:val="auto"/>
          <w:sz w:val="24"/>
          <w:szCs w:val="24"/>
        </w:rPr>
        <w:t>Avance en el cumplimiento de objetivos y metas</w:t>
      </w:r>
      <w:bookmarkEnd w:id="25"/>
    </w:p>
    <w:p w14:paraId="3CEA35AA" w14:textId="77777777" w:rsidR="00A62A68" w:rsidRPr="00F66BFC" w:rsidRDefault="00A62A68" w:rsidP="00A62A68">
      <w:pPr>
        <w:pStyle w:val="Prrafodelista"/>
        <w:spacing w:after="0" w:line="240" w:lineRule="auto"/>
        <w:jc w:val="both"/>
        <w:rPr>
          <w:rFonts w:ascii="Arial" w:hAnsi="Arial" w:cs="Arial"/>
        </w:rPr>
      </w:pPr>
    </w:p>
    <w:p w14:paraId="374F0E7A" w14:textId="57A2D272" w:rsidR="00A12CC7" w:rsidRDefault="00A12CC7" w:rsidP="00A12CC7">
      <w:pPr>
        <w:pStyle w:val="Default"/>
        <w:spacing w:line="276" w:lineRule="auto"/>
        <w:jc w:val="both"/>
      </w:pPr>
      <w:r w:rsidRPr="003F00C6">
        <w:t>De acuerdo con la programación establecida, el desempeño institucional</w:t>
      </w:r>
      <w:r w:rsidR="00DF0CC5">
        <w:t xml:space="preserve"> promedio,</w:t>
      </w:r>
      <w:r w:rsidRPr="003F00C6">
        <w:t xml:space="preserve"> </w:t>
      </w:r>
      <w:r w:rsidR="00DF0CC5">
        <w:t>al</w:t>
      </w:r>
      <w:r w:rsidRPr="003F00C6">
        <w:t xml:space="preserve"> cierre del periodo es de un </w:t>
      </w:r>
      <w:r>
        <w:t>100,02</w:t>
      </w:r>
      <w:r w:rsidRPr="003F00C6">
        <w:t xml:space="preserve">%. Esta calificación es obtenida al promediar el resultado de todos los indicadores que componente el mapa de desempeño institucional, el cual abarca todos los objetivos estratégicos del PEI y el concurso de todas las áreas funcionales. </w:t>
      </w:r>
    </w:p>
    <w:p w14:paraId="25737B50" w14:textId="5A4E7305" w:rsidR="00A12CC7" w:rsidRDefault="00A12CC7" w:rsidP="00A12CC7">
      <w:pPr>
        <w:pStyle w:val="Default"/>
        <w:spacing w:line="276" w:lineRule="auto"/>
        <w:jc w:val="both"/>
      </w:pPr>
    </w:p>
    <w:p w14:paraId="0E9F612F" w14:textId="77777777" w:rsidR="00A12CC7" w:rsidRDefault="00A12CC7" w:rsidP="00A12CC7">
      <w:pPr>
        <w:pStyle w:val="Default"/>
        <w:spacing w:line="276" w:lineRule="auto"/>
        <w:jc w:val="both"/>
      </w:pPr>
    </w:p>
    <w:p w14:paraId="7700716E" w14:textId="670C7ADA" w:rsidR="00A12CC7" w:rsidRDefault="00A12CC7" w:rsidP="00A12CC7">
      <w:pPr>
        <w:pStyle w:val="Default"/>
        <w:spacing w:line="276" w:lineRule="auto"/>
        <w:jc w:val="both"/>
      </w:pPr>
    </w:p>
    <w:p w14:paraId="64D1DAA1" w14:textId="61BD3FBB" w:rsidR="00A12CC7" w:rsidRDefault="00A12CC7" w:rsidP="00A12CC7">
      <w:pPr>
        <w:pStyle w:val="Default"/>
        <w:spacing w:line="276" w:lineRule="auto"/>
        <w:jc w:val="both"/>
      </w:pPr>
    </w:p>
    <w:p w14:paraId="3442E2B1" w14:textId="04FF8083" w:rsidR="00A12CC7" w:rsidRDefault="00A12CC7" w:rsidP="00A12CC7">
      <w:pPr>
        <w:pStyle w:val="Default"/>
        <w:spacing w:line="276" w:lineRule="auto"/>
        <w:jc w:val="both"/>
      </w:pPr>
    </w:p>
    <w:p w14:paraId="58F1DDC2" w14:textId="77777777" w:rsidR="00A12CC7" w:rsidRDefault="00A12CC7" w:rsidP="00A12CC7">
      <w:pPr>
        <w:pStyle w:val="Default"/>
        <w:spacing w:line="276" w:lineRule="auto"/>
        <w:jc w:val="both"/>
      </w:pPr>
    </w:p>
    <w:p w14:paraId="6EEB2D98" w14:textId="7F746A3A" w:rsidR="00A12CC7" w:rsidRPr="003F00C6" w:rsidRDefault="00DF0CC5" w:rsidP="00A12CC7">
      <w:pPr>
        <w:pStyle w:val="Default"/>
        <w:spacing w:line="276" w:lineRule="auto"/>
        <w:jc w:val="both"/>
      </w:pPr>
      <w:r>
        <w:t xml:space="preserve">Dentro de estos indicadores, </w:t>
      </w:r>
      <w:r w:rsidR="00681339">
        <w:t xml:space="preserve">los tres siguientes son </w:t>
      </w:r>
      <w:r w:rsidR="00A12CC7" w:rsidRPr="003F00C6">
        <w:t>los</w:t>
      </w:r>
      <w:r w:rsidR="00681339">
        <w:t xml:space="preserve"> más</w:t>
      </w:r>
      <w:r w:rsidR="00A12CC7" w:rsidRPr="003F00C6">
        <w:t xml:space="preserve"> relevantes de los programas sustantivos</w:t>
      </w:r>
      <w:r w:rsidR="00681339">
        <w:t xml:space="preserve">, A </w:t>
      </w:r>
      <w:r w:rsidR="00E609AB">
        <w:t>continuación,</w:t>
      </w:r>
      <w:r w:rsidR="00681339">
        <w:t xml:space="preserve"> el detalle</w:t>
      </w:r>
      <w:r w:rsidR="00A12CC7" w:rsidRPr="003F00C6">
        <w:t>:</w:t>
      </w:r>
    </w:p>
    <w:p w14:paraId="4F4100CD" w14:textId="77777777" w:rsidR="00A12CC7" w:rsidRPr="003F00C6" w:rsidRDefault="00A12CC7" w:rsidP="00A12CC7">
      <w:pPr>
        <w:pStyle w:val="Default"/>
        <w:spacing w:line="276" w:lineRule="auto"/>
        <w:jc w:val="both"/>
      </w:pPr>
    </w:p>
    <w:tbl>
      <w:tblPr>
        <w:tblStyle w:val="Tablaconcuadrcula"/>
        <w:tblW w:w="0" w:type="auto"/>
        <w:tblLook w:val="04A0" w:firstRow="1" w:lastRow="0" w:firstColumn="1" w:lastColumn="0" w:noHBand="0" w:noVBand="1"/>
      </w:tblPr>
      <w:tblGrid>
        <w:gridCol w:w="3114"/>
        <w:gridCol w:w="1843"/>
        <w:gridCol w:w="1842"/>
        <w:gridCol w:w="1843"/>
      </w:tblGrid>
      <w:tr w:rsidR="00A12CC7" w:rsidRPr="00A12CC7" w14:paraId="33ECD5D7" w14:textId="77777777" w:rsidTr="00A12CC7">
        <w:tc>
          <w:tcPr>
            <w:tcW w:w="3114" w:type="dxa"/>
            <w:shd w:val="clear" w:color="auto" w:fill="EAF1DD" w:themeFill="accent3" w:themeFillTint="33"/>
            <w:vAlign w:val="center"/>
          </w:tcPr>
          <w:p w14:paraId="0BC8978F" w14:textId="77777777" w:rsidR="00A12CC7" w:rsidRPr="00A12CC7" w:rsidRDefault="00A12CC7" w:rsidP="00187E94">
            <w:pPr>
              <w:pStyle w:val="Default"/>
              <w:spacing w:line="276" w:lineRule="auto"/>
              <w:jc w:val="center"/>
              <w:rPr>
                <w:b/>
                <w:bCs/>
                <w:sz w:val="20"/>
                <w:szCs w:val="20"/>
              </w:rPr>
            </w:pPr>
            <w:r w:rsidRPr="00A12CC7">
              <w:rPr>
                <w:b/>
                <w:bCs/>
                <w:sz w:val="20"/>
                <w:szCs w:val="20"/>
              </w:rPr>
              <w:t>Indicador</w:t>
            </w:r>
          </w:p>
        </w:tc>
        <w:tc>
          <w:tcPr>
            <w:tcW w:w="1843" w:type="dxa"/>
            <w:shd w:val="clear" w:color="auto" w:fill="EAF1DD" w:themeFill="accent3" w:themeFillTint="33"/>
            <w:vAlign w:val="center"/>
          </w:tcPr>
          <w:p w14:paraId="296B0FAF" w14:textId="77777777" w:rsidR="00A12CC7" w:rsidRPr="00A12CC7" w:rsidRDefault="00A12CC7" w:rsidP="00187E94">
            <w:pPr>
              <w:pStyle w:val="Default"/>
              <w:spacing w:line="276" w:lineRule="auto"/>
              <w:jc w:val="center"/>
              <w:rPr>
                <w:b/>
                <w:bCs/>
                <w:sz w:val="20"/>
                <w:szCs w:val="20"/>
              </w:rPr>
            </w:pPr>
            <w:r w:rsidRPr="00A12CC7">
              <w:rPr>
                <w:b/>
                <w:bCs/>
                <w:sz w:val="20"/>
                <w:szCs w:val="20"/>
              </w:rPr>
              <w:t>Meta</w:t>
            </w:r>
          </w:p>
        </w:tc>
        <w:tc>
          <w:tcPr>
            <w:tcW w:w="1842" w:type="dxa"/>
            <w:shd w:val="clear" w:color="auto" w:fill="EAF1DD" w:themeFill="accent3" w:themeFillTint="33"/>
            <w:vAlign w:val="center"/>
          </w:tcPr>
          <w:p w14:paraId="0B457209" w14:textId="77777777" w:rsidR="00A12CC7" w:rsidRPr="00A12CC7" w:rsidRDefault="00A12CC7" w:rsidP="00187E94">
            <w:pPr>
              <w:pStyle w:val="Default"/>
              <w:spacing w:line="276" w:lineRule="auto"/>
              <w:jc w:val="center"/>
              <w:rPr>
                <w:b/>
                <w:bCs/>
                <w:sz w:val="20"/>
                <w:szCs w:val="20"/>
              </w:rPr>
            </w:pPr>
            <w:r w:rsidRPr="00A12CC7">
              <w:rPr>
                <w:b/>
                <w:bCs/>
                <w:sz w:val="20"/>
                <w:szCs w:val="20"/>
              </w:rPr>
              <w:t>Resultado</w:t>
            </w:r>
          </w:p>
        </w:tc>
        <w:tc>
          <w:tcPr>
            <w:tcW w:w="1843" w:type="dxa"/>
            <w:shd w:val="clear" w:color="auto" w:fill="EAF1DD" w:themeFill="accent3" w:themeFillTint="33"/>
            <w:vAlign w:val="center"/>
          </w:tcPr>
          <w:p w14:paraId="0234855C" w14:textId="77777777" w:rsidR="00A12CC7" w:rsidRPr="00A12CC7" w:rsidRDefault="00A12CC7" w:rsidP="00187E94">
            <w:pPr>
              <w:pStyle w:val="Default"/>
              <w:spacing w:line="276" w:lineRule="auto"/>
              <w:jc w:val="center"/>
              <w:rPr>
                <w:b/>
                <w:bCs/>
                <w:sz w:val="20"/>
                <w:szCs w:val="20"/>
              </w:rPr>
            </w:pPr>
            <w:r w:rsidRPr="00A12CC7">
              <w:rPr>
                <w:b/>
                <w:bCs/>
                <w:sz w:val="20"/>
                <w:szCs w:val="20"/>
              </w:rPr>
              <w:t>% cumplimiento</w:t>
            </w:r>
          </w:p>
        </w:tc>
      </w:tr>
      <w:tr w:rsidR="00A12CC7" w:rsidRPr="00A12CC7" w14:paraId="6006E166" w14:textId="77777777" w:rsidTr="00187E94">
        <w:tc>
          <w:tcPr>
            <w:tcW w:w="3114" w:type="dxa"/>
          </w:tcPr>
          <w:p w14:paraId="1FD47486" w14:textId="77777777" w:rsidR="00A12CC7" w:rsidRPr="00A12CC7" w:rsidRDefault="00A12CC7" w:rsidP="00187E94">
            <w:pPr>
              <w:pStyle w:val="Default"/>
              <w:spacing w:line="276" w:lineRule="auto"/>
              <w:jc w:val="both"/>
              <w:rPr>
                <w:sz w:val="20"/>
                <w:szCs w:val="20"/>
              </w:rPr>
            </w:pPr>
            <w:r w:rsidRPr="00A12CC7">
              <w:rPr>
                <w:sz w:val="20"/>
                <w:szCs w:val="20"/>
              </w:rPr>
              <w:t>Porcentaje de avance en hectáreas de bosques y plantaciones financiadas mediante el Programa de Pago por Servicios Ambientales </w:t>
            </w:r>
          </w:p>
        </w:tc>
        <w:tc>
          <w:tcPr>
            <w:tcW w:w="1843" w:type="dxa"/>
          </w:tcPr>
          <w:p w14:paraId="3486F3E0" w14:textId="77777777" w:rsidR="00A12CC7" w:rsidRPr="00A12CC7" w:rsidRDefault="00A12CC7" w:rsidP="00187E94">
            <w:pPr>
              <w:pStyle w:val="Default"/>
              <w:spacing w:line="276" w:lineRule="auto"/>
              <w:jc w:val="right"/>
              <w:rPr>
                <w:sz w:val="20"/>
                <w:szCs w:val="20"/>
              </w:rPr>
            </w:pPr>
            <w:r w:rsidRPr="00A12CC7">
              <w:rPr>
                <w:sz w:val="20"/>
                <w:szCs w:val="20"/>
              </w:rPr>
              <w:t>100,00%</w:t>
            </w:r>
          </w:p>
          <w:p w14:paraId="38469EE2" w14:textId="77777777" w:rsidR="00A12CC7" w:rsidRPr="00A12CC7" w:rsidRDefault="00A12CC7" w:rsidP="00187E94">
            <w:pPr>
              <w:pStyle w:val="Default"/>
              <w:spacing w:line="276" w:lineRule="auto"/>
              <w:jc w:val="right"/>
              <w:rPr>
                <w:sz w:val="20"/>
                <w:szCs w:val="20"/>
              </w:rPr>
            </w:pPr>
            <w:r w:rsidRPr="00A12CC7">
              <w:rPr>
                <w:sz w:val="20"/>
                <w:szCs w:val="20"/>
              </w:rPr>
              <w:t>333.000,00 has</w:t>
            </w:r>
          </w:p>
        </w:tc>
        <w:tc>
          <w:tcPr>
            <w:tcW w:w="1842" w:type="dxa"/>
          </w:tcPr>
          <w:p w14:paraId="084A1B06" w14:textId="77777777" w:rsidR="00A12CC7" w:rsidRPr="00A12CC7" w:rsidRDefault="00A12CC7" w:rsidP="00187E94">
            <w:pPr>
              <w:pStyle w:val="Default"/>
              <w:spacing w:line="276" w:lineRule="auto"/>
              <w:jc w:val="right"/>
              <w:rPr>
                <w:sz w:val="20"/>
                <w:szCs w:val="20"/>
              </w:rPr>
            </w:pPr>
            <w:r w:rsidRPr="00A12CC7">
              <w:rPr>
                <w:sz w:val="20"/>
                <w:szCs w:val="20"/>
              </w:rPr>
              <w:t>85,37%</w:t>
            </w:r>
          </w:p>
          <w:p w14:paraId="1DFB5D45" w14:textId="77777777" w:rsidR="00A12CC7" w:rsidRPr="00A12CC7" w:rsidRDefault="00A12CC7" w:rsidP="00187E94">
            <w:pPr>
              <w:pStyle w:val="Default"/>
              <w:spacing w:line="276" w:lineRule="auto"/>
              <w:jc w:val="right"/>
              <w:rPr>
                <w:sz w:val="20"/>
                <w:szCs w:val="20"/>
              </w:rPr>
            </w:pPr>
            <w:r w:rsidRPr="00A12CC7">
              <w:rPr>
                <w:sz w:val="20"/>
                <w:szCs w:val="20"/>
              </w:rPr>
              <w:t>284.276,72 has</w:t>
            </w:r>
          </w:p>
        </w:tc>
        <w:tc>
          <w:tcPr>
            <w:tcW w:w="1843" w:type="dxa"/>
          </w:tcPr>
          <w:p w14:paraId="4F35DA5C" w14:textId="77777777" w:rsidR="00A12CC7" w:rsidRPr="00A12CC7" w:rsidRDefault="00A12CC7" w:rsidP="00187E94">
            <w:pPr>
              <w:pStyle w:val="Default"/>
              <w:spacing w:line="276" w:lineRule="auto"/>
              <w:jc w:val="right"/>
              <w:rPr>
                <w:sz w:val="20"/>
                <w:szCs w:val="20"/>
              </w:rPr>
            </w:pPr>
            <w:r w:rsidRPr="00A12CC7">
              <w:rPr>
                <w:sz w:val="20"/>
                <w:szCs w:val="20"/>
              </w:rPr>
              <w:t>85,37%</w:t>
            </w:r>
          </w:p>
        </w:tc>
      </w:tr>
      <w:tr w:rsidR="00A12CC7" w:rsidRPr="00A12CC7" w14:paraId="1302470C" w14:textId="77777777" w:rsidTr="00187E94">
        <w:tc>
          <w:tcPr>
            <w:tcW w:w="3114" w:type="dxa"/>
          </w:tcPr>
          <w:p w14:paraId="0301E811" w14:textId="77777777" w:rsidR="00A12CC7" w:rsidRPr="00A12CC7" w:rsidRDefault="00A12CC7" w:rsidP="00187E94">
            <w:pPr>
              <w:pStyle w:val="Default"/>
              <w:spacing w:line="276" w:lineRule="auto"/>
              <w:jc w:val="both"/>
              <w:rPr>
                <w:sz w:val="20"/>
                <w:szCs w:val="20"/>
              </w:rPr>
            </w:pPr>
            <w:r w:rsidRPr="00A12CC7">
              <w:rPr>
                <w:sz w:val="20"/>
                <w:szCs w:val="20"/>
              </w:rPr>
              <w:t>Porcentaje de avance en el desarrollo de la Estrategia REDD+.  </w:t>
            </w:r>
          </w:p>
        </w:tc>
        <w:tc>
          <w:tcPr>
            <w:tcW w:w="1843" w:type="dxa"/>
          </w:tcPr>
          <w:p w14:paraId="7B3077C3" w14:textId="77777777" w:rsidR="00A12CC7" w:rsidRPr="00A12CC7" w:rsidRDefault="00A12CC7" w:rsidP="00187E94">
            <w:pPr>
              <w:pStyle w:val="Default"/>
              <w:spacing w:line="276" w:lineRule="auto"/>
              <w:jc w:val="right"/>
              <w:rPr>
                <w:sz w:val="20"/>
                <w:szCs w:val="20"/>
              </w:rPr>
            </w:pPr>
            <w:r w:rsidRPr="00A12CC7">
              <w:rPr>
                <w:sz w:val="20"/>
                <w:szCs w:val="20"/>
              </w:rPr>
              <w:t>100,00%</w:t>
            </w:r>
          </w:p>
        </w:tc>
        <w:tc>
          <w:tcPr>
            <w:tcW w:w="1842" w:type="dxa"/>
          </w:tcPr>
          <w:p w14:paraId="0D6F7EC3" w14:textId="77777777" w:rsidR="00A12CC7" w:rsidRPr="00A12CC7" w:rsidRDefault="00A12CC7" w:rsidP="00187E94">
            <w:pPr>
              <w:pStyle w:val="Default"/>
              <w:spacing w:line="276" w:lineRule="auto"/>
              <w:jc w:val="right"/>
              <w:rPr>
                <w:sz w:val="20"/>
                <w:szCs w:val="20"/>
              </w:rPr>
            </w:pPr>
            <w:r w:rsidRPr="00A12CC7">
              <w:rPr>
                <w:sz w:val="20"/>
                <w:szCs w:val="20"/>
              </w:rPr>
              <w:t>77,63%</w:t>
            </w:r>
          </w:p>
        </w:tc>
        <w:tc>
          <w:tcPr>
            <w:tcW w:w="1843" w:type="dxa"/>
          </w:tcPr>
          <w:p w14:paraId="095EC042" w14:textId="77777777" w:rsidR="00A12CC7" w:rsidRPr="00A12CC7" w:rsidRDefault="00A12CC7" w:rsidP="00187E94">
            <w:pPr>
              <w:pStyle w:val="Default"/>
              <w:spacing w:line="276" w:lineRule="auto"/>
              <w:jc w:val="right"/>
              <w:rPr>
                <w:sz w:val="20"/>
                <w:szCs w:val="20"/>
              </w:rPr>
            </w:pPr>
            <w:r w:rsidRPr="00A12CC7">
              <w:rPr>
                <w:sz w:val="20"/>
                <w:szCs w:val="20"/>
              </w:rPr>
              <w:t>77,63%</w:t>
            </w:r>
          </w:p>
        </w:tc>
      </w:tr>
      <w:tr w:rsidR="00A12CC7" w:rsidRPr="00A12CC7" w14:paraId="39B817A2" w14:textId="77777777" w:rsidTr="00187E94">
        <w:tc>
          <w:tcPr>
            <w:tcW w:w="3114" w:type="dxa"/>
          </w:tcPr>
          <w:p w14:paraId="596C4B22" w14:textId="77777777" w:rsidR="00A12CC7" w:rsidRPr="00A12CC7" w:rsidRDefault="00A12CC7" w:rsidP="00187E94">
            <w:pPr>
              <w:pStyle w:val="Default"/>
              <w:spacing w:line="276" w:lineRule="auto"/>
              <w:jc w:val="both"/>
              <w:rPr>
                <w:sz w:val="20"/>
                <w:szCs w:val="20"/>
              </w:rPr>
            </w:pPr>
            <w:r w:rsidRPr="00A12CC7">
              <w:rPr>
                <w:sz w:val="20"/>
                <w:szCs w:val="20"/>
              </w:rPr>
              <w:t>Monto de colocación en operaciones de crédito.</w:t>
            </w:r>
          </w:p>
        </w:tc>
        <w:tc>
          <w:tcPr>
            <w:tcW w:w="1843" w:type="dxa"/>
          </w:tcPr>
          <w:p w14:paraId="2A8B44E6" w14:textId="77777777" w:rsidR="00A12CC7" w:rsidRPr="00A12CC7" w:rsidRDefault="00A12CC7" w:rsidP="00187E94">
            <w:pPr>
              <w:pStyle w:val="Default"/>
              <w:spacing w:line="276" w:lineRule="auto"/>
              <w:jc w:val="right"/>
              <w:rPr>
                <w:sz w:val="20"/>
                <w:szCs w:val="20"/>
              </w:rPr>
            </w:pPr>
            <w:r w:rsidRPr="00A12CC7">
              <w:rPr>
                <w:rFonts w:eastAsia="Times New Roman"/>
                <w:sz w:val="20"/>
                <w:szCs w:val="20"/>
                <w:lang w:eastAsia="es-MX"/>
              </w:rPr>
              <w:t>₡</w:t>
            </w:r>
            <w:r w:rsidRPr="00A12CC7">
              <w:rPr>
                <w:sz w:val="20"/>
                <w:szCs w:val="20"/>
              </w:rPr>
              <w:t>1.038,3</w:t>
            </w:r>
          </w:p>
          <w:p w14:paraId="3BDEF476" w14:textId="77777777" w:rsidR="00A12CC7" w:rsidRPr="00A12CC7" w:rsidRDefault="00A12CC7" w:rsidP="00187E94">
            <w:pPr>
              <w:pStyle w:val="Default"/>
              <w:spacing w:line="276" w:lineRule="auto"/>
              <w:jc w:val="right"/>
              <w:rPr>
                <w:sz w:val="20"/>
                <w:szCs w:val="20"/>
              </w:rPr>
            </w:pPr>
            <w:r w:rsidRPr="00A12CC7">
              <w:rPr>
                <w:sz w:val="20"/>
                <w:szCs w:val="20"/>
              </w:rPr>
              <w:t>millones</w:t>
            </w:r>
          </w:p>
        </w:tc>
        <w:tc>
          <w:tcPr>
            <w:tcW w:w="1842" w:type="dxa"/>
          </w:tcPr>
          <w:p w14:paraId="73552297" w14:textId="77777777" w:rsidR="00A12CC7" w:rsidRPr="00A12CC7" w:rsidRDefault="00A12CC7" w:rsidP="00187E94">
            <w:pPr>
              <w:pStyle w:val="Default"/>
              <w:spacing w:line="276" w:lineRule="auto"/>
              <w:jc w:val="right"/>
              <w:rPr>
                <w:sz w:val="20"/>
                <w:szCs w:val="20"/>
              </w:rPr>
            </w:pPr>
            <w:r w:rsidRPr="00A12CC7">
              <w:rPr>
                <w:rFonts w:eastAsia="Times New Roman"/>
                <w:sz w:val="20"/>
                <w:szCs w:val="20"/>
                <w:lang w:eastAsia="es-MX"/>
              </w:rPr>
              <w:t>₡</w:t>
            </w:r>
            <w:r w:rsidRPr="00A12CC7">
              <w:rPr>
                <w:sz w:val="20"/>
                <w:szCs w:val="20"/>
              </w:rPr>
              <w:t>605,6</w:t>
            </w:r>
          </w:p>
          <w:p w14:paraId="241CDEE3" w14:textId="77777777" w:rsidR="00A12CC7" w:rsidRPr="00A12CC7" w:rsidRDefault="00A12CC7" w:rsidP="00187E94">
            <w:pPr>
              <w:pStyle w:val="Default"/>
              <w:spacing w:line="276" w:lineRule="auto"/>
              <w:jc w:val="right"/>
              <w:rPr>
                <w:sz w:val="20"/>
                <w:szCs w:val="20"/>
              </w:rPr>
            </w:pPr>
            <w:r w:rsidRPr="00A12CC7">
              <w:rPr>
                <w:sz w:val="20"/>
                <w:szCs w:val="20"/>
              </w:rPr>
              <w:t>millones</w:t>
            </w:r>
          </w:p>
        </w:tc>
        <w:tc>
          <w:tcPr>
            <w:tcW w:w="1843" w:type="dxa"/>
          </w:tcPr>
          <w:p w14:paraId="029F70D4" w14:textId="77777777" w:rsidR="00A12CC7" w:rsidRPr="00A12CC7" w:rsidRDefault="00A12CC7" w:rsidP="00187E94">
            <w:pPr>
              <w:pStyle w:val="Default"/>
              <w:spacing w:line="276" w:lineRule="auto"/>
              <w:jc w:val="right"/>
              <w:rPr>
                <w:sz w:val="20"/>
                <w:szCs w:val="20"/>
              </w:rPr>
            </w:pPr>
            <w:r w:rsidRPr="00A12CC7">
              <w:rPr>
                <w:sz w:val="20"/>
                <w:szCs w:val="20"/>
              </w:rPr>
              <w:t>58,33%</w:t>
            </w:r>
          </w:p>
        </w:tc>
      </w:tr>
    </w:tbl>
    <w:p w14:paraId="7CCA7EE0" w14:textId="77777777" w:rsidR="00A62A68" w:rsidRPr="00F66BFC" w:rsidRDefault="00A62A68" w:rsidP="00A62A68">
      <w:pPr>
        <w:pStyle w:val="Prrafodelista"/>
        <w:spacing w:after="0"/>
        <w:ind w:left="284"/>
        <w:contextualSpacing w:val="0"/>
        <w:jc w:val="both"/>
        <w:rPr>
          <w:rFonts w:ascii="Arial" w:eastAsia="Times New Roman" w:hAnsi="Arial" w:cs="Arial"/>
          <w:b/>
          <w:bCs/>
          <w:sz w:val="24"/>
          <w:szCs w:val="24"/>
          <w:lang w:eastAsia="es-CR"/>
        </w:rPr>
      </w:pPr>
    </w:p>
    <w:p w14:paraId="7F725434" w14:textId="00915266" w:rsidR="0001309A" w:rsidRDefault="001F4B0E" w:rsidP="005641E3">
      <w:pPr>
        <w:pStyle w:val="Ttulo2"/>
        <w:rPr>
          <w:rFonts w:ascii="Arial" w:hAnsi="Arial" w:cs="Arial"/>
          <w:color w:val="auto"/>
          <w:sz w:val="24"/>
          <w:szCs w:val="24"/>
        </w:rPr>
      </w:pPr>
      <w:bookmarkStart w:id="26" w:name="_Toc94522225"/>
      <w:r w:rsidRPr="005641E3">
        <w:rPr>
          <w:rFonts w:ascii="Arial" w:hAnsi="Arial" w:cs="Arial"/>
          <w:color w:val="auto"/>
          <w:sz w:val="24"/>
          <w:szCs w:val="24"/>
        </w:rPr>
        <w:t>9.</w:t>
      </w:r>
      <w:r w:rsidR="00EE41E6" w:rsidRPr="005641E3">
        <w:rPr>
          <w:rFonts w:ascii="Arial" w:hAnsi="Arial" w:cs="Arial"/>
          <w:color w:val="auto"/>
          <w:sz w:val="24"/>
          <w:szCs w:val="24"/>
        </w:rPr>
        <w:t>2</w:t>
      </w:r>
      <w:r w:rsidRPr="005641E3">
        <w:rPr>
          <w:rFonts w:ascii="Arial" w:hAnsi="Arial" w:cs="Arial"/>
          <w:color w:val="auto"/>
          <w:sz w:val="24"/>
          <w:szCs w:val="24"/>
        </w:rPr>
        <w:t xml:space="preserve"> Desviaciones de mayor relevancia</w:t>
      </w:r>
      <w:bookmarkEnd w:id="26"/>
    </w:p>
    <w:p w14:paraId="59AC2A7F" w14:textId="77777777" w:rsidR="00681339" w:rsidRDefault="00681339" w:rsidP="00681339">
      <w:pPr>
        <w:pStyle w:val="Default"/>
        <w:spacing w:line="276" w:lineRule="auto"/>
        <w:jc w:val="both"/>
      </w:pPr>
    </w:p>
    <w:p w14:paraId="17166823" w14:textId="5CA7405C" w:rsidR="00681339" w:rsidRPr="003F00C6" w:rsidRDefault="00681339" w:rsidP="00681339">
      <w:pPr>
        <w:pStyle w:val="Default"/>
        <w:spacing w:line="276" w:lineRule="auto"/>
        <w:jc w:val="both"/>
      </w:pPr>
      <w:r>
        <w:t>L</w:t>
      </w:r>
      <w:r w:rsidRPr="003F00C6">
        <w:t xml:space="preserve">as desviaciones más importantes se encuentran en el Programa de Crédito Forestal. El programa de Crédito Forestal ha tenido dificultad para lograr los objetivos institucionales del periodo debido </w:t>
      </w:r>
      <w:r>
        <w:t xml:space="preserve">a que </w:t>
      </w:r>
      <w:r w:rsidRPr="003F00C6">
        <w:t xml:space="preserve">la situación </w:t>
      </w:r>
      <w:r w:rsidR="00CD22C7">
        <w:t xml:space="preserve">de la </w:t>
      </w:r>
      <w:r w:rsidRPr="003F00C6">
        <w:t xml:space="preserve">economía nacional se ha contraído como efecto de las medidas tomadas para contrarrestar la pandemia de la enfermedad del COVID19, afectando también a los productores forestales. En este sentido, al haber menor dinamismo en el sector y en el consumo en general los productores forestales han perdido el interés en optar por créditos forestales para invertir en sus negocios pues hay una mayor incertidumbre que en </w:t>
      </w:r>
      <w:r w:rsidR="00CD22C7" w:rsidRPr="003F00C6">
        <w:t>años</w:t>
      </w:r>
      <w:r w:rsidRPr="003F00C6">
        <w:t xml:space="preserve"> anteriores sobre la capacidad de pago. Además, algunos de los clientes del programa con operaciones crediticias vigentes han requerido de acuerdos para ablandar el impacto que ha tenido la pandemia en sus negocios y poder continuar con los pagos de los créditos que mantienen con la institución. </w:t>
      </w:r>
    </w:p>
    <w:p w14:paraId="51A5B46C" w14:textId="77777777" w:rsidR="00681339" w:rsidRPr="003F00C6" w:rsidRDefault="00681339" w:rsidP="00681339">
      <w:pPr>
        <w:pStyle w:val="Default"/>
        <w:spacing w:line="276" w:lineRule="auto"/>
        <w:jc w:val="both"/>
      </w:pPr>
    </w:p>
    <w:p w14:paraId="60154068" w14:textId="77777777" w:rsidR="005641E3" w:rsidRPr="005641E3" w:rsidRDefault="005641E3" w:rsidP="005641E3"/>
    <w:p w14:paraId="69D16BEE" w14:textId="0632F772" w:rsidR="00666B67" w:rsidRDefault="009031CC" w:rsidP="005641E3">
      <w:pPr>
        <w:pStyle w:val="Ttulo2"/>
        <w:rPr>
          <w:rFonts w:ascii="Arial" w:hAnsi="Arial" w:cs="Arial"/>
          <w:color w:val="auto"/>
          <w:sz w:val="24"/>
          <w:szCs w:val="24"/>
        </w:rPr>
      </w:pPr>
      <w:bookmarkStart w:id="27" w:name="_Toc94522226"/>
      <w:r w:rsidRPr="005641E3">
        <w:rPr>
          <w:rFonts w:ascii="Arial" w:hAnsi="Arial" w:cs="Arial"/>
          <w:color w:val="auto"/>
          <w:sz w:val="24"/>
          <w:szCs w:val="24"/>
        </w:rPr>
        <w:t>9.</w:t>
      </w:r>
      <w:r w:rsidR="00EE41E6" w:rsidRPr="005641E3">
        <w:rPr>
          <w:rFonts w:ascii="Arial" w:hAnsi="Arial" w:cs="Arial"/>
          <w:color w:val="auto"/>
          <w:sz w:val="24"/>
          <w:szCs w:val="24"/>
        </w:rPr>
        <w:t>3</w:t>
      </w:r>
      <w:r w:rsidRPr="005641E3">
        <w:rPr>
          <w:rFonts w:ascii="Arial" w:hAnsi="Arial" w:cs="Arial"/>
          <w:color w:val="auto"/>
          <w:sz w:val="24"/>
          <w:szCs w:val="24"/>
        </w:rPr>
        <w:t xml:space="preserve"> Análisis del desempeño institucional</w:t>
      </w:r>
      <w:bookmarkEnd w:id="27"/>
    </w:p>
    <w:p w14:paraId="6C4B89CF" w14:textId="77777777" w:rsidR="0079381F" w:rsidRPr="0079381F" w:rsidRDefault="0079381F" w:rsidP="0079381F"/>
    <w:p w14:paraId="00551C55" w14:textId="77777777" w:rsidR="0079381F" w:rsidRDefault="0079381F" w:rsidP="0079381F">
      <w:pPr>
        <w:pStyle w:val="Default"/>
        <w:spacing w:line="276" w:lineRule="auto"/>
        <w:jc w:val="both"/>
      </w:pPr>
      <w:r w:rsidRPr="003F00C6">
        <w:t xml:space="preserve">El Fonafifo, a través de sus programas sustantivos, ha contribuido de forma muy significativa con la reactivación económica del país y especialmente con la del sector productor forestal de Costa Rica. El Programa de Pago por Servicios Ambientales (PPSA), creado para financiar a pequeños y medianos productores forestales por los servicios ambientales que estos prestan, ha permitido el </w:t>
      </w:r>
    </w:p>
    <w:p w14:paraId="347497E2" w14:textId="77777777" w:rsidR="0079381F" w:rsidRDefault="0079381F" w:rsidP="0079381F">
      <w:pPr>
        <w:pStyle w:val="Default"/>
        <w:spacing w:line="276" w:lineRule="auto"/>
        <w:jc w:val="both"/>
      </w:pPr>
    </w:p>
    <w:p w14:paraId="5C62AF5B" w14:textId="52772E4F" w:rsidR="0079381F" w:rsidRPr="003F00C6" w:rsidRDefault="0079381F" w:rsidP="0079381F">
      <w:pPr>
        <w:pStyle w:val="Default"/>
        <w:spacing w:line="276" w:lineRule="auto"/>
        <w:jc w:val="both"/>
      </w:pPr>
      <w:r w:rsidRPr="003F00C6">
        <w:t xml:space="preserve">fortalecimiento de este sector al desembolsar un monto total </w:t>
      </w:r>
      <w:r w:rsidRPr="00466E7E">
        <w:t>de</w:t>
      </w:r>
      <w:r>
        <w:t xml:space="preserve">                                                           </w:t>
      </w:r>
      <w:r w:rsidRPr="00466E7E">
        <w:t>₡</w:t>
      </w:r>
      <w:r>
        <w:t xml:space="preserve"> 12.560.321.960</w:t>
      </w:r>
      <w:r w:rsidRPr="00466E7E">
        <w:t>,80</w:t>
      </w:r>
      <w:r>
        <w:t xml:space="preserve"> correspondiente al pago de </w:t>
      </w:r>
      <w:r w:rsidRPr="00E00A84">
        <w:rPr>
          <w:color w:val="auto"/>
        </w:rPr>
        <w:t>284.</w:t>
      </w:r>
      <w:r w:rsidR="00E00A84" w:rsidRPr="00E00A84">
        <w:rPr>
          <w:color w:val="auto"/>
        </w:rPr>
        <w:t>161</w:t>
      </w:r>
      <w:r w:rsidRPr="00E00A84">
        <w:rPr>
          <w:color w:val="auto"/>
        </w:rPr>
        <w:t xml:space="preserve"> </w:t>
      </w:r>
      <w:r>
        <w:t>hectáreas para el año 2021</w:t>
      </w:r>
      <w:r w:rsidRPr="003F00C6">
        <w:t>.</w:t>
      </w:r>
    </w:p>
    <w:p w14:paraId="50EE12AB" w14:textId="77777777" w:rsidR="0079381F" w:rsidRPr="003F00C6" w:rsidRDefault="0079381F" w:rsidP="0079381F">
      <w:pPr>
        <w:pStyle w:val="Default"/>
        <w:spacing w:line="276" w:lineRule="auto"/>
        <w:jc w:val="both"/>
      </w:pPr>
    </w:p>
    <w:p w14:paraId="584F1771" w14:textId="77777777" w:rsidR="0079381F" w:rsidRPr="003F00C6" w:rsidRDefault="0079381F" w:rsidP="0079381F">
      <w:pPr>
        <w:pStyle w:val="Default"/>
        <w:spacing w:line="276" w:lineRule="auto"/>
        <w:jc w:val="both"/>
      </w:pPr>
      <w:r w:rsidRPr="003F00C6">
        <w:t>La labor que desempeña el Fonafifo incide directamente sobre la calidad ambiental nacional</w:t>
      </w:r>
      <w:r>
        <w:t xml:space="preserve"> pues los servicios ambientales financiados son la protección del recurso hídrico, la fijación de carbono que contribuye a la mitigación de gases efecto invernadero, la protección de la biodiversidad que es base para el desarrollo de la industria textil, alimentaria y farmacéutica y la belleza escénica que estimula la atracción de recursos y reactivación económica a través de la visitación turística. </w:t>
      </w:r>
      <w:r w:rsidRPr="003F00C6">
        <w:t xml:space="preserve">Los recursos ejecutados por el PPSA han permitido la protección de </w:t>
      </w:r>
      <w:r>
        <w:t>en promedio 300 mil</w:t>
      </w:r>
      <w:r w:rsidRPr="003F00C6">
        <w:t xml:space="preserve"> hectáreas</w:t>
      </w:r>
      <w:r>
        <w:t xml:space="preserve"> anuales</w:t>
      </w:r>
      <w:r w:rsidRPr="003F00C6">
        <w:t xml:space="preserve"> de bosques y plantaciones forestales de pequeños y medianos productores forestales a lo largo y ancho de todo el país</w:t>
      </w:r>
      <w:r>
        <w:t xml:space="preserve"> y para el año especifico 2021, a pesar de las múltiples restricciones presupuestarias y estrictas normas de ejecución de recursos,  poco más de 284 mil hectáreas.</w:t>
      </w:r>
      <w:r w:rsidRPr="003F00C6">
        <w:t xml:space="preserve"> A su vez, estos territorios han permitido la captura de 125.377.033</w:t>
      </w:r>
      <w:r>
        <w:t xml:space="preserve"> </w:t>
      </w:r>
      <w:r w:rsidRPr="003F00C6">
        <w:t>toneladas de CO</w:t>
      </w:r>
      <w:r w:rsidRPr="003F00C6">
        <w:rPr>
          <w:vertAlign w:val="subscript"/>
        </w:rPr>
        <w:t>2</w:t>
      </w:r>
      <w:r w:rsidRPr="003F00C6">
        <w:t xml:space="preserve"> (124.487.503,09 toneladas contenidas en los bosques bajo contratos vigentes de PSA y 889.529,56 toneladas </w:t>
      </w:r>
      <w:r>
        <w:t xml:space="preserve">mitigadas </w:t>
      </w:r>
      <w:r w:rsidRPr="003F00C6">
        <w:t>bajo contratos vigentes de en las modalidades de reforestación, regeneración y SAF)</w:t>
      </w:r>
      <w:r>
        <w:t xml:space="preserve"> y estas acciones coadyuvan al país en el cumplimiento de sus compromisos internacionales en materia de descarbonización y C- Neutralidad. </w:t>
      </w:r>
      <w:r w:rsidRPr="003F00C6">
        <w:t xml:space="preserve"> La distribución de los recursos financieros ejecutados en relación con las distintas actividades del programa con las áreas de interés del Mideplan es la siguiente:</w:t>
      </w:r>
    </w:p>
    <w:p w14:paraId="6D432469" w14:textId="77777777" w:rsidR="0079381F" w:rsidRPr="003F00C6" w:rsidRDefault="0079381F" w:rsidP="0079381F">
      <w:pPr>
        <w:pStyle w:val="Default"/>
        <w:spacing w:line="276" w:lineRule="auto"/>
        <w:jc w:val="both"/>
      </w:pPr>
    </w:p>
    <w:tbl>
      <w:tblPr>
        <w:tblStyle w:val="Tablaconcuadrcula"/>
        <w:tblW w:w="10774" w:type="dxa"/>
        <w:tblInd w:w="-998" w:type="dxa"/>
        <w:tblLook w:val="04A0" w:firstRow="1" w:lastRow="0" w:firstColumn="1" w:lastColumn="0" w:noHBand="0" w:noVBand="1"/>
      </w:tblPr>
      <w:tblGrid>
        <w:gridCol w:w="1239"/>
        <w:gridCol w:w="1106"/>
        <w:gridCol w:w="1918"/>
        <w:gridCol w:w="1217"/>
        <w:gridCol w:w="2034"/>
        <w:gridCol w:w="1231"/>
        <w:gridCol w:w="2029"/>
      </w:tblGrid>
      <w:tr w:rsidR="0079381F" w:rsidRPr="00E44261" w14:paraId="19EFC3A2" w14:textId="77777777" w:rsidTr="00E44261">
        <w:tc>
          <w:tcPr>
            <w:tcW w:w="1239" w:type="dxa"/>
            <w:vMerge w:val="restart"/>
            <w:shd w:val="clear" w:color="auto" w:fill="EAF1DD" w:themeFill="accent3" w:themeFillTint="33"/>
            <w:vAlign w:val="center"/>
          </w:tcPr>
          <w:p w14:paraId="43D8D298" w14:textId="77777777" w:rsidR="0079381F" w:rsidRPr="00E44261" w:rsidRDefault="0079381F" w:rsidP="00187E94">
            <w:pPr>
              <w:pStyle w:val="Default"/>
              <w:spacing w:line="276" w:lineRule="auto"/>
              <w:jc w:val="center"/>
              <w:rPr>
                <w:b/>
                <w:bCs/>
                <w:sz w:val="18"/>
                <w:szCs w:val="18"/>
              </w:rPr>
            </w:pPr>
            <w:r w:rsidRPr="00E44261">
              <w:rPr>
                <w:b/>
                <w:bCs/>
                <w:sz w:val="18"/>
                <w:szCs w:val="18"/>
              </w:rPr>
              <w:t>Región Mideplan</w:t>
            </w:r>
          </w:p>
        </w:tc>
        <w:tc>
          <w:tcPr>
            <w:tcW w:w="3024" w:type="dxa"/>
            <w:gridSpan w:val="2"/>
            <w:shd w:val="clear" w:color="auto" w:fill="EAF1DD" w:themeFill="accent3" w:themeFillTint="33"/>
            <w:vAlign w:val="center"/>
          </w:tcPr>
          <w:p w14:paraId="7013F432" w14:textId="77777777" w:rsidR="0079381F" w:rsidRPr="00E44261" w:rsidRDefault="0079381F" w:rsidP="00187E94">
            <w:pPr>
              <w:pStyle w:val="Default"/>
              <w:spacing w:line="276" w:lineRule="auto"/>
              <w:jc w:val="center"/>
              <w:rPr>
                <w:b/>
                <w:bCs/>
                <w:sz w:val="18"/>
                <w:szCs w:val="18"/>
              </w:rPr>
            </w:pPr>
            <w:r w:rsidRPr="00E44261">
              <w:rPr>
                <w:b/>
                <w:bCs/>
                <w:sz w:val="18"/>
                <w:szCs w:val="18"/>
              </w:rPr>
              <w:t>Recuperación de la cobertura</w:t>
            </w:r>
          </w:p>
        </w:tc>
        <w:tc>
          <w:tcPr>
            <w:tcW w:w="3251" w:type="dxa"/>
            <w:gridSpan w:val="2"/>
            <w:shd w:val="clear" w:color="auto" w:fill="EAF1DD" w:themeFill="accent3" w:themeFillTint="33"/>
            <w:vAlign w:val="center"/>
          </w:tcPr>
          <w:p w14:paraId="488C2058" w14:textId="77777777" w:rsidR="0079381F" w:rsidRPr="00E44261" w:rsidRDefault="0079381F" w:rsidP="00187E94">
            <w:pPr>
              <w:pStyle w:val="Default"/>
              <w:spacing w:line="276" w:lineRule="auto"/>
              <w:jc w:val="center"/>
              <w:rPr>
                <w:b/>
                <w:bCs/>
                <w:sz w:val="18"/>
                <w:szCs w:val="18"/>
              </w:rPr>
            </w:pPr>
            <w:r w:rsidRPr="00E44261">
              <w:rPr>
                <w:b/>
                <w:bCs/>
                <w:sz w:val="18"/>
                <w:szCs w:val="18"/>
              </w:rPr>
              <w:t>Mantenimiento de la cobertura</w:t>
            </w:r>
          </w:p>
        </w:tc>
        <w:tc>
          <w:tcPr>
            <w:tcW w:w="3260" w:type="dxa"/>
            <w:gridSpan w:val="2"/>
            <w:shd w:val="clear" w:color="auto" w:fill="EAF1DD" w:themeFill="accent3" w:themeFillTint="33"/>
            <w:vAlign w:val="center"/>
          </w:tcPr>
          <w:p w14:paraId="42C1A550" w14:textId="77777777" w:rsidR="0079381F" w:rsidRPr="00E44261" w:rsidRDefault="0079381F" w:rsidP="00187E94">
            <w:pPr>
              <w:pStyle w:val="Default"/>
              <w:spacing w:line="276" w:lineRule="auto"/>
              <w:jc w:val="center"/>
              <w:rPr>
                <w:b/>
                <w:bCs/>
                <w:sz w:val="18"/>
                <w:szCs w:val="18"/>
              </w:rPr>
            </w:pPr>
            <w:r w:rsidRPr="00E44261">
              <w:rPr>
                <w:b/>
                <w:bCs/>
                <w:sz w:val="18"/>
                <w:szCs w:val="18"/>
              </w:rPr>
              <w:t>Total</w:t>
            </w:r>
          </w:p>
        </w:tc>
      </w:tr>
      <w:tr w:rsidR="0079381F" w:rsidRPr="00E44261" w14:paraId="1A223A3A" w14:textId="77777777" w:rsidTr="00E44261">
        <w:tc>
          <w:tcPr>
            <w:tcW w:w="1239" w:type="dxa"/>
            <w:vMerge/>
            <w:shd w:val="clear" w:color="auto" w:fill="EAF1DD" w:themeFill="accent3" w:themeFillTint="33"/>
            <w:vAlign w:val="center"/>
          </w:tcPr>
          <w:p w14:paraId="1E30E1F7" w14:textId="77777777" w:rsidR="0079381F" w:rsidRPr="00E44261" w:rsidRDefault="0079381F" w:rsidP="00187E94">
            <w:pPr>
              <w:pStyle w:val="Default"/>
              <w:spacing w:line="276" w:lineRule="auto"/>
              <w:jc w:val="center"/>
              <w:rPr>
                <w:b/>
                <w:bCs/>
                <w:sz w:val="18"/>
                <w:szCs w:val="18"/>
              </w:rPr>
            </w:pPr>
          </w:p>
        </w:tc>
        <w:tc>
          <w:tcPr>
            <w:tcW w:w="1106" w:type="dxa"/>
            <w:shd w:val="clear" w:color="auto" w:fill="EAF1DD" w:themeFill="accent3" w:themeFillTint="33"/>
            <w:vAlign w:val="center"/>
          </w:tcPr>
          <w:p w14:paraId="5459787A" w14:textId="77777777" w:rsidR="0079381F" w:rsidRPr="00E44261" w:rsidRDefault="0079381F" w:rsidP="00187E94">
            <w:pPr>
              <w:pStyle w:val="Default"/>
              <w:spacing w:line="276" w:lineRule="auto"/>
              <w:jc w:val="center"/>
              <w:rPr>
                <w:b/>
                <w:bCs/>
                <w:sz w:val="18"/>
                <w:szCs w:val="18"/>
              </w:rPr>
            </w:pPr>
            <w:r w:rsidRPr="00E44261">
              <w:rPr>
                <w:b/>
                <w:bCs/>
                <w:sz w:val="18"/>
                <w:szCs w:val="18"/>
              </w:rPr>
              <w:t>Has</w:t>
            </w:r>
          </w:p>
        </w:tc>
        <w:tc>
          <w:tcPr>
            <w:tcW w:w="1918" w:type="dxa"/>
            <w:shd w:val="clear" w:color="auto" w:fill="EAF1DD" w:themeFill="accent3" w:themeFillTint="33"/>
            <w:vAlign w:val="center"/>
          </w:tcPr>
          <w:p w14:paraId="076FBF8F" w14:textId="77777777" w:rsidR="0079381F" w:rsidRPr="00E44261" w:rsidRDefault="0079381F" w:rsidP="00187E94">
            <w:pPr>
              <w:pStyle w:val="Default"/>
              <w:spacing w:line="276" w:lineRule="auto"/>
              <w:jc w:val="center"/>
              <w:rPr>
                <w:b/>
                <w:bCs/>
                <w:sz w:val="18"/>
                <w:szCs w:val="18"/>
              </w:rPr>
            </w:pPr>
            <w:r w:rsidRPr="00E44261">
              <w:rPr>
                <w:b/>
                <w:bCs/>
                <w:sz w:val="18"/>
                <w:szCs w:val="18"/>
              </w:rPr>
              <w:t>Monto</w:t>
            </w:r>
          </w:p>
        </w:tc>
        <w:tc>
          <w:tcPr>
            <w:tcW w:w="1217" w:type="dxa"/>
            <w:shd w:val="clear" w:color="auto" w:fill="EAF1DD" w:themeFill="accent3" w:themeFillTint="33"/>
            <w:vAlign w:val="center"/>
          </w:tcPr>
          <w:p w14:paraId="65147F41" w14:textId="77777777" w:rsidR="0079381F" w:rsidRPr="00E44261" w:rsidRDefault="0079381F" w:rsidP="00187E94">
            <w:pPr>
              <w:pStyle w:val="Default"/>
              <w:spacing w:line="276" w:lineRule="auto"/>
              <w:jc w:val="center"/>
              <w:rPr>
                <w:b/>
                <w:bCs/>
                <w:sz w:val="18"/>
                <w:szCs w:val="18"/>
              </w:rPr>
            </w:pPr>
            <w:r w:rsidRPr="00E44261">
              <w:rPr>
                <w:b/>
                <w:bCs/>
                <w:sz w:val="18"/>
                <w:szCs w:val="18"/>
              </w:rPr>
              <w:t>Has</w:t>
            </w:r>
          </w:p>
        </w:tc>
        <w:tc>
          <w:tcPr>
            <w:tcW w:w="2034" w:type="dxa"/>
            <w:shd w:val="clear" w:color="auto" w:fill="EAF1DD" w:themeFill="accent3" w:themeFillTint="33"/>
            <w:vAlign w:val="center"/>
          </w:tcPr>
          <w:p w14:paraId="5E62C431" w14:textId="77777777" w:rsidR="0079381F" w:rsidRPr="00E44261" w:rsidRDefault="0079381F" w:rsidP="00187E94">
            <w:pPr>
              <w:pStyle w:val="Default"/>
              <w:spacing w:line="276" w:lineRule="auto"/>
              <w:jc w:val="center"/>
              <w:rPr>
                <w:b/>
                <w:bCs/>
                <w:sz w:val="18"/>
                <w:szCs w:val="18"/>
              </w:rPr>
            </w:pPr>
            <w:r w:rsidRPr="00E44261">
              <w:rPr>
                <w:b/>
                <w:bCs/>
                <w:sz w:val="18"/>
                <w:szCs w:val="18"/>
              </w:rPr>
              <w:t>Monto</w:t>
            </w:r>
          </w:p>
        </w:tc>
        <w:tc>
          <w:tcPr>
            <w:tcW w:w="1231" w:type="dxa"/>
            <w:shd w:val="clear" w:color="auto" w:fill="EAF1DD" w:themeFill="accent3" w:themeFillTint="33"/>
            <w:vAlign w:val="center"/>
          </w:tcPr>
          <w:p w14:paraId="0E0D7501" w14:textId="77777777" w:rsidR="0079381F" w:rsidRPr="00E44261" w:rsidRDefault="0079381F" w:rsidP="00187E94">
            <w:pPr>
              <w:pStyle w:val="Default"/>
              <w:spacing w:line="276" w:lineRule="auto"/>
              <w:jc w:val="center"/>
              <w:rPr>
                <w:b/>
                <w:bCs/>
                <w:sz w:val="18"/>
                <w:szCs w:val="18"/>
              </w:rPr>
            </w:pPr>
            <w:r w:rsidRPr="00E44261">
              <w:rPr>
                <w:b/>
                <w:bCs/>
                <w:sz w:val="18"/>
                <w:szCs w:val="18"/>
              </w:rPr>
              <w:t>Has</w:t>
            </w:r>
          </w:p>
        </w:tc>
        <w:tc>
          <w:tcPr>
            <w:tcW w:w="2029" w:type="dxa"/>
            <w:shd w:val="clear" w:color="auto" w:fill="EAF1DD" w:themeFill="accent3" w:themeFillTint="33"/>
            <w:vAlign w:val="center"/>
          </w:tcPr>
          <w:p w14:paraId="354E5BBD" w14:textId="77777777" w:rsidR="0079381F" w:rsidRPr="00E44261" w:rsidRDefault="0079381F" w:rsidP="00187E94">
            <w:pPr>
              <w:pStyle w:val="Default"/>
              <w:spacing w:line="276" w:lineRule="auto"/>
              <w:jc w:val="center"/>
              <w:rPr>
                <w:b/>
                <w:bCs/>
                <w:sz w:val="18"/>
                <w:szCs w:val="18"/>
              </w:rPr>
            </w:pPr>
            <w:r w:rsidRPr="00E44261">
              <w:rPr>
                <w:b/>
                <w:bCs/>
                <w:sz w:val="18"/>
                <w:szCs w:val="18"/>
              </w:rPr>
              <w:t>Monto</w:t>
            </w:r>
          </w:p>
        </w:tc>
      </w:tr>
      <w:tr w:rsidR="0079381F" w:rsidRPr="00E44261" w14:paraId="36AE689C" w14:textId="77777777" w:rsidTr="00E44261">
        <w:tc>
          <w:tcPr>
            <w:tcW w:w="1239" w:type="dxa"/>
            <w:shd w:val="clear" w:color="auto" w:fill="EAF1DD" w:themeFill="accent3" w:themeFillTint="33"/>
          </w:tcPr>
          <w:p w14:paraId="2E20915F" w14:textId="77777777" w:rsidR="0079381F" w:rsidRPr="00E44261" w:rsidRDefault="0079381F" w:rsidP="00187E94">
            <w:pPr>
              <w:pStyle w:val="Default"/>
              <w:spacing w:line="276" w:lineRule="auto"/>
              <w:jc w:val="both"/>
              <w:rPr>
                <w:b/>
                <w:bCs/>
                <w:sz w:val="18"/>
                <w:szCs w:val="18"/>
              </w:rPr>
            </w:pPr>
            <w:r w:rsidRPr="00E44261">
              <w:rPr>
                <w:b/>
                <w:bCs/>
                <w:sz w:val="18"/>
                <w:szCs w:val="18"/>
              </w:rPr>
              <w:t>Atlántico</w:t>
            </w:r>
          </w:p>
        </w:tc>
        <w:tc>
          <w:tcPr>
            <w:tcW w:w="1106" w:type="dxa"/>
          </w:tcPr>
          <w:p w14:paraId="3275BC3C" w14:textId="77777777" w:rsidR="0079381F" w:rsidRPr="00E44261" w:rsidRDefault="0079381F" w:rsidP="00187E94">
            <w:pPr>
              <w:pStyle w:val="Default"/>
              <w:spacing w:line="276" w:lineRule="auto"/>
              <w:jc w:val="right"/>
              <w:rPr>
                <w:sz w:val="18"/>
                <w:szCs w:val="18"/>
              </w:rPr>
            </w:pPr>
            <w:r w:rsidRPr="00E44261">
              <w:rPr>
                <w:sz w:val="18"/>
                <w:szCs w:val="18"/>
              </w:rPr>
              <w:t xml:space="preserve">1.280,60              </w:t>
            </w:r>
          </w:p>
        </w:tc>
        <w:tc>
          <w:tcPr>
            <w:tcW w:w="1918" w:type="dxa"/>
          </w:tcPr>
          <w:p w14:paraId="69C311A7" w14:textId="77777777" w:rsidR="0079381F" w:rsidRPr="00E44261" w:rsidRDefault="0079381F" w:rsidP="00187E94">
            <w:pPr>
              <w:pStyle w:val="Default"/>
              <w:spacing w:line="276" w:lineRule="auto"/>
              <w:jc w:val="right"/>
              <w:rPr>
                <w:sz w:val="18"/>
                <w:szCs w:val="18"/>
              </w:rPr>
            </w:pPr>
            <w:r w:rsidRPr="00E44261">
              <w:rPr>
                <w:sz w:val="18"/>
                <w:szCs w:val="18"/>
              </w:rPr>
              <w:t>₡60.774.476,12</w:t>
            </w:r>
          </w:p>
        </w:tc>
        <w:tc>
          <w:tcPr>
            <w:tcW w:w="1217" w:type="dxa"/>
          </w:tcPr>
          <w:p w14:paraId="7B8914EC" w14:textId="77777777" w:rsidR="0079381F" w:rsidRPr="00E44261" w:rsidRDefault="0079381F" w:rsidP="00187E94">
            <w:pPr>
              <w:pStyle w:val="Default"/>
              <w:spacing w:line="276" w:lineRule="auto"/>
              <w:jc w:val="right"/>
              <w:rPr>
                <w:sz w:val="18"/>
                <w:szCs w:val="18"/>
              </w:rPr>
            </w:pPr>
            <w:r w:rsidRPr="00E44261">
              <w:rPr>
                <w:sz w:val="18"/>
                <w:szCs w:val="18"/>
              </w:rPr>
              <w:t xml:space="preserve">53.469,53 </w:t>
            </w:r>
          </w:p>
          <w:p w14:paraId="54F49918" w14:textId="77777777" w:rsidR="0079381F" w:rsidRPr="00E44261" w:rsidRDefault="0079381F" w:rsidP="00187E94">
            <w:pPr>
              <w:pStyle w:val="Default"/>
              <w:spacing w:line="276" w:lineRule="auto"/>
              <w:jc w:val="right"/>
              <w:rPr>
                <w:sz w:val="18"/>
                <w:szCs w:val="18"/>
              </w:rPr>
            </w:pPr>
            <w:r w:rsidRPr="00E44261">
              <w:rPr>
                <w:sz w:val="18"/>
                <w:szCs w:val="18"/>
              </w:rPr>
              <w:t xml:space="preserve">                  </w:t>
            </w:r>
          </w:p>
          <w:p w14:paraId="46A21532" w14:textId="77777777" w:rsidR="0079381F" w:rsidRPr="00E44261" w:rsidRDefault="0079381F" w:rsidP="00187E94">
            <w:pPr>
              <w:pStyle w:val="Default"/>
              <w:spacing w:line="276" w:lineRule="auto"/>
              <w:jc w:val="right"/>
              <w:rPr>
                <w:sz w:val="18"/>
                <w:szCs w:val="18"/>
              </w:rPr>
            </w:pPr>
          </w:p>
        </w:tc>
        <w:tc>
          <w:tcPr>
            <w:tcW w:w="2034" w:type="dxa"/>
          </w:tcPr>
          <w:p w14:paraId="5313F315" w14:textId="77777777" w:rsidR="0079381F" w:rsidRPr="00E44261" w:rsidRDefault="0079381F" w:rsidP="00187E94">
            <w:pPr>
              <w:pStyle w:val="Default"/>
              <w:spacing w:line="276" w:lineRule="auto"/>
              <w:jc w:val="right"/>
              <w:rPr>
                <w:sz w:val="18"/>
                <w:szCs w:val="18"/>
              </w:rPr>
            </w:pPr>
            <w:r w:rsidRPr="00E44261">
              <w:rPr>
                <w:sz w:val="18"/>
                <w:szCs w:val="18"/>
              </w:rPr>
              <w:t xml:space="preserve">₡2.112.223 183,73 </w:t>
            </w:r>
          </w:p>
          <w:p w14:paraId="3F615741" w14:textId="77777777" w:rsidR="0079381F" w:rsidRPr="00E44261" w:rsidRDefault="0079381F" w:rsidP="00187E94">
            <w:pPr>
              <w:pStyle w:val="Default"/>
              <w:spacing w:line="276" w:lineRule="auto"/>
              <w:jc w:val="right"/>
              <w:rPr>
                <w:sz w:val="18"/>
                <w:szCs w:val="18"/>
              </w:rPr>
            </w:pPr>
            <w:r w:rsidRPr="00E44261">
              <w:rPr>
                <w:sz w:val="18"/>
                <w:szCs w:val="18"/>
              </w:rPr>
              <w:t xml:space="preserve"> </w:t>
            </w:r>
          </w:p>
          <w:p w14:paraId="145D1E4D" w14:textId="77777777" w:rsidR="0079381F" w:rsidRPr="00E44261" w:rsidRDefault="0079381F" w:rsidP="00187E94">
            <w:pPr>
              <w:pStyle w:val="Default"/>
              <w:spacing w:line="276" w:lineRule="auto"/>
              <w:jc w:val="right"/>
              <w:rPr>
                <w:sz w:val="18"/>
                <w:szCs w:val="18"/>
              </w:rPr>
            </w:pPr>
          </w:p>
        </w:tc>
        <w:tc>
          <w:tcPr>
            <w:tcW w:w="1231" w:type="dxa"/>
          </w:tcPr>
          <w:p w14:paraId="5360209A" w14:textId="77777777" w:rsidR="0079381F" w:rsidRPr="00E44261" w:rsidRDefault="0079381F" w:rsidP="00187E94">
            <w:pPr>
              <w:pStyle w:val="Default"/>
              <w:spacing w:line="276" w:lineRule="auto"/>
              <w:jc w:val="right"/>
              <w:rPr>
                <w:sz w:val="18"/>
                <w:szCs w:val="18"/>
              </w:rPr>
            </w:pPr>
            <w:r w:rsidRPr="00E44261">
              <w:rPr>
                <w:sz w:val="18"/>
                <w:szCs w:val="18"/>
              </w:rPr>
              <w:t xml:space="preserve">54.750,13 </w:t>
            </w:r>
          </w:p>
          <w:p w14:paraId="29CF895E" w14:textId="77777777" w:rsidR="0079381F" w:rsidRPr="00E44261" w:rsidRDefault="0079381F" w:rsidP="00187E94">
            <w:pPr>
              <w:pStyle w:val="Default"/>
              <w:spacing w:line="276" w:lineRule="auto"/>
              <w:jc w:val="right"/>
              <w:rPr>
                <w:sz w:val="18"/>
                <w:szCs w:val="18"/>
              </w:rPr>
            </w:pPr>
            <w:r w:rsidRPr="00E44261">
              <w:rPr>
                <w:sz w:val="18"/>
                <w:szCs w:val="18"/>
              </w:rPr>
              <w:t xml:space="preserve">           </w:t>
            </w:r>
          </w:p>
          <w:p w14:paraId="19D59153" w14:textId="77777777" w:rsidR="0079381F" w:rsidRPr="00E44261" w:rsidRDefault="0079381F" w:rsidP="00187E94">
            <w:pPr>
              <w:pStyle w:val="Default"/>
              <w:spacing w:line="276" w:lineRule="auto"/>
              <w:jc w:val="right"/>
              <w:rPr>
                <w:sz w:val="18"/>
                <w:szCs w:val="18"/>
              </w:rPr>
            </w:pPr>
          </w:p>
        </w:tc>
        <w:tc>
          <w:tcPr>
            <w:tcW w:w="2029" w:type="dxa"/>
          </w:tcPr>
          <w:p w14:paraId="3134DD24" w14:textId="77777777" w:rsidR="0079381F" w:rsidRPr="00E44261" w:rsidRDefault="0079381F" w:rsidP="00187E94">
            <w:pPr>
              <w:pStyle w:val="Default"/>
              <w:spacing w:line="276" w:lineRule="auto"/>
              <w:jc w:val="right"/>
              <w:rPr>
                <w:sz w:val="18"/>
                <w:szCs w:val="18"/>
              </w:rPr>
            </w:pPr>
            <w:r w:rsidRPr="00E44261">
              <w:rPr>
                <w:sz w:val="18"/>
                <w:szCs w:val="18"/>
              </w:rPr>
              <w:t xml:space="preserve">₡.2.172.997 659,85 </w:t>
            </w:r>
          </w:p>
          <w:p w14:paraId="54148C90" w14:textId="77777777" w:rsidR="0079381F" w:rsidRPr="00E44261" w:rsidRDefault="0079381F" w:rsidP="00187E94">
            <w:pPr>
              <w:pStyle w:val="Default"/>
              <w:spacing w:line="276" w:lineRule="auto"/>
              <w:jc w:val="right"/>
              <w:rPr>
                <w:sz w:val="18"/>
                <w:szCs w:val="18"/>
              </w:rPr>
            </w:pPr>
            <w:r w:rsidRPr="00E44261">
              <w:rPr>
                <w:sz w:val="18"/>
                <w:szCs w:val="18"/>
              </w:rPr>
              <w:t xml:space="preserve"> </w:t>
            </w:r>
          </w:p>
          <w:p w14:paraId="33614C07" w14:textId="77777777" w:rsidR="0079381F" w:rsidRPr="00E44261" w:rsidRDefault="0079381F" w:rsidP="00187E94">
            <w:pPr>
              <w:pStyle w:val="Default"/>
              <w:spacing w:line="276" w:lineRule="auto"/>
              <w:jc w:val="right"/>
              <w:rPr>
                <w:sz w:val="18"/>
                <w:szCs w:val="18"/>
              </w:rPr>
            </w:pPr>
          </w:p>
        </w:tc>
      </w:tr>
      <w:tr w:rsidR="0079381F" w:rsidRPr="00E44261" w14:paraId="5FDA0CED" w14:textId="77777777" w:rsidTr="00E44261">
        <w:trPr>
          <w:trHeight w:val="332"/>
        </w:trPr>
        <w:tc>
          <w:tcPr>
            <w:tcW w:w="1239" w:type="dxa"/>
            <w:shd w:val="clear" w:color="auto" w:fill="EAF1DD" w:themeFill="accent3" w:themeFillTint="33"/>
          </w:tcPr>
          <w:p w14:paraId="5BEFE7C3" w14:textId="77777777" w:rsidR="0079381F" w:rsidRPr="00E44261" w:rsidRDefault="0079381F" w:rsidP="00187E94">
            <w:pPr>
              <w:pStyle w:val="Default"/>
              <w:spacing w:line="276" w:lineRule="auto"/>
              <w:jc w:val="both"/>
              <w:rPr>
                <w:b/>
                <w:bCs/>
                <w:sz w:val="18"/>
                <w:szCs w:val="18"/>
              </w:rPr>
            </w:pPr>
            <w:r w:rsidRPr="00E44261">
              <w:rPr>
                <w:b/>
                <w:bCs/>
                <w:sz w:val="18"/>
                <w:szCs w:val="18"/>
              </w:rPr>
              <w:t>Central</w:t>
            </w:r>
          </w:p>
        </w:tc>
        <w:tc>
          <w:tcPr>
            <w:tcW w:w="1106" w:type="dxa"/>
          </w:tcPr>
          <w:p w14:paraId="1D9AFB6F" w14:textId="77777777" w:rsidR="0079381F" w:rsidRPr="00E44261" w:rsidRDefault="0079381F" w:rsidP="00187E94">
            <w:pPr>
              <w:pStyle w:val="Default"/>
              <w:spacing w:line="276" w:lineRule="auto"/>
              <w:jc w:val="right"/>
              <w:rPr>
                <w:sz w:val="18"/>
                <w:szCs w:val="18"/>
              </w:rPr>
            </w:pPr>
            <w:r w:rsidRPr="00E44261">
              <w:rPr>
                <w:sz w:val="18"/>
                <w:szCs w:val="18"/>
              </w:rPr>
              <w:t>671,29</w:t>
            </w:r>
          </w:p>
        </w:tc>
        <w:tc>
          <w:tcPr>
            <w:tcW w:w="1918" w:type="dxa"/>
          </w:tcPr>
          <w:p w14:paraId="5DAC91C3" w14:textId="77777777" w:rsidR="0079381F" w:rsidRPr="00E44261" w:rsidRDefault="0079381F" w:rsidP="00187E94">
            <w:pPr>
              <w:pStyle w:val="Default"/>
              <w:spacing w:line="276" w:lineRule="auto"/>
              <w:jc w:val="right"/>
              <w:rPr>
                <w:sz w:val="18"/>
                <w:szCs w:val="18"/>
              </w:rPr>
            </w:pPr>
            <w:r w:rsidRPr="00E44261">
              <w:rPr>
                <w:sz w:val="18"/>
                <w:szCs w:val="18"/>
              </w:rPr>
              <w:t>₡56.033.923,75</w:t>
            </w:r>
          </w:p>
        </w:tc>
        <w:tc>
          <w:tcPr>
            <w:tcW w:w="1217" w:type="dxa"/>
          </w:tcPr>
          <w:p w14:paraId="4060C7C5" w14:textId="77777777" w:rsidR="0079381F" w:rsidRPr="00E44261" w:rsidRDefault="0079381F" w:rsidP="00187E94">
            <w:pPr>
              <w:pStyle w:val="Default"/>
              <w:spacing w:line="276" w:lineRule="auto"/>
              <w:jc w:val="right"/>
              <w:rPr>
                <w:sz w:val="18"/>
                <w:szCs w:val="18"/>
              </w:rPr>
            </w:pPr>
            <w:r w:rsidRPr="00E44261">
              <w:rPr>
                <w:sz w:val="18"/>
                <w:szCs w:val="18"/>
              </w:rPr>
              <w:t xml:space="preserve">41.320,20 </w:t>
            </w:r>
          </w:p>
          <w:p w14:paraId="5BDCB9EA" w14:textId="77777777" w:rsidR="0079381F" w:rsidRPr="00E44261" w:rsidRDefault="0079381F" w:rsidP="00187E94">
            <w:pPr>
              <w:pStyle w:val="Default"/>
              <w:spacing w:line="276" w:lineRule="auto"/>
              <w:jc w:val="right"/>
              <w:rPr>
                <w:sz w:val="18"/>
                <w:szCs w:val="18"/>
              </w:rPr>
            </w:pPr>
            <w:r w:rsidRPr="00E44261">
              <w:rPr>
                <w:sz w:val="18"/>
                <w:szCs w:val="18"/>
              </w:rPr>
              <w:t xml:space="preserve">                   </w:t>
            </w:r>
          </w:p>
          <w:p w14:paraId="3DD52EAF" w14:textId="77777777" w:rsidR="0079381F" w:rsidRPr="00E44261" w:rsidRDefault="0079381F" w:rsidP="00187E94">
            <w:pPr>
              <w:pStyle w:val="Default"/>
              <w:spacing w:line="276" w:lineRule="auto"/>
              <w:jc w:val="right"/>
              <w:rPr>
                <w:sz w:val="18"/>
                <w:szCs w:val="18"/>
              </w:rPr>
            </w:pPr>
          </w:p>
        </w:tc>
        <w:tc>
          <w:tcPr>
            <w:tcW w:w="2034" w:type="dxa"/>
          </w:tcPr>
          <w:p w14:paraId="366CBFE6" w14:textId="77777777" w:rsidR="0079381F" w:rsidRPr="00E44261" w:rsidRDefault="0079381F" w:rsidP="00187E94">
            <w:pPr>
              <w:pStyle w:val="Default"/>
              <w:spacing w:line="276" w:lineRule="auto"/>
              <w:jc w:val="right"/>
              <w:rPr>
                <w:sz w:val="18"/>
                <w:szCs w:val="18"/>
              </w:rPr>
            </w:pPr>
            <w:r w:rsidRPr="00E44261">
              <w:rPr>
                <w:sz w:val="18"/>
                <w:szCs w:val="18"/>
              </w:rPr>
              <w:t xml:space="preserve">₡1.929.274 353,41 </w:t>
            </w:r>
          </w:p>
          <w:p w14:paraId="050AA99C" w14:textId="77777777" w:rsidR="0079381F" w:rsidRPr="00E44261" w:rsidRDefault="0079381F" w:rsidP="00187E94">
            <w:pPr>
              <w:pStyle w:val="Default"/>
              <w:spacing w:line="276" w:lineRule="auto"/>
              <w:jc w:val="right"/>
              <w:rPr>
                <w:sz w:val="18"/>
                <w:szCs w:val="18"/>
              </w:rPr>
            </w:pPr>
            <w:r w:rsidRPr="00E44261">
              <w:rPr>
                <w:sz w:val="18"/>
                <w:szCs w:val="18"/>
              </w:rPr>
              <w:t xml:space="preserve"> </w:t>
            </w:r>
          </w:p>
          <w:p w14:paraId="05196AFD" w14:textId="77777777" w:rsidR="0079381F" w:rsidRPr="00E44261" w:rsidRDefault="0079381F" w:rsidP="00187E94">
            <w:pPr>
              <w:pStyle w:val="Default"/>
              <w:spacing w:line="276" w:lineRule="auto"/>
              <w:jc w:val="right"/>
              <w:rPr>
                <w:sz w:val="18"/>
                <w:szCs w:val="18"/>
              </w:rPr>
            </w:pPr>
          </w:p>
        </w:tc>
        <w:tc>
          <w:tcPr>
            <w:tcW w:w="1231" w:type="dxa"/>
          </w:tcPr>
          <w:p w14:paraId="3B2A30EB" w14:textId="77777777" w:rsidR="0079381F" w:rsidRPr="00E44261" w:rsidRDefault="0079381F" w:rsidP="00187E94">
            <w:pPr>
              <w:pStyle w:val="Default"/>
              <w:spacing w:line="276" w:lineRule="auto"/>
              <w:jc w:val="right"/>
              <w:rPr>
                <w:sz w:val="18"/>
                <w:szCs w:val="18"/>
              </w:rPr>
            </w:pPr>
            <w:r w:rsidRPr="00E44261">
              <w:rPr>
                <w:sz w:val="18"/>
                <w:szCs w:val="18"/>
              </w:rPr>
              <w:t xml:space="preserve">41.991,49 </w:t>
            </w:r>
          </w:p>
          <w:p w14:paraId="5CA38C5F" w14:textId="77777777" w:rsidR="0079381F" w:rsidRPr="00E44261" w:rsidRDefault="0079381F" w:rsidP="00187E94">
            <w:pPr>
              <w:pStyle w:val="Default"/>
              <w:spacing w:line="276" w:lineRule="auto"/>
              <w:jc w:val="right"/>
              <w:rPr>
                <w:sz w:val="18"/>
                <w:szCs w:val="18"/>
              </w:rPr>
            </w:pPr>
            <w:r w:rsidRPr="00E44261">
              <w:rPr>
                <w:sz w:val="18"/>
                <w:szCs w:val="18"/>
              </w:rPr>
              <w:t xml:space="preserve">           </w:t>
            </w:r>
          </w:p>
          <w:p w14:paraId="094D1306" w14:textId="77777777" w:rsidR="0079381F" w:rsidRPr="00E44261" w:rsidRDefault="0079381F" w:rsidP="00187E94">
            <w:pPr>
              <w:pStyle w:val="Default"/>
              <w:spacing w:line="276" w:lineRule="auto"/>
              <w:jc w:val="right"/>
              <w:rPr>
                <w:sz w:val="18"/>
                <w:szCs w:val="18"/>
              </w:rPr>
            </w:pPr>
          </w:p>
        </w:tc>
        <w:tc>
          <w:tcPr>
            <w:tcW w:w="2029" w:type="dxa"/>
          </w:tcPr>
          <w:p w14:paraId="6CDF7FFB" w14:textId="77777777" w:rsidR="0079381F" w:rsidRPr="00E44261" w:rsidRDefault="0079381F" w:rsidP="00187E94">
            <w:pPr>
              <w:pStyle w:val="Default"/>
              <w:spacing w:line="276" w:lineRule="auto"/>
              <w:jc w:val="right"/>
              <w:rPr>
                <w:sz w:val="18"/>
                <w:szCs w:val="18"/>
              </w:rPr>
            </w:pPr>
            <w:r w:rsidRPr="00E44261">
              <w:rPr>
                <w:sz w:val="18"/>
                <w:szCs w:val="18"/>
              </w:rPr>
              <w:t xml:space="preserve">₡1.985.308 277,16 </w:t>
            </w:r>
          </w:p>
          <w:p w14:paraId="553D9FDE" w14:textId="77777777" w:rsidR="0079381F" w:rsidRPr="00E44261" w:rsidRDefault="0079381F" w:rsidP="00187E94">
            <w:pPr>
              <w:pStyle w:val="Default"/>
              <w:spacing w:line="276" w:lineRule="auto"/>
              <w:jc w:val="right"/>
              <w:rPr>
                <w:sz w:val="18"/>
                <w:szCs w:val="18"/>
              </w:rPr>
            </w:pPr>
            <w:r w:rsidRPr="00E44261">
              <w:rPr>
                <w:sz w:val="18"/>
                <w:szCs w:val="18"/>
              </w:rPr>
              <w:t xml:space="preserve"> </w:t>
            </w:r>
          </w:p>
          <w:p w14:paraId="382ADFD7" w14:textId="77777777" w:rsidR="0079381F" w:rsidRPr="00E44261" w:rsidRDefault="0079381F" w:rsidP="00187E94">
            <w:pPr>
              <w:pStyle w:val="Default"/>
              <w:spacing w:line="276" w:lineRule="auto"/>
              <w:jc w:val="right"/>
              <w:rPr>
                <w:sz w:val="18"/>
                <w:szCs w:val="18"/>
              </w:rPr>
            </w:pPr>
          </w:p>
        </w:tc>
      </w:tr>
      <w:tr w:rsidR="0079381F" w:rsidRPr="00E44261" w14:paraId="7911D36F" w14:textId="77777777" w:rsidTr="00E44261">
        <w:trPr>
          <w:trHeight w:val="386"/>
        </w:trPr>
        <w:tc>
          <w:tcPr>
            <w:tcW w:w="1239" w:type="dxa"/>
            <w:shd w:val="clear" w:color="auto" w:fill="EAF1DD" w:themeFill="accent3" w:themeFillTint="33"/>
          </w:tcPr>
          <w:p w14:paraId="4B2EC76C" w14:textId="77777777" w:rsidR="0079381F" w:rsidRPr="00E44261" w:rsidRDefault="0079381F" w:rsidP="00187E94">
            <w:pPr>
              <w:pStyle w:val="Default"/>
              <w:spacing w:line="276" w:lineRule="auto"/>
              <w:jc w:val="both"/>
              <w:rPr>
                <w:b/>
                <w:bCs/>
                <w:sz w:val="18"/>
                <w:szCs w:val="18"/>
              </w:rPr>
            </w:pPr>
            <w:r w:rsidRPr="00E44261">
              <w:rPr>
                <w:b/>
                <w:bCs/>
                <w:sz w:val="18"/>
                <w:szCs w:val="18"/>
              </w:rPr>
              <w:t>Chorotega</w:t>
            </w:r>
          </w:p>
        </w:tc>
        <w:tc>
          <w:tcPr>
            <w:tcW w:w="1106" w:type="dxa"/>
          </w:tcPr>
          <w:p w14:paraId="5CA56694" w14:textId="77777777" w:rsidR="0079381F" w:rsidRPr="00E44261" w:rsidRDefault="0079381F" w:rsidP="00187E94">
            <w:pPr>
              <w:pStyle w:val="Default"/>
              <w:spacing w:line="276" w:lineRule="auto"/>
              <w:jc w:val="right"/>
              <w:rPr>
                <w:sz w:val="18"/>
                <w:szCs w:val="18"/>
              </w:rPr>
            </w:pPr>
            <w:r w:rsidRPr="00E44261">
              <w:rPr>
                <w:sz w:val="18"/>
                <w:szCs w:val="18"/>
              </w:rPr>
              <w:t>11.243,38</w:t>
            </w:r>
          </w:p>
        </w:tc>
        <w:tc>
          <w:tcPr>
            <w:tcW w:w="1918" w:type="dxa"/>
          </w:tcPr>
          <w:p w14:paraId="505D2EA1" w14:textId="77777777" w:rsidR="0079381F" w:rsidRPr="00E44261" w:rsidRDefault="0079381F" w:rsidP="00187E94">
            <w:pPr>
              <w:pStyle w:val="Default"/>
              <w:spacing w:line="276" w:lineRule="auto"/>
              <w:jc w:val="right"/>
              <w:rPr>
                <w:sz w:val="18"/>
                <w:szCs w:val="18"/>
              </w:rPr>
            </w:pPr>
            <w:r w:rsidRPr="00E44261">
              <w:rPr>
                <w:sz w:val="18"/>
                <w:szCs w:val="18"/>
              </w:rPr>
              <w:t>₡684.787.897,30</w:t>
            </w:r>
          </w:p>
          <w:p w14:paraId="21D2C1CA" w14:textId="77777777" w:rsidR="0079381F" w:rsidRPr="00E44261" w:rsidRDefault="0079381F" w:rsidP="00187E94">
            <w:pPr>
              <w:pStyle w:val="Default"/>
              <w:spacing w:line="276" w:lineRule="auto"/>
              <w:jc w:val="right"/>
              <w:rPr>
                <w:sz w:val="18"/>
                <w:szCs w:val="18"/>
              </w:rPr>
            </w:pPr>
          </w:p>
        </w:tc>
        <w:tc>
          <w:tcPr>
            <w:tcW w:w="1217" w:type="dxa"/>
          </w:tcPr>
          <w:p w14:paraId="2D611A0E" w14:textId="77777777" w:rsidR="0079381F" w:rsidRPr="00E44261" w:rsidRDefault="0079381F" w:rsidP="00187E94">
            <w:pPr>
              <w:pStyle w:val="Default"/>
              <w:spacing w:line="276" w:lineRule="auto"/>
              <w:jc w:val="right"/>
              <w:rPr>
                <w:sz w:val="18"/>
                <w:szCs w:val="18"/>
              </w:rPr>
            </w:pPr>
            <w:r w:rsidRPr="00E44261">
              <w:rPr>
                <w:sz w:val="18"/>
                <w:szCs w:val="18"/>
              </w:rPr>
              <w:t>40.118,80</w:t>
            </w:r>
          </w:p>
        </w:tc>
        <w:tc>
          <w:tcPr>
            <w:tcW w:w="2034" w:type="dxa"/>
          </w:tcPr>
          <w:p w14:paraId="0131635B" w14:textId="77777777" w:rsidR="0079381F" w:rsidRPr="00E44261" w:rsidRDefault="0079381F" w:rsidP="00187E94">
            <w:pPr>
              <w:pStyle w:val="Default"/>
              <w:spacing w:line="276" w:lineRule="auto"/>
              <w:jc w:val="right"/>
              <w:rPr>
                <w:sz w:val="18"/>
                <w:szCs w:val="18"/>
              </w:rPr>
            </w:pPr>
            <w:r w:rsidRPr="00E44261">
              <w:rPr>
                <w:sz w:val="18"/>
                <w:szCs w:val="18"/>
              </w:rPr>
              <w:t>₡1.746.379.507,87</w:t>
            </w:r>
          </w:p>
        </w:tc>
        <w:tc>
          <w:tcPr>
            <w:tcW w:w="1231" w:type="dxa"/>
          </w:tcPr>
          <w:p w14:paraId="5EBD4C7C" w14:textId="77777777" w:rsidR="0079381F" w:rsidRPr="00E44261" w:rsidRDefault="0079381F" w:rsidP="00187E94">
            <w:pPr>
              <w:pStyle w:val="Default"/>
              <w:spacing w:line="276" w:lineRule="auto"/>
              <w:jc w:val="right"/>
              <w:rPr>
                <w:sz w:val="18"/>
                <w:szCs w:val="18"/>
              </w:rPr>
            </w:pPr>
            <w:r w:rsidRPr="00E44261">
              <w:rPr>
                <w:sz w:val="18"/>
                <w:szCs w:val="18"/>
              </w:rPr>
              <w:t>51.362,18</w:t>
            </w:r>
          </w:p>
        </w:tc>
        <w:tc>
          <w:tcPr>
            <w:tcW w:w="2029" w:type="dxa"/>
          </w:tcPr>
          <w:p w14:paraId="1F2C1441" w14:textId="77777777" w:rsidR="0079381F" w:rsidRPr="00E44261" w:rsidRDefault="0079381F" w:rsidP="00187E94">
            <w:pPr>
              <w:pStyle w:val="Default"/>
              <w:spacing w:line="276" w:lineRule="auto"/>
              <w:jc w:val="right"/>
              <w:rPr>
                <w:sz w:val="18"/>
                <w:szCs w:val="18"/>
              </w:rPr>
            </w:pPr>
            <w:r w:rsidRPr="00E44261">
              <w:rPr>
                <w:sz w:val="18"/>
                <w:szCs w:val="18"/>
              </w:rPr>
              <w:t>₡2.431.167. 405,17</w:t>
            </w:r>
          </w:p>
        </w:tc>
      </w:tr>
      <w:tr w:rsidR="0079381F" w:rsidRPr="00E44261" w14:paraId="6081EC11" w14:textId="77777777" w:rsidTr="00E44261">
        <w:tc>
          <w:tcPr>
            <w:tcW w:w="1239" w:type="dxa"/>
            <w:shd w:val="clear" w:color="auto" w:fill="EAF1DD" w:themeFill="accent3" w:themeFillTint="33"/>
          </w:tcPr>
          <w:p w14:paraId="3BE930A7" w14:textId="77777777" w:rsidR="0079381F" w:rsidRPr="00E44261" w:rsidRDefault="0079381F" w:rsidP="00187E94">
            <w:pPr>
              <w:pStyle w:val="Default"/>
              <w:spacing w:line="276" w:lineRule="auto"/>
              <w:jc w:val="both"/>
              <w:rPr>
                <w:b/>
                <w:bCs/>
                <w:sz w:val="18"/>
                <w:szCs w:val="18"/>
              </w:rPr>
            </w:pPr>
            <w:r w:rsidRPr="00E44261">
              <w:rPr>
                <w:b/>
                <w:bCs/>
                <w:sz w:val="18"/>
                <w:szCs w:val="18"/>
              </w:rPr>
              <w:t>Pacífico</w:t>
            </w:r>
          </w:p>
          <w:p w14:paraId="7BFC3CB9" w14:textId="77777777" w:rsidR="0079381F" w:rsidRPr="00E44261" w:rsidRDefault="0079381F" w:rsidP="00187E94">
            <w:pPr>
              <w:pStyle w:val="Default"/>
              <w:spacing w:line="276" w:lineRule="auto"/>
              <w:jc w:val="both"/>
              <w:rPr>
                <w:b/>
                <w:bCs/>
                <w:sz w:val="18"/>
                <w:szCs w:val="18"/>
              </w:rPr>
            </w:pPr>
          </w:p>
        </w:tc>
        <w:tc>
          <w:tcPr>
            <w:tcW w:w="1106" w:type="dxa"/>
          </w:tcPr>
          <w:p w14:paraId="16B27F0B" w14:textId="77777777" w:rsidR="0079381F" w:rsidRPr="00E44261" w:rsidRDefault="0079381F" w:rsidP="00187E94">
            <w:pPr>
              <w:pStyle w:val="Default"/>
              <w:spacing w:line="276" w:lineRule="auto"/>
              <w:jc w:val="right"/>
              <w:rPr>
                <w:sz w:val="18"/>
                <w:szCs w:val="18"/>
              </w:rPr>
            </w:pPr>
            <w:r w:rsidRPr="00E44261">
              <w:rPr>
                <w:sz w:val="18"/>
                <w:szCs w:val="18"/>
              </w:rPr>
              <w:t>386,27</w:t>
            </w:r>
          </w:p>
        </w:tc>
        <w:tc>
          <w:tcPr>
            <w:tcW w:w="1918" w:type="dxa"/>
          </w:tcPr>
          <w:p w14:paraId="58C089F5" w14:textId="77777777" w:rsidR="0079381F" w:rsidRPr="00E44261" w:rsidRDefault="0079381F" w:rsidP="00187E94">
            <w:pPr>
              <w:pStyle w:val="Default"/>
              <w:spacing w:line="276" w:lineRule="auto"/>
              <w:jc w:val="right"/>
              <w:rPr>
                <w:sz w:val="18"/>
                <w:szCs w:val="18"/>
              </w:rPr>
            </w:pPr>
            <w:r w:rsidRPr="00E44261">
              <w:rPr>
                <w:sz w:val="18"/>
                <w:szCs w:val="18"/>
              </w:rPr>
              <w:t>₡ 29.174.134,98</w:t>
            </w:r>
          </w:p>
        </w:tc>
        <w:tc>
          <w:tcPr>
            <w:tcW w:w="1217" w:type="dxa"/>
          </w:tcPr>
          <w:p w14:paraId="6D796859" w14:textId="77777777" w:rsidR="0079381F" w:rsidRPr="00E44261" w:rsidRDefault="0079381F" w:rsidP="00187E94">
            <w:pPr>
              <w:pStyle w:val="Default"/>
              <w:spacing w:line="276" w:lineRule="auto"/>
              <w:jc w:val="right"/>
              <w:rPr>
                <w:sz w:val="18"/>
                <w:szCs w:val="18"/>
              </w:rPr>
            </w:pPr>
            <w:r w:rsidRPr="00E44261">
              <w:rPr>
                <w:sz w:val="18"/>
                <w:szCs w:val="18"/>
              </w:rPr>
              <w:t>17.935,00</w:t>
            </w:r>
          </w:p>
        </w:tc>
        <w:tc>
          <w:tcPr>
            <w:tcW w:w="2034" w:type="dxa"/>
          </w:tcPr>
          <w:p w14:paraId="65A51132" w14:textId="77777777" w:rsidR="0079381F" w:rsidRPr="00E44261" w:rsidRDefault="0079381F" w:rsidP="00187E94">
            <w:pPr>
              <w:pStyle w:val="Default"/>
              <w:spacing w:line="276" w:lineRule="auto"/>
              <w:jc w:val="right"/>
              <w:rPr>
                <w:sz w:val="18"/>
                <w:szCs w:val="18"/>
              </w:rPr>
            </w:pPr>
            <w:r w:rsidRPr="00E44261">
              <w:rPr>
                <w:sz w:val="18"/>
                <w:szCs w:val="18"/>
              </w:rPr>
              <w:t>₡813.649.950,03</w:t>
            </w:r>
          </w:p>
        </w:tc>
        <w:tc>
          <w:tcPr>
            <w:tcW w:w="1231" w:type="dxa"/>
          </w:tcPr>
          <w:p w14:paraId="0891968A" w14:textId="77777777" w:rsidR="0079381F" w:rsidRPr="00E44261" w:rsidRDefault="0079381F" w:rsidP="00187E94">
            <w:pPr>
              <w:pStyle w:val="Default"/>
              <w:spacing w:line="276" w:lineRule="auto"/>
              <w:jc w:val="right"/>
              <w:rPr>
                <w:sz w:val="18"/>
                <w:szCs w:val="18"/>
              </w:rPr>
            </w:pPr>
            <w:r w:rsidRPr="00E44261">
              <w:rPr>
                <w:sz w:val="18"/>
                <w:szCs w:val="18"/>
              </w:rPr>
              <w:t>18.321,27</w:t>
            </w:r>
          </w:p>
        </w:tc>
        <w:tc>
          <w:tcPr>
            <w:tcW w:w="2029" w:type="dxa"/>
          </w:tcPr>
          <w:p w14:paraId="5448EAC6" w14:textId="77777777" w:rsidR="0079381F" w:rsidRPr="00E44261" w:rsidRDefault="0079381F" w:rsidP="00187E94">
            <w:pPr>
              <w:pStyle w:val="Default"/>
              <w:spacing w:line="276" w:lineRule="auto"/>
              <w:jc w:val="right"/>
              <w:rPr>
                <w:sz w:val="18"/>
                <w:szCs w:val="18"/>
              </w:rPr>
            </w:pPr>
            <w:r w:rsidRPr="00E44261">
              <w:rPr>
                <w:sz w:val="18"/>
                <w:szCs w:val="18"/>
              </w:rPr>
              <w:t>₡842.824.085,01</w:t>
            </w:r>
          </w:p>
          <w:p w14:paraId="0C638214" w14:textId="77777777" w:rsidR="0079381F" w:rsidRPr="00E44261" w:rsidRDefault="0079381F" w:rsidP="00187E94">
            <w:pPr>
              <w:pStyle w:val="Default"/>
              <w:spacing w:line="276" w:lineRule="auto"/>
              <w:jc w:val="right"/>
              <w:rPr>
                <w:sz w:val="18"/>
                <w:szCs w:val="18"/>
              </w:rPr>
            </w:pPr>
          </w:p>
        </w:tc>
      </w:tr>
      <w:tr w:rsidR="0079381F" w:rsidRPr="00E44261" w14:paraId="0075D015" w14:textId="77777777" w:rsidTr="00E44261">
        <w:tc>
          <w:tcPr>
            <w:tcW w:w="1239" w:type="dxa"/>
            <w:tcBorders>
              <w:bottom w:val="single" w:sz="4" w:space="0" w:color="auto"/>
            </w:tcBorders>
            <w:shd w:val="clear" w:color="auto" w:fill="EAF1DD" w:themeFill="accent3" w:themeFillTint="33"/>
          </w:tcPr>
          <w:p w14:paraId="734A27DB" w14:textId="77777777" w:rsidR="0079381F" w:rsidRPr="00E44261" w:rsidRDefault="0079381F" w:rsidP="00187E94">
            <w:pPr>
              <w:pStyle w:val="Default"/>
              <w:spacing w:line="276" w:lineRule="auto"/>
              <w:jc w:val="both"/>
              <w:rPr>
                <w:b/>
                <w:bCs/>
                <w:sz w:val="18"/>
                <w:szCs w:val="18"/>
              </w:rPr>
            </w:pPr>
            <w:r w:rsidRPr="00E44261">
              <w:rPr>
                <w:b/>
                <w:bCs/>
                <w:sz w:val="18"/>
                <w:szCs w:val="18"/>
              </w:rPr>
              <w:t>Brunca</w:t>
            </w:r>
          </w:p>
          <w:p w14:paraId="7EE7FB09" w14:textId="77777777" w:rsidR="0079381F" w:rsidRPr="00E44261" w:rsidRDefault="0079381F" w:rsidP="00187E94">
            <w:pPr>
              <w:pStyle w:val="Default"/>
              <w:spacing w:line="276" w:lineRule="auto"/>
              <w:jc w:val="both"/>
              <w:rPr>
                <w:b/>
                <w:bCs/>
                <w:sz w:val="18"/>
                <w:szCs w:val="18"/>
              </w:rPr>
            </w:pPr>
          </w:p>
        </w:tc>
        <w:tc>
          <w:tcPr>
            <w:tcW w:w="1106" w:type="dxa"/>
            <w:tcBorders>
              <w:bottom w:val="single" w:sz="4" w:space="0" w:color="auto"/>
            </w:tcBorders>
          </w:tcPr>
          <w:p w14:paraId="2496797D" w14:textId="77777777" w:rsidR="0079381F" w:rsidRPr="00E44261" w:rsidRDefault="0079381F" w:rsidP="00187E94">
            <w:pPr>
              <w:pStyle w:val="Default"/>
              <w:spacing w:line="276" w:lineRule="auto"/>
              <w:jc w:val="right"/>
              <w:rPr>
                <w:sz w:val="18"/>
                <w:szCs w:val="18"/>
              </w:rPr>
            </w:pPr>
            <w:r w:rsidRPr="00E44261">
              <w:rPr>
                <w:sz w:val="18"/>
                <w:szCs w:val="18"/>
              </w:rPr>
              <w:t>2.748,96</w:t>
            </w:r>
          </w:p>
        </w:tc>
        <w:tc>
          <w:tcPr>
            <w:tcW w:w="1918" w:type="dxa"/>
            <w:tcBorders>
              <w:bottom w:val="single" w:sz="4" w:space="0" w:color="auto"/>
            </w:tcBorders>
          </w:tcPr>
          <w:p w14:paraId="3BBF7592" w14:textId="77777777" w:rsidR="0079381F" w:rsidRPr="00E44261" w:rsidRDefault="0079381F" w:rsidP="00187E94">
            <w:pPr>
              <w:pStyle w:val="Default"/>
              <w:spacing w:line="276" w:lineRule="auto"/>
              <w:jc w:val="right"/>
              <w:rPr>
                <w:sz w:val="18"/>
                <w:szCs w:val="18"/>
              </w:rPr>
            </w:pPr>
            <w:r w:rsidRPr="00E44261">
              <w:rPr>
                <w:sz w:val="18"/>
                <w:szCs w:val="18"/>
              </w:rPr>
              <w:t>₡211.462.198,49</w:t>
            </w:r>
          </w:p>
        </w:tc>
        <w:tc>
          <w:tcPr>
            <w:tcW w:w="1217" w:type="dxa"/>
            <w:tcBorders>
              <w:bottom w:val="single" w:sz="4" w:space="0" w:color="auto"/>
            </w:tcBorders>
          </w:tcPr>
          <w:p w14:paraId="3B0E2E9E" w14:textId="77777777" w:rsidR="0079381F" w:rsidRPr="00E44261" w:rsidRDefault="0079381F" w:rsidP="00187E94">
            <w:pPr>
              <w:pStyle w:val="Default"/>
              <w:spacing w:line="276" w:lineRule="auto"/>
              <w:jc w:val="right"/>
              <w:rPr>
                <w:sz w:val="18"/>
                <w:szCs w:val="18"/>
              </w:rPr>
            </w:pPr>
            <w:r w:rsidRPr="00E44261">
              <w:rPr>
                <w:sz w:val="18"/>
                <w:szCs w:val="18"/>
              </w:rPr>
              <w:t>66.493,42</w:t>
            </w:r>
          </w:p>
        </w:tc>
        <w:tc>
          <w:tcPr>
            <w:tcW w:w="2034" w:type="dxa"/>
            <w:tcBorders>
              <w:bottom w:val="single" w:sz="4" w:space="0" w:color="auto"/>
            </w:tcBorders>
          </w:tcPr>
          <w:p w14:paraId="2A1F2F4D" w14:textId="77777777" w:rsidR="0079381F" w:rsidRPr="00E44261" w:rsidRDefault="0079381F" w:rsidP="00187E94">
            <w:pPr>
              <w:pStyle w:val="Default"/>
              <w:spacing w:line="276" w:lineRule="auto"/>
              <w:jc w:val="right"/>
              <w:rPr>
                <w:sz w:val="18"/>
                <w:szCs w:val="18"/>
              </w:rPr>
            </w:pPr>
            <w:r w:rsidRPr="00E44261">
              <w:rPr>
                <w:sz w:val="18"/>
                <w:szCs w:val="18"/>
              </w:rPr>
              <w:t>₡2.730.378.351,64</w:t>
            </w:r>
          </w:p>
        </w:tc>
        <w:tc>
          <w:tcPr>
            <w:tcW w:w="1231" w:type="dxa"/>
            <w:tcBorders>
              <w:bottom w:val="single" w:sz="4" w:space="0" w:color="auto"/>
            </w:tcBorders>
          </w:tcPr>
          <w:p w14:paraId="096676E4" w14:textId="77777777" w:rsidR="0079381F" w:rsidRPr="00E44261" w:rsidRDefault="0079381F" w:rsidP="00187E94">
            <w:pPr>
              <w:pStyle w:val="Default"/>
              <w:spacing w:line="276" w:lineRule="auto"/>
              <w:jc w:val="right"/>
              <w:rPr>
                <w:sz w:val="18"/>
                <w:szCs w:val="18"/>
              </w:rPr>
            </w:pPr>
            <w:r w:rsidRPr="00E44261">
              <w:rPr>
                <w:sz w:val="18"/>
                <w:szCs w:val="18"/>
              </w:rPr>
              <w:t>69.242,38</w:t>
            </w:r>
          </w:p>
        </w:tc>
        <w:tc>
          <w:tcPr>
            <w:tcW w:w="2029" w:type="dxa"/>
            <w:tcBorders>
              <w:bottom w:val="single" w:sz="4" w:space="0" w:color="auto"/>
            </w:tcBorders>
          </w:tcPr>
          <w:p w14:paraId="3AEBBB1B" w14:textId="77777777" w:rsidR="0079381F" w:rsidRPr="00E44261" w:rsidRDefault="0079381F" w:rsidP="00187E94">
            <w:pPr>
              <w:pStyle w:val="Default"/>
              <w:spacing w:line="276" w:lineRule="auto"/>
              <w:jc w:val="right"/>
              <w:rPr>
                <w:sz w:val="18"/>
                <w:szCs w:val="18"/>
              </w:rPr>
            </w:pPr>
            <w:r w:rsidRPr="00E44261">
              <w:rPr>
                <w:sz w:val="18"/>
                <w:szCs w:val="18"/>
              </w:rPr>
              <w:t>₡2.941.840 550,13</w:t>
            </w:r>
          </w:p>
        </w:tc>
      </w:tr>
      <w:tr w:rsidR="0079381F" w:rsidRPr="00E44261" w14:paraId="7792D85C" w14:textId="77777777" w:rsidTr="00E44261">
        <w:tc>
          <w:tcPr>
            <w:tcW w:w="123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2BC5DDE" w14:textId="77777777" w:rsidR="0079381F" w:rsidRPr="00E44261" w:rsidRDefault="0079381F" w:rsidP="00187E94">
            <w:pPr>
              <w:pStyle w:val="Default"/>
              <w:spacing w:line="276" w:lineRule="auto"/>
              <w:jc w:val="both"/>
              <w:rPr>
                <w:b/>
                <w:bCs/>
                <w:sz w:val="18"/>
                <w:szCs w:val="18"/>
              </w:rPr>
            </w:pPr>
            <w:r w:rsidRPr="00E44261">
              <w:rPr>
                <w:b/>
                <w:bCs/>
                <w:sz w:val="18"/>
                <w:szCs w:val="18"/>
              </w:rPr>
              <w:t>Huetar</w:t>
            </w:r>
          </w:p>
          <w:p w14:paraId="4F69D5E1" w14:textId="77777777" w:rsidR="0079381F" w:rsidRPr="00E44261" w:rsidRDefault="0079381F" w:rsidP="00187E94">
            <w:pPr>
              <w:pStyle w:val="Default"/>
              <w:spacing w:line="276" w:lineRule="auto"/>
              <w:jc w:val="both"/>
              <w:rPr>
                <w:b/>
                <w:bCs/>
                <w:sz w:val="18"/>
                <w:szCs w:val="18"/>
              </w:rPr>
            </w:pPr>
          </w:p>
        </w:tc>
        <w:tc>
          <w:tcPr>
            <w:tcW w:w="1106" w:type="dxa"/>
            <w:tcBorders>
              <w:top w:val="single" w:sz="4" w:space="0" w:color="auto"/>
              <w:left w:val="single" w:sz="4" w:space="0" w:color="auto"/>
              <w:bottom w:val="single" w:sz="4" w:space="0" w:color="auto"/>
              <w:right w:val="single" w:sz="4" w:space="0" w:color="auto"/>
            </w:tcBorders>
          </w:tcPr>
          <w:p w14:paraId="2A3F01F0" w14:textId="77777777" w:rsidR="0079381F" w:rsidRPr="00E44261" w:rsidRDefault="0079381F" w:rsidP="00187E94">
            <w:pPr>
              <w:pStyle w:val="Default"/>
              <w:spacing w:line="276" w:lineRule="auto"/>
              <w:jc w:val="right"/>
              <w:rPr>
                <w:sz w:val="18"/>
                <w:szCs w:val="18"/>
              </w:rPr>
            </w:pPr>
            <w:r w:rsidRPr="00E44261">
              <w:rPr>
                <w:sz w:val="18"/>
                <w:szCs w:val="18"/>
              </w:rPr>
              <w:t>2.646,27</w:t>
            </w:r>
          </w:p>
        </w:tc>
        <w:tc>
          <w:tcPr>
            <w:tcW w:w="1918" w:type="dxa"/>
            <w:tcBorders>
              <w:top w:val="single" w:sz="4" w:space="0" w:color="auto"/>
              <w:left w:val="single" w:sz="4" w:space="0" w:color="auto"/>
              <w:bottom w:val="single" w:sz="4" w:space="0" w:color="auto"/>
              <w:right w:val="single" w:sz="4" w:space="0" w:color="auto"/>
            </w:tcBorders>
          </w:tcPr>
          <w:p w14:paraId="4E3A2EED" w14:textId="77777777" w:rsidR="0079381F" w:rsidRPr="00E44261" w:rsidRDefault="0079381F" w:rsidP="00187E94">
            <w:pPr>
              <w:pStyle w:val="Default"/>
              <w:spacing w:line="276" w:lineRule="auto"/>
              <w:jc w:val="right"/>
              <w:rPr>
                <w:sz w:val="18"/>
                <w:szCs w:val="18"/>
              </w:rPr>
            </w:pPr>
            <w:r w:rsidRPr="00E44261">
              <w:rPr>
                <w:sz w:val="18"/>
                <w:szCs w:val="18"/>
              </w:rPr>
              <w:t>₡176.483.565,44</w:t>
            </w:r>
          </w:p>
        </w:tc>
        <w:tc>
          <w:tcPr>
            <w:tcW w:w="1217" w:type="dxa"/>
            <w:tcBorders>
              <w:top w:val="single" w:sz="4" w:space="0" w:color="auto"/>
              <w:left w:val="single" w:sz="4" w:space="0" w:color="auto"/>
              <w:bottom w:val="single" w:sz="4" w:space="0" w:color="auto"/>
              <w:right w:val="single" w:sz="4" w:space="0" w:color="auto"/>
            </w:tcBorders>
          </w:tcPr>
          <w:p w14:paraId="292712AA" w14:textId="77777777" w:rsidR="0079381F" w:rsidRPr="00E44261" w:rsidRDefault="0079381F" w:rsidP="00187E94">
            <w:pPr>
              <w:pStyle w:val="Default"/>
              <w:spacing w:line="276" w:lineRule="auto"/>
              <w:jc w:val="right"/>
              <w:rPr>
                <w:sz w:val="18"/>
                <w:szCs w:val="18"/>
              </w:rPr>
            </w:pPr>
            <w:r w:rsidRPr="00E44261">
              <w:rPr>
                <w:sz w:val="18"/>
                <w:szCs w:val="18"/>
              </w:rPr>
              <w:t xml:space="preserve">45.963,00 </w:t>
            </w:r>
          </w:p>
        </w:tc>
        <w:tc>
          <w:tcPr>
            <w:tcW w:w="2034" w:type="dxa"/>
            <w:tcBorders>
              <w:top w:val="single" w:sz="4" w:space="0" w:color="auto"/>
              <w:left w:val="single" w:sz="4" w:space="0" w:color="auto"/>
              <w:bottom w:val="single" w:sz="4" w:space="0" w:color="auto"/>
              <w:right w:val="single" w:sz="4" w:space="0" w:color="auto"/>
            </w:tcBorders>
          </w:tcPr>
          <w:p w14:paraId="5B03D20E" w14:textId="77777777" w:rsidR="0079381F" w:rsidRPr="00E44261" w:rsidRDefault="0079381F" w:rsidP="00187E94">
            <w:pPr>
              <w:pStyle w:val="Default"/>
              <w:spacing w:line="276" w:lineRule="auto"/>
              <w:jc w:val="right"/>
              <w:rPr>
                <w:sz w:val="18"/>
                <w:szCs w:val="18"/>
              </w:rPr>
            </w:pPr>
            <w:r w:rsidRPr="00E44261">
              <w:rPr>
                <w:sz w:val="18"/>
                <w:szCs w:val="18"/>
              </w:rPr>
              <w:t>₡2.009.700.418,04</w:t>
            </w:r>
          </w:p>
        </w:tc>
        <w:tc>
          <w:tcPr>
            <w:tcW w:w="1231" w:type="dxa"/>
            <w:tcBorders>
              <w:top w:val="single" w:sz="4" w:space="0" w:color="auto"/>
              <w:left w:val="single" w:sz="4" w:space="0" w:color="auto"/>
              <w:bottom w:val="single" w:sz="4" w:space="0" w:color="auto"/>
              <w:right w:val="single" w:sz="4" w:space="0" w:color="auto"/>
            </w:tcBorders>
          </w:tcPr>
          <w:p w14:paraId="3C9E5C2C" w14:textId="77777777" w:rsidR="0079381F" w:rsidRPr="00E44261" w:rsidRDefault="0079381F" w:rsidP="00187E94">
            <w:pPr>
              <w:pStyle w:val="Default"/>
              <w:spacing w:line="276" w:lineRule="auto"/>
              <w:jc w:val="right"/>
              <w:rPr>
                <w:sz w:val="18"/>
                <w:szCs w:val="18"/>
              </w:rPr>
            </w:pPr>
            <w:r w:rsidRPr="00E44261">
              <w:rPr>
                <w:sz w:val="18"/>
                <w:szCs w:val="18"/>
              </w:rPr>
              <w:t xml:space="preserve">48.609,27   </w:t>
            </w:r>
          </w:p>
        </w:tc>
        <w:tc>
          <w:tcPr>
            <w:tcW w:w="2029" w:type="dxa"/>
            <w:tcBorders>
              <w:top w:val="single" w:sz="4" w:space="0" w:color="auto"/>
              <w:left w:val="single" w:sz="4" w:space="0" w:color="auto"/>
              <w:bottom w:val="single" w:sz="4" w:space="0" w:color="auto"/>
              <w:right w:val="single" w:sz="4" w:space="0" w:color="auto"/>
            </w:tcBorders>
          </w:tcPr>
          <w:p w14:paraId="2242CBD8" w14:textId="77777777" w:rsidR="0079381F" w:rsidRPr="00E44261" w:rsidRDefault="0079381F" w:rsidP="00187E94">
            <w:pPr>
              <w:pStyle w:val="Default"/>
              <w:spacing w:line="276" w:lineRule="auto"/>
              <w:jc w:val="right"/>
              <w:rPr>
                <w:sz w:val="18"/>
                <w:szCs w:val="18"/>
              </w:rPr>
            </w:pPr>
            <w:r w:rsidRPr="00E44261">
              <w:rPr>
                <w:sz w:val="18"/>
                <w:szCs w:val="18"/>
              </w:rPr>
              <w:t>₡2.186.183 983,48</w:t>
            </w:r>
          </w:p>
        </w:tc>
      </w:tr>
      <w:tr w:rsidR="0079381F" w:rsidRPr="00E44261" w14:paraId="5ACFFAC2" w14:textId="77777777" w:rsidTr="00E44261">
        <w:tc>
          <w:tcPr>
            <w:tcW w:w="123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8338C8" w14:textId="77777777" w:rsidR="0079381F" w:rsidRPr="00E44261" w:rsidRDefault="0079381F" w:rsidP="00187E94">
            <w:pPr>
              <w:pStyle w:val="Default"/>
              <w:spacing w:line="276" w:lineRule="auto"/>
              <w:jc w:val="both"/>
              <w:rPr>
                <w:b/>
                <w:bCs/>
                <w:sz w:val="18"/>
                <w:szCs w:val="18"/>
              </w:rPr>
            </w:pPr>
            <w:r w:rsidRPr="00E44261">
              <w:rPr>
                <w:b/>
                <w:bCs/>
                <w:sz w:val="18"/>
                <w:szCs w:val="18"/>
              </w:rPr>
              <w:t>Total</w:t>
            </w:r>
          </w:p>
        </w:tc>
        <w:tc>
          <w:tcPr>
            <w:tcW w:w="110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0263821" w14:textId="77777777" w:rsidR="0079381F" w:rsidRPr="00E44261" w:rsidRDefault="0079381F" w:rsidP="00187E94">
            <w:pPr>
              <w:pStyle w:val="Default"/>
              <w:spacing w:line="276" w:lineRule="auto"/>
              <w:jc w:val="right"/>
              <w:rPr>
                <w:b/>
                <w:bCs/>
                <w:sz w:val="18"/>
                <w:szCs w:val="18"/>
              </w:rPr>
            </w:pPr>
            <w:r w:rsidRPr="00E44261">
              <w:rPr>
                <w:b/>
                <w:bCs/>
                <w:sz w:val="18"/>
                <w:szCs w:val="18"/>
              </w:rPr>
              <w:t>18.976,77</w:t>
            </w:r>
          </w:p>
        </w:tc>
        <w:tc>
          <w:tcPr>
            <w:tcW w:w="191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5444446" w14:textId="77777777" w:rsidR="0079381F" w:rsidRPr="00E44261" w:rsidRDefault="0079381F" w:rsidP="00187E94">
            <w:pPr>
              <w:pStyle w:val="Default"/>
              <w:spacing w:line="276" w:lineRule="auto"/>
              <w:jc w:val="right"/>
              <w:rPr>
                <w:b/>
                <w:bCs/>
                <w:sz w:val="18"/>
                <w:szCs w:val="18"/>
              </w:rPr>
            </w:pPr>
            <w:r w:rsidRPr="00E44261">
              <w:rPr>
                <w:b/>
                <w:bCs/>
                <w:sz w:val="18"/>
                <w:szCs w:val="18"/>
              </w:rPr>
              <w:t>₡1.218.716.196,08</w:t>
            </w:r>
          </w:p>
        </w:tc>
        <w:tc>
          <w:tcPr>
            <w:tcW w:w="12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FBF5B1" w14:textId="77777777" w:rsidR="0079381F" w:rsidRPr="00E44261" w:rsidRDefault="0079381F" w:rsidP="00187E94">
            <w:pPr>
              <w:pStyle w:val="Default"/>
              <w:spacing w:line="276" w:lineRule="auto"/>
              <w:jc w:val="right"/>
              <w:rPr>
                <w:b/>
                <w:bCs/>
                <w:sz w:val="18"/>
                <w:szCs w:val="18"/>
              </w:rPr>
            </w:pPr>
            <w:r w:rsidRPr="00E44261">
              <w:rPr>
                <w:b/>
                <w:bCs/>
                <w:sz w:val="18"/>
                <w:szCs w:val="18"/>
              </w:rPr>
              <w:t>265.299,95</w:t>
            </w:r>
          </w:p>
        </w:tc>
        <w:tc>
          <w:tcPr>
            <w:tcW w:w="20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B0D4CFC" w14:textId="77777777" w:rsidR="0079381F" w:rsidRPr="00E44261" w:rsidRDefault="0079381F" w:rsidP="00187E94">
            <w:pPr>
              <w:pStyle w:val="Default"/>
              <w:spacing w:line="276" w:lineRule="auto"/>
              <w:jc w:val="right"/>
              <w:rPr>
                <w:b/>
                <w:bCs/>
                <w:sz w:val="18"/>
                <w:szCs w:val="18"/>
              </w:rPr>
            </w:pPr>
            <w:r w:rsidRPr="00E44261">
              <w:rPr>
                <w:b/>
                <w:bCs/>
                <w:sz w:val="18"/>
                <w:szCs w:val="18"/>
              </w:rPr>
              <w:t>₡11.341.605 764,72</w:t>
            </w:r>
          </w:p>
        </w:tc>
        <w:tc>
          <w:tcPr>
            <w:tcW w:w="123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4F368A" w14:textId="77777777" w:rsidR="0079381F" w:rsidRPr="00E44261" w:rsidRDefault="0079381F" w:rsidP="00187E94">
            <w:pPr>
              <w:pStyle w:val="Default"/>
              <w:spacing w:line="276" w:lineRule="auto"/>
              <w:jc w:val="right"/>
              <w:rPr>
                <w:b/>
                <w:bCs/>
                <w:sz w:val="18"/>
                <w:szCs w:val="18"/>
              </w:rPr>
            </w:pPr>
            <w:r w:rsidRPr="00E44261">
              <w:rPr>
                <w:b/>
                <w:bCs/>
                <w:sz w:val="18"/>
                <w:szCs w:val="18"/>
              </w:rPr>
              <w:t>284.276,72</w:t>
            </w:r>
          </w:p>
        </w:tc>
        <w:tc>
          <w:tcPr>
            <w:tcW w:w="202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1EC218E" w14:textId="77777777" w:rsidR="0079381F" w:rsidRPr="00E44261" w:rsidRDefault="0079381F" w:rsidP="00187E94">
            <w:pPr>
              <w:pStyle w:val="Default"/>
              <w:spacing w:line="276" w:lineRule="auto"/>
              <w:jc w:val="right"/>
              <w:rPr>
                <w:b/>
                <w:bCs/>
                <w:sz w:val="18"/>
                <w:szCs w:val="18"/>
              </w:rPr>
            </w:pPr>
            <w:r w:rsidRPr="00E44261">
              <w:rPr>
                <w:b/>
                <w:bCs/>
                <w:sz w:val="18"/>
                <w:szCs w:val="18"/>
              </w:rPr>
              <w:t>₡12.560.321.960,80</w:t>
            </w:r>
          </w:p>
        </w:tc>
      </w:tr>
    </w:tbl>
    <w:p w14:paraId="77D3CAD4" w14:textId="77777777" w:rsidR="0079381F" w:rsidRPr="003F00C6" w:rsidRDefault="0079381F" w:rsidP="0079381F">
      <w:pPr>
        <w:pStyle w:val="Default"/>
        <w:spacing w:line="276" w:lineRule="auto"/>
        <w:jc w:val="both"/>
      </w:pPr>
    </w:p>
    <w:p w14:paraId="13191C82" w14:textId="77777777" w:rsidR="0079381F" w:rsidRPr="003F00C6" w:rsidRDefault="0079381F" w:rsidP="0079381F">
      <w:pPr>
        <w:pStyle w:val="Default"/>
        <w:spacing w:line="276" w:lineRule="auto"/>
        <w:jc w:val="both"/>
      </w:pPr>
    </w:p>
    <w:p w14:paraId="45675382" w14:textId="77777777" w:rsidR="0079381F" w:rsidRPr="003F00C6" w:rsidRDefault="0079381F" w:rsidP="0079381F">
      <w:pPr>
        <w:pStyle w:val="Default"/>
        <w:spacing w:line="276" w:lineRule="auto"/>
        <w:jc w:val="both"/>
      </w:pPr>
      <w:r w:rsidRPr="003F00C6">
        <w:t>Cabe destacar que parte de los recursos ejecutados por el PPSA se destina a la atención de grupos vulnerables. Del total de hectáreas financiadas, 66.789,40 se encuentran en territorios indígenas y 611 de los contratos pagados en el a</w:t>
      </w:r>
      <w:r>
        <w:t>ñ</w:t>
      </w:r>
      <w:r w:rsidRPr="003F00C6">
        <w:t xml:space="preserve">o se encuentran a nombre </w:t>
      </w:r>
      <w:r>
        <w:t>d</w:t>
      </w:r>
      <w:r w:rsidRPr="003F00C6">
        <w:t>e mujeres, contando así con un importante aporte a estos grupos sociales.</w:t>
      </w:r>
    </w:p>
    <w:p w14:paraId="27FB897B" w14:textId="77777777" w:rsidR="0079381F" w:rsidRPr="003F00C6" w:rsidRDefault="0079381F" w:rsidP="0079381F">
      <w:pPr>
        <w:pStyle w:val="Default"/>
        <w:spacing w:line="276" w:lineRule="auto"/>
        <w:jc w:val="both"/>
      </w:pPr>
    </w:p>
    <w:p w14:paraId="77D5F2B2" w14:textId="77777777" w:rsidR="0079381F" w:rsidRPr="003F00C6" w:rsidRDefault="0079381F" w:rsidP="0079381F">
      <w:pPr>
        <w:pStyle w:val="Default"/>
        <w:spacing w:line="276" w:lineRule="auto"/>
        <w:jc w:val="both"/>
      </w:pPr>
      <w:r w:rsidRPr="003F00C6">
        <w:t>Para el caso de la estrategia nacional REDD+ es importante resaltar que se han realizado acciones para cumplir con las disposiciones necesarias para la atracción de recursos, el seguimiento de recursos para la operación de la estrategia, la gestión de Contratos de Reducción de Emisiones Forestales (CREF), el seguimiento de la reducción de emisiones y del pago por resultados.</w:t>
      </w:r>
      <w:r>
        <w:t xml:space="preserve"> La calificación obtenida por la estrategia REDD+ ha sido el resultado de un promedio de avance de las 19 acciones más importantes planificadas para el periodo 2021, de las cuales se ha logrado importantes avances en la mayoría, sin embargo, algunas de estas no pudieron culminarse por lo que se estarían trasladando a periodo 2022. Entre los resultados más importantes destacan el reclutamiento de fincas para ingresar al Programa de Reducción de Emisiones (PRE), logrando la firma de los primeros 106 Contratos de Reducción de Emisiones Forestales (CREF) y el reclutamiento de 126 fincas más las cuales se espera ingresen al programa en un corto plazo. Además, se logró finalizar la preparación de documentos y otras condiciones necesarias para la recepción de recursos financieros producto del pago por resultados, por lo que el país obtuvo los primeros $23 millones de dólares provenientes de organismos internacionales.</w:t>
      </w:r>
    </w:p>
    <w:p w14:paraId="65CC8DA6" w14:textId="77777777" w:rsidR="0079381F" w:rsidRPr="003F00C6" w:rsidRDefault="0079381F" w:rsidP="0079381F">
      <w:pPr>
        <w:pStyle w:val="Default"/>
        <w:spacing w:line="276" w:lineRule="auto"/>
        <w:jc w:val="both"/>
      </w:pPr>
    </w:p>
    <w:p w14:paraId="73630439" w14:textId="3C9E54A2" w:rsidR="0079381F" w:rsidRDefault="0079381F" w:rsidP="0079381F">
      <w:pPr>
        <w:pStyle w:val="Default"/>
        <w:spacing w:line="276" w:lineRule="auto"/>
        <w:jc w:val="both"/>
      </w:pPr>
      <w:r w:rsidRPr="003F00C6">
        <w:t>En lo que respecta al Programa de Crédito Forestal, al cierre del periodo 2021 se logró realizar 122 desembolsos por un monto total de ₡605.</w:t>
      </w:r>
      <w:r w:rsidR="006A5EBE">
        <w:t>505.947</w:t>
      </w:r>
      <w:r w:rsidRPr="003F00C6">
        <w:t xml:space="preserve"> que comprenden tanto las operaciones nuevas como las </w:t>
      </w:r>
    </w:p>
    <w:p w14:paraId="788D114B" w14:textId="77777777" w:rsidR="0079381F" w:rsidRDefault="0079381F" w:rsidP="0079381F">
      <w:pPr>
        <w:pStyle w:val="Default"/>
        <w:spacing w:line="276" w:lineRule="auto"/>
        <w:jc w:val="both"/>
      </w:pPr>
    </w:p>
    <w:p w14:paraId="296AD019" w14:textId="77777777" w:rsidR="001228F3" w:rsidRDefault="006A5EBE" w:rsidP="0079381F">
      <w:pPr>
        <w:pStyle w:val="Default"/>
        <w:spacing w:line="276" w:lineRule="auto"/>
        <w:jc w:val="both"/>
      </w:pPr>
      <w:r>
        <w:t>La</w:t>
      </w:r>
      <w:r w:rsidR="0079381F">
        <w:t xml:space="preserve"> línea de crédito que má</w:t>
      </w:r>
      <w:r w:rsidR="0079381F" w:rsidRPr="003F00C6">
        <w:t>s ha sido utilizada es la de Fomento Productivo, con la cual se puede financiar actividades</w:t>
      </w:r>
      <w:r w:rsidR="0079381F">
        <w:t xml:space="preserve"> que </w:t>
      </w:r>
      <w:r w:rsidR="0079381F" w:rsidRPr="003F00C6">
        <w:t xml:space="preserve"> fomenten el desarrollo del sector forestal</w:t>
      </w:r>
      <w:r w:rsidR="0079381F">
        <w:t>:</w:t>
      </w:r>
      <w:r w:rsidR="0079381F" w:rsidRPr="003F00C6">
        <w:t xml:space="preserve"> como viveros forestales, plantaciones forestales, establecimiento, manejo y aprovechamiento de plantaciones, procesamiento de madera de plantaciones forestales propias, establecimiento y manejo de sistemas agroforestales, actividades para la protección de bosques, manejo de bosque (estudios de manejo de bosques y su ejecución), recuperación de áreas denudadas, proyectos innovadores que optimicen la utilización de los recursos naturales, inversión en maquinaria, equipo, infraestructura, compra de insumos, mano de obra, y otras </w:t>
      </w:r>
    </w:p>
    <w:p w14:paraId="72DF2953" w14:textId="77777777" w:rsidR="001228F3" w:rsidRDefault="001228F3" w:rsidP="0079381F">
      <w:pPr>
        <w:pStyle w:val="Default"/>
        <w:spacing w:line="276" w:lineRule="auto"/>
        <w:jc w:val="both"/>
      </w:pPr>
    </w:p>
    <w:p w14:paraId="404F90F2" w14:textId="77777777" w:rsidR="001228F3" w:rsidRDefault="001228F3" w:rsidP="0079381F">
      <w:pPr>
        <w:pStyle w:val="Default"/>
        <w:spacing w:line="276" w:lineRule="auto"/>
        <w:jc w:val="both"/>
      </w:pPr>
    </w:p>
    <w:p w14:paraId="712021E8" w14:textId="77777777" w:rsidR="001228F3" w:rsidRDefault="001228F3" w:rsidP="0079381F">
      <w:pPr>
        <w:pStyle w:val="Default"/>
        <w:spacing w:line="276" w:lineRule="auto"/>
        <w:jc w:val="both"/>
      </w:pPr>
    </w:p>
    <w:p w14:paraId="64AF4625" w14:textId="4778674F" w:rsidR="0079381F" w:rsidRPr="003F00C6" w:rsidRDefault="0079381F" w:rsidP="0079381F">
      <w:pPr>
        <w:pStyle w:val="Default"/>
        <w:spacing w:line="276" w:lineRule="auto"/>
        <w:jc w:val="both"/>
      </w:pPr>
      <w:r w:rsidRPr="003F00C6">
        <w:t>actividades relacionadas con las anteriores u otras que por su condición se puedan valorar bajo este objetivo.</w:t>
      </w:r>
    </w:p>
    <w:p w14:paraId="22266639" w14:textId="77777777" w:rsidR="005641E3" w:rsidRPr="005641E3" w:rsidRDefault="005641E3" w:rsidP="005641E3"/>
    <w:p w14:paraId="617CD25F" w14:textId="77777777" w:rsidR="00F66BFC" w:rsidRDefault="00F66BFC" w:rsidP="005641E3">
      <w:pPr>
        <w:pStyle w:val="Ttulo2"/>
        <w:rPr>
          <w:rFonts w:ascii="Arial" w:hAnsi="Arial" w:cs="Arial"/>
          <w:color w:val="auto"/>
          <w:sz w:val="24"/>
          <w:szCs w:val="24"/>
        </w:rPr>
      </w:pPr>
      <w:bookmarkStart w:id="28" w:name="_Toc94522227"/>
      <w:r w:rsidRPr="005641E3">
        <w:rPr>
          <w:rFonts w:ascii="Arial" w:hAnsi="Arial" w:cs="Arial"/>
          <w:color w:val="auto"/>
          <w:sz w:val="24"/>
          <w:szCs w:val="24"/>
        </w:rPr>
        <w:t>9.</w:t>
      </w:r>
      <w:r w:rsidR="00EE41E6" w:rsidRPr="005641E3">
        <w:rPr>
          <w:rFonts w:ascii="Arial" w:hAnsi="Arial" w:cs="Arial"/>
          <w:color w:val="auto"/>
          <w:sz w:val="24"/>
          <w:szCs w:val="24"/>
        </w:rPr>
        <w:t>4</w:t>
      </w:r>
      <w:r w:rsidRPr="005641E3">
        <w:rPr>
          <w:rFonts w:ascii="Arial" w:hAnsi="Arial" w:cs="Arial"/>
          <w:color w:val="auto"/>
          <w:sz w:val="24"/>
          <w:szCs w:val="24"/>
        </w:rPr>
        <w:t xml:space="preserve"> </w:t>
      </w:r>
      <w:r w:rsidR="00666B67" w:rsidRPr="005641E3">
        <w:rPr>
          <w:rFonts w:ascii="Arial" w:hAnsi="Arial" w:cs="Arial"/>
          <w:color w:val="auto"/>
          <w:sz w:val="24"/>
          <w:szCs w:val="24"/>
        </w:rPr>
        <w:t xml:space="preserve">Medidas </w:t>
      </w:r>
      <w:r w:rsidRPr="005641E3">
        <w:rPr>
          <w:rFonts w:ascii="Arial" w:hAnsi="Arial" w:cs="Arial"/>
          <w:color w:val="auto"/>
          <w:sz w:val="24"/>
          <w:szCs w:val="24"/>
        </w:rPr>
        <w:t>correctivas</w:t>
      </w:r>
      <w:bookmarkEnd w:id="28"/>
      <w:r w:rsidR="00666B67" w:rsidRPr="005641E3">
        <w:rPr>
          <w:rFonts w:ascii="Arial" w:hAnsi="Arial" w:cs="Arial"/>
          <w:color w:val="auto"/>
          <w:sz w:val="24"/>
          <w:szCs w:val="24"/>
        </w:rPr>
        <w:t xml:space="preserve"> </w:t>
      </w:r>
    </w:p>
    <w:p w14:paraId="0C9F5E8E" w14:textId="77777777" w:rsidR="005641E3" w:rsidRPr="005641E3" w:rsidRDefault="005641E3" w:rsidP="005641E3"/>
    <w:p w14:paraId="3DFE37BC" w14:textId="77777777" w:rsidR="006A5EBE" w:rsidRPr="003F00C6" w:rsidRDefault="00666B67" w:rsidP="006A5EBE">
      <w:pPr>
        <w:pStyle w:val="Default"/>
        <w:spacing w:line="276" w:lineRule="auto"/>
        <w:jc w:val="both"/>
      </w:pPr>
      <w:r w:rsidRPr="00F66BFC">
        <w:rPr>
          <w:color w:val="FF0000"/>
          <w:lang w:val="es-ES"/>
        </w:rPr>
        <w:t> </w:t>
      </w:r>
      <w:r w:rsidR="006A5EBE" w:rsidRPr="003F00C6">
        <w:t xml:space="preserve">Respecto del Programa de Pago por Servicios Ambientales, al ser este un </w:t>
      </w:r>
      <w:r w:rsidR="006A5EBE">
        <w:t xml:space="preserve">mecanismo financiero consolidado y de gran trayectoria nacional e internacional </w:t>
      </w:r>
      <w:r w:rsidR="006A5EBE" w:rsidRPr="003F00C6">
        <w:t xml:space="preserve">no se tiene mayores problemas para lograr las metas de colocación y ejecución presupuestaria, pues, </w:t>
      </w:r>
      <w:r w:rsidR="006A5EBE">
        <w:t xml:space="preserve">existe </w:t>
      </w:r>
      <w:r w:rsidR="006A5EBE" w:rsidRPr="003F00C6">
        <w:t>una amplia cantidad de interesados en ingresar al programa</w:t>
      </w:r>
      <w:r w:rsidR="006A5EBE">
        <w:t xml:space="preserve">, no obstante dadas las restricciones presupuestarias y las decisiones nacionales de política pública en cuanto al giro de recursos para el sector ambiental </w:t>
      </w:r>
      <w:r w:rsidR="006A5EBE" w:rsidRPr="003F00C6">
        <w:t xml:space="preserve"> no se cuenta con recursos suficientes para satisfacer toda la demanda del mismo. En este sentido, las acciones a seguir durante el periodo 2022 deben orientarse a la búsqueda de recursos financieros para ampliar la cantidad de beneficiarios del programa.</w:t>
      </w:r>
      <w:r w:rsidR="006A5EBE">
        <w:t xml:space="preserve"> Manteniendo además los esfuerzos sistemáticos que se realizan en torno a eficientizar los procesos, automatización de servicios y control y seguimiento en campo.</w:t>
      </w:r>
    </w:p>
    <w:p w14:paraId="5CACFDC3" w14:textId="77777777" w:rsidR="006A5EBE" w:rsidRPr="003F00C6" w:rsidRDefault="006A5EBE" w:rsidP="006A5EBE">
      <w:pPr>
        <w:pStyle w:val="Default"/>
        <w:spacing w:line="276" w:lineRule="auto"/>
        <w:jc w:val="both"/>
      </w:pPr>
    </w:p>
    <w:p w14:paraId="73901334" w14:textId="77777777" w:rsidR="006A5EBE" w:rsidRPr="003F00C6" w:rsidRDefault="006A5EBE" w:rsidP="006A5EBE">
      <w:pPr>
        <w:pStyle w:val="Default"/>
        <w:spacing w:line="276" w:lineRule="auto"/>
        <w:jc w:val="both"/>
      </w:pPr>
      <w:r w:rsidRPr="003F00C6">
        <w:t xml:space="preserve">Por otro lado, el programa de Crédito Forestal si ha tenido dificultad para lograr los objetivos institucionales del periodo. </w:t>
      </w:r>
      <w:r>
        <w:t xml:space="preserve"> Debido a la </w:t>
      </w:r>
      <w:r w:rsidRPr="003F00C6">
        <w:t xml:space="preserve"> situación </w:t>
      </w:r>
      <w:r>
        <w:t xml:space="preserve"> de contracción en la </w:t>
      </w:r>
      <w:r w:rsidRPr="003F00C6">
        <w:t>economía nacional se ha contraído como efecto de las medidas tomadas para contrarrestar la pandemia de la enfermedad del COVID19,</w:t>
      </w:r>
      <w:r>
        <w:t>.</w:t>
      </w:r>
      <w:r w:rsidRPr="003F00C6">
        <w:t>En este sentido, los productores forestales han perdido el interés en optar por créditos forestales para invertir en sus negocios pues hay una mayor incertidumbre que en a</w:t>
      </w:r>
      <w:r>
        <w:t>ño</w:t>
      </w:r>
      <w:r w:rsidRPr="003F00C6">
        <w:t>s anteriores sobre la capacidad de pago</w:t>
      </w:r>
      <w:r>
        <w:t xml:space="preserve"> y la rentabilidad de los negocios asociados a la madera</w:t>
      </w:r>
      <w:r w:rsidRPr="003F00C6">
        <w:t xml:space="preserve"> Además, algunos de los clientes del programa con operaciones crediticias vigentes han requerido de acuerdos para ablandar el impacto que ha tenido la pandemia en sus negocios y poder continuar con los pagos de los créditos que mantienen con la institución. Ante este panorama, la Dirección de Fomento Forestal deberá realizar las siguientes acciones para estabilizar la situación de los créditos vigente y aumentar la colocación del periodo 2022:</w:t>
      </w:r>
    </w:p>
    <w:p w14:paraId="793DAB45" w14:textId="77777777" w:rsidR="006A5EBE" w:rsidRPr="003F00C6" w:rsidRDefault="006A5EBE" w:rsidP="006A5EBE">
      <w:pPr>
        <w:pStyle w:val="Default"/>
        <w:spacing w:line="276" w:lineRule="auto"/>
        <w:jc w:val="both"/>
      </w:pPr>
    </w:p>
    <w:p w14:paraId="4DE08029" w14:textId="78C1A3CF" w:rsidR="006A5EBE" w:rsidRDefault="006A5EBE" w:rsidP="006A5EBE">
      <w:pPr>
        <w:pStyle w:val="Default"/>
        <w:numPr>
          <w:ilvl w:val="0"/>
          <w:numId w:val="17"/>
        </w:numPr>
        <w:spacing w:line="276" w:lineRule="auto"/>
        <w:jc w:val="both"/>
      </w:pPr>
      <w:r w:rsidRPr="003F00C6">
        <w:t xml:space="preserve">Dar un seguimiento más personalizado a las operaciones crediticias, con el fin de mejorar la gestión de la cartera e identificar necesidades de arreglos y demás alternativas, especialmente a clientes afectados por la </w:t>
      </w:r>
      <w:r>
        <w:t>p</w:t>
      </w:r>
      <w:r w:rsidRPr="003F00C6">
        <w:t>andemia, así como por otras circunstancias.</w:t>
      </w:r>
    </w:p>
    <w:p w14:paraId="37B63702" w14:textId="77777777" w:rsidR="001228F3" w:rsidRPr="003F00C6" w:rsidRDefault="001228F3" w:rsidP="001228F3">
      <w:pPr>
        <w:pStyle w:val="Default"/>
        <w:spacing w:line="276" w:lineRule="auto"/>
        <w:jc w:val="both"/>
      </w:pPr>
    </w:p>
    <w:p w14:paraId="38A175BE" w14:textId="77777777" w:rsidR="006A5EBE" w:rsidRPr="003F00C6" w:rsidRDefault="006A5EBE" w:rsidP="006A5EBE">
      <w:pPr>
        <w:pStyle w:val="Default"/>
        <w:numPr>
          <w:ilvl w:val="0"/>
          <w:numId w:val="17"/>
        </w:numPr>
        <w:spacing w:line="276" w:lineRule="auto"/>
        <w:jc w:val="both"/>
      </w:pPr>
      <w:r w:rsidRPr="003F00C6">
        <w:t>Fortalecer los esfuerzos interinstitucionales</w:t>
      </w:r>
      <w:r>
        <w:t xml:space="preserve"> con miras a f</w:t>
      </w:r>
      <w:r w:rsidRPr="003F00C6">
        <w:t>acilit</w:t>
      </w:r>
      <w:r>
        <w:t xml:space="preserve">ar </w:t>
      </w:r>
      <w:r w:rsidRPr="003F00C6">
        <w:t>la colocación de créditos forestales y favore</w:t>
      </w:r>
      <w:r>
        <w:t xml:space="preserve">cer </w:t>
      </w:r>
      <w:r w:rsidRPr="003F00C6">
        <w:t>la reactivación del cultivo de madera comercial.</w:t>
      </w:r>
    </w:p>
    <w:p w14:paraId="252ED37D" w14:textId="77777777" w:rsidR="006A5EBE" w:rsidRPr="003F00C6" w:rsidRDefault="006A5EBE" w:rsidP="006A5EBE">
      <w:pPr>
        <w:pStyle w:val="Default"/>
        <w:numPr>
          <w:ilvl w:val="0"/>
          <w:numId w:val="17"/>
        </w:numPr>
        <w:spacing w:line="276" w:lineRule="auto"/>
        <w:jc w:val="both"/>
      </w:pPr>
      <w:r w:rsidRPr="003F00C6">
        <w:t>Continuar con las gestiones para acceder a fondos adicionales que permitan fortalecer el Programa de Crédito, tales fondos no reembolsables y fondos de avales.</w:t>
      </w:r>
    </w:p>
    <w:p w14:paraId="6B96E87D" w14:textId="1074379B" w:rsidR="00666B67" w:rsidRPr="00F66BFC" w:rsidRDefault="00666B67" w:rsidP="00666B67">
      <w:pPr>
        <w:rPr>
          <w:rFonts w:ascii="Arial" w:hAnsi="Arial" w:cs="Arial"/>
          <w:color w:val="000000"/>
        </w:rPr>
      </w:pPr>
    </w:p>
    <w:p w14:paraId="1761FD52" w14:textId="77777777" w:rsidR="00666B67" w:rsidRPr="00F66BFC" w:rsidRDefault="00666B67" w:rsidP="00666B67">
      <w:pPr>
        <w:rPr>
          <w:rFonts w:ascii="Arial" w:hAnsi="Arial" w:cs="Arial"/>
          <w:color w:val="000000"/>
        </w:rPr>
      </w:pPr>
      <w:r w:rsidRPr="00F66BFC">
        <w:rPr>
          <w:rFonts w:ascii="Arial" w:hAnsi="Arial" w:cs="Arial"/>
          <w:color w:val="1F497D"/>
        </w:rPr>
        <w:t> </w:t>
      </w:r>
      <w:r w:rsidRPr="00F66BFC">
        <w:rPr>
          <w:rFonts w:ascii="Arial" w:hAnsi="Arial" w:cs="Arial"/>
          <w:color w:val="000000"/>
        </w:rPr>
        <w:t> </w:t>
      </w:r>
    </w:p>
    <w:bookmarkEnd w:id="24"/>
    <w:p w14:paraId="253FFAA6" w14:textId="77777777" w:rsidR="00666B67" w:rsidRPr="00F66BFC" w:rsidRDefault="00666B67" w:rsidP="00666B67">
      <w:pPr>
        <w:rPr>
          <w:rFonts w:ascii="Arial" w:hAnsi="Arial" w:cs="Arial"/>
          <w:color w:val="000000"/>
        </w:rPr>
      </w:pPr>
      <w:r w:rsidRPr="00F66BFC">
        <w:rPr>
          <w:rFonts w:ascii="Arial" w:hAnsi="Arial" w:cs="Arial"/>
          <w:color w:val="1F497D"/>
        </w:rPr>
        <w:t> </w:t>
      </w:r>
    </w:p>
    <w:p w14:paraId="227F6D33" w14:textId="77777777" w:rsidR="00666B67" w:rsidRDefault="00666B67" w:rsidP="00666B67">
      <w:pPr>
        <w:rPr>
          <w:rFonts w:cs="Calibri"/>
          <w:color w:val="000000"/>
        </w:rPr>
      </w:pPr>
      <w:r>
        <w:rPr>
          <w:rFonts w:cs="Calibri"/>
          <w:color w:val="000000"/>
        </w:rPr>
        <w:t> </w:t>
      </w:r>
    </w:p>
    <w:p w14:paraId="0D8D0E87" w14:textId="77777777" w:rsidR="00666B67" w:rsidRDefault="00666B67" w:rsidP="00666B67">
      <w:pPr>
        <w:rPr>
          <w:rFonts w:cs="Calibri"/>
          <w:color w:val="000000"/>
        </w:rPr>
      </w:pPr>
      <w:r>
        <w:rPr>
          <w:rFonts w:cs="Calibri"/>
          <w:color w:val="000000"/>
        </w:rPr>
        <w:t> </w:t>
      </w:r>
    </w:p>
    <w:p w14:paraId="77731214" w14:textId="77777777" w:rsidR="00666B67" w:rsidRDefault="00666B67" w:rsidP="00666B67">
      <w:pPr>
        <w:rPr>
          <w:rFonts w:cs="Calibri"/>
        </w:rPr>
      </w:pPr>
    </w:p>
    <w:p w14:paraId="14897C95" w14:textId="77777777" w:rsidR="00666B67" w:rsidRDefault="00666B67" w:rsidP="00666B67">
      <w:pPr>
        <w:ind w:left="771"/>
        <w:rPr>
          <w:rFonts w:ascii="Times New Roman" w:hAnsi="Times New Roman"/>
          <w:color w:val="000000"/>
          <w:sz w:val="24"/>
          <w:szCs w:val="24"/>
          <w:lang w:eastAsia="es-MX"/>
        </w:rPr>
      </w:pPr>
      <w:r>
        <w:rPr>
          <w:rFonts w:cs="Calibri"/>
          <w:color w:val="1F497D"/>
        </w:rPr>
        <w:t> </w:t>
      </w:r>
    </w:p>
    <w:p w14:paraId="797D2895" w14:textId="77777777" w:rsidR="00666B67" w:rsidRDefault="00666B67" w:rsidP="00666B67">
      <w:pPr>
        <w:rPr>
          <w:color w:val="000000"/>
        </w:rPr>
      </w:pPr>
      <w:r>
        <w:rPr>
          <w:rFonts w:cs="Calibri"/>
          <w:color w:val="1F497D"/>
        </w:rPr>
        <w:t> </w:t>
      </w:r>
    </w:p>
    <w:p w14:paraId="518ACEC5" w14:textId="77777777" w:rsidR="004D6CB4" w:rsidRPr="000A488C" w:rsidRDefault="004D6CB4" w:rsidP="001E05C7">
      <w:pPr>
        <w:jc w:val="right"/>
        <w:rPr>
          <w:rFonts w:ascii="Arial" w:eastAsiaTheme="minorEastAsia" w:hAnsi="Arial" w:cs="Arial"/>
          <w:lang w:eastAsia="es-CR"/>
        </w:rPr>
      </w:pPr>
    </w:p>
    <w:sectPr w:rsidR="004D6CB4" w:rsidRPr="000A488C" w:rsidSect="00C614ED">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92017" w14:textId="77777777" w:rsidR="00C20351" w:rsidRDefault="00C20351" w:rsidP="008026B1">
      <w:pPr>
        <w:spacing w:after="0" w:line="240" w:lineRule="auto"/>
      </w:pPr>
      <w:r>
        <w:separator/>
      </w:r>
    </w:p>
  </w:endnote>
  <w:endnote w:type="continuationSeparator" w:id="0">
    <w:p w14:paraId="18603548" w14:textId="77777777" w:rsidR="00C20351" w:rsidRDefault="00C20351" w:rsidP="0080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687A" w14:textId="77777777" w:rsidR="009D3FDA" w:rsidRDefault="009D3FDA" w:rsidP="00533912">
    <w:pPr>
      <w:framePr w:wrap="around" w:vAnchor="text" w:hAnchor="margin" w:xAlign="right" w:y="1"/>
    </w:pPr>
    <w:r>
      <w:fldChar w:fldCharType="begin"/>
    </w:r>
    <w:r>
      <w:instrText xml:space="preserve">PAGE  </w:instrText>
    </w:r>
    <w:r>
      <w:fldChar w:fldCharType="separate"/>
    </w:r>
    <w:r>
      <w:rPr>
        <w:noProof/>
      </w:rPr>
      <w:t>28</w:t>
    </w:r>
    <w:r>
      <w:rPr>
        <w:noProof/>
      </w:rPr>
      <w:fldChar w:fldCharType="end"/>
    </w:r>
  </w:p>
  <w:p w14:paraId="32DC11F3" w14:textId="77777777" w:rsidR="009D3FDA" w:rsidRDefault="009D3FDA" w:rsidP="00533912">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A0FBF" w14:textId="5BDFCF49" w:rsidR="009D3FDA" w:rsidRDefault="009D3FDA">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BC392E" w:rsidRPr="00BC392E">
      <w:rPr>
        <w:caps/>
        <w:noProof/>
        <w:color w:val="4F81BD" w:themeColor="accent1"/>
        <w:lang w:val="es-ES"/>
      </w:rPr>
      <w:t>20</w:t>
    </w:r>
    <w:r>
      <w:rPr>
        <w:caps/>
        <w:color w:val="4F81BD" w:themeColor="accent1"/>
      </w:rPr>
      <w:fldChar w:fldCharType="end"/>
    </w:r>
  </w:p>
  <w:p w14:paraId="430B05DA" w14:textId="77777777" w:rsidR="009D3FDA" w:rsidRDefault="009D3FD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CA0B4" w14:textId="77777777" w:rsidR="009D3FDA" w:rsidRDefault="009D3FDA">
    <w:pPr>
      <w:jc w:val="right"/>
    </w:pPr>
  </w:p>
  <w:p w14:paraId="77AE05BC" w14:textId="77777777" w:rsidR="009D3FDA" w:rsidRDefault="009D3FD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58350" w14:textId="77777777" w:rsidR="00C20351" w:rsidRDefault="00C20351" w:rsidP="008026B1">
      <w:pPr>
        <w:spacing w:after="0" w:line="240" w:lineRule="auto"/>
      </w:pPr>
      <w:r>
        <w:separator/>
      </w:r>
    </w:p>
  </w:footnote>
  <w:footnote w:type="continuationSeparator" w:id="0">
    <w:p w14:paraId="0F2998DF" w14:textId="77777777" w:rsidR="00C20351" w:rsidRDefault="00C20351" w:rsidP="00802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1D880" w14:textId="77777777" w:rsidR="009D3FDA" w:rsidRDefault="009D3FDA" w:rsidP="004A38CB">
    <w:pPr>
      <w:tabs>
        <w:tab w:val="left" w:pos="2445"/>
        <w:tab w:val="center" w:pos="6502"/>
      </w:tabs>
      <w:spacing w:after="0" w:line="240" w:lineRule="auto"/>
      <w:jc w:val="center"/>
      <w:rPr>
        <w:b/>
      </w:rPr>
    </w:pPr>
  </w:p>
  <w:p w14:paraId="1ABB89A2" w14:textId="77777777" w:rsidR="009D3FDA" w:rsidRDefault="009D3FDA" w:rsidP="004A38CB">
    <w:pPr>
      <w:tabs>
        <w:tab w:val="left" w:pos="2445"/>
        <w:tab w:val="center" w:pos="6502"/>
      </w:tabs>
      <w:spacing w:after="0" w:line="240" w:lineRule="auto"/>
      <w:jc w:val="center"/>
      <w:rPr>
        <w:b/>
      </w:rPr>
    </w:pPr>
  </w:p>
  <w:p w14:paraId="279BCB3E" w14:textId="77777777" w:rsidR="009D3FDA" w:rsidRPr="004A38CB" w:rsidRDefault="009D3FDA" w:rsidP="004A38CB">
    <w:pPr>
      <w:tabs>
        <w:tab w:val="left" w:pos="2445"/>
        <w:tab w:val="center" w:pos="6502"/>
      </w:tabs>
      <w:spacing w:after="0" w:line="240" w:lineRule="auto"/>
      <w:jc w:val="center"/>
      <w:rPr>
        <w:b/>
      </w:rPr>
    </w:pPr>
    <w:r w:rsidRPr="004A38CB">
      <w:rPr>
        <w:b/>
      </w:rPr>
      <w:t>Ejecución Presupuestaria</w:t>
    </w:r>
  </w:p>
  <w:p w14:paraId="1ED0D6A1" w14:textId="69DE6A05" w:rsidR="009D3FDA" w:rsidRPr="00E65575" w:rsidRDefault="009D3FDA" w:rsidP="00D41DB4">
    <w:pPr>
      <w:tabs>
        <w:tab w:val="left" w:pos="2445"/>
        <w:tab w:val="left" w:pos="5475"/>
        <w:tab w:val="center" w:pos="6502"/>
      </w:tabs>
      <w:spacing w:after="0" w:line="240" w:lineRule="auto"/>
      <w:jc w:val="center"/>
      <w:rPr>
        <w:b/>
      </w:rPr>
    </w:pPr>
    <w:r>
      <w:rPr>
        <w:b/>
      </w:rPr>
      <w:t>II semestre</w:t>
    </w:r>
    <w:r w:rsidRPr="004A38CB">
      <w:rPr>
        <w:b/>
      </w:rPr>
      <w:t xml:space="preserve"> </w:t>
    </w:r>
    <w:r>
      <w:rPr>
        <w:b/>
      </w:rPr>
      <w:t>202</w:t>
    </w:r>
    <w:r w:rsidR="004C0F2B">
      <w:rPr>
        <w:b/>
      </w:rPr>
      <w:t>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4F05" w14:textId="77777777" w:rsidR="009D3FDA" w:rsidRDefault="009D3FDA">
    <w:pPr>
      <w:jc w:val="right"/>
    </w:pPr>
  </w:p>
  <w:p w14:paraId="01B24E15" w14:textId="77777777" w:rsidR="009D3FDA" w:rsidRDefault="009D3FD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60002" w14:textId="77777777" w:rsidR="009D3FDA" w:rsidRDefault="009D3FDA" w:rsidP="00F5239B">
    <w:pPr>
      <w:tabs>
        <w:tab w:val="left" w:pos="2445"/>
        <w:tab w:val="left" w:pos="5475"/>
        <w:tab w:val="center" w:pos="6502"/>
      </w:tabs>
      <w:spacing w:after="0" w:line="240" w:lineRule="auto"/>
      <w:rPr>
        <w:b/>
      </w:rPr>
    </w:pPr>
  </w:p>
  <w:p w14:paraId="5B6B297D" w14:textId="77777777" w:rsidR="009D3FDA" w:rsidRDefault="009D3FDA" w:rsidP="00F5239B">
    <w:pPr>
      <w:tabs>
        <w:tab w:val="left" w:pos="2445"/>
        <w:tab w:val="left" w:pos="5475"/>
        <w:tab w:val="center" w:pos="6502"/>
      </w:tabs>
      <w:spacing w:after="0" w:line="240" w:lineRule="auto"/>
      <w:jc w:val="center"/>
      <w:rPr>
        <w:b/>
      </w:rPr>
    </w:pPr>
    <w:r>
      <w:rPr>
        <w:b/>
      </w:rPr>
      <w:t>Ejecución Presupuestaria</w:t>
    </w:r>
  </w:p>
  <w:p w14:paraId="3923754E" w14:textId="7CAD86CE" w:rsidR="009D3FDA" w:rsidRPr="00942334" w:rsidRDefault="009D3FDA" w:rsidP="00F5239B">
    <w:pPr>
      <w:tabs>
        <w:tab w:val="left" w:pos="2445"/>
        <w:tab w:val="left" w:pos="5475"/>
        <w:tab w:val="center" w:pos="6502"/>
      </w:tabs>
      <w:spacing w:after="0" w:line="240" w:lineRule="auto"/>
      <w:jc w:val="center"/>
      <w:rPr>
        <w:b/>
      </w:rPr>
    </w:pPr>
    <w:r>
      <w:rPr>
        <w:b/>
      </w:rPr>
      <w:t xml:space="preserve">II </w:t>
    </w:r>
    <w:r w:rsidR="00777F3E">
      <w:rPr>
        <w:b/>
      </w:rPr>
      <w:t>semestre</w:t>
    </w:r>
    <w:r>
      <w:rPr>
        <w:b/>
      </w:rPr>
      <w:t xml:space="preserve"> 20</w:t>
    </w:r>
    <w:r w:rsidR="00777F3E">
      <w:rPr>
        <w:b/>
      </w:rPr>
      <w:t>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4A78"/>
    <w:multiLevelType w:val="multilevel"/>
    <w:tmpl w:val="43D0F7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00CB9"/>
    <w:multiLevelType w:val="multilevel"/>
    <w:tmpl w:val="B416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F50A15"/>
    <w:multiLevelType w:val="hybridMultilevel"/>
    <w:tmpl w:val="F08E00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E501B5B"/>
    <w:multiLevelType w:val="multilevel"/>
    <w:tmpl w:val="47D8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5731AB"/>
    <w:multiLevelType w:val="multilevel"/>
    <w:tmpl w:val="392E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A770A3"/>
    <w:multiLevelType w:val="hybridMultilevel"/>
    <w:tmpl w:val="C38E981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15:restartNumberingAfterBreak="0">
    <w:nsid w:val="2FC95FCB"/>
    <w:multiLevelType w:val="multilevel"/>
    <w:tmpl w:val="5A88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8A767F"/>
    <w:multiLevelType w:val="hybridMultilevel"/>
    <w:tmpl w:val="93FC9E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745BC1"/>
    <w:multiLevelType w:val="multilevel"/>
    <w:tmpl w:val="9606CE7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5CF6049"/>
    <w:multiLevelType w:val="multilevel"/>
    <w:tmpl w:val="30B6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266068"/>
    <w:multiLevelType w:val="hybridMultilevel"/>
    <w:tmpl w:val="16422D4E"/>
    <w:lvl w:ilvl="0" w:tplc="140A0001">
      <w:start w:val="1"/>
      <w:numFmt w:val="bullet"/>
      <w:lvlText w:val=""/>
      <w:lvlJc w:val="left"/>
      <w:pPr>
        <w:ind w:left="644" w:hanging="360"/>
      </w:pPr>
      <w:rPr>
        <w:rFonts w:ascii="Symbol" w:hAnsi="Symbol"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11" w15:restartNumberingAfterBreak="0">
    <w:nsid w:val="4F4007C5"/>
    <w:multiLevelType w:val="hybridMultilevel"/>
    <w:tmpl w:val="D8782178"/>
    <w:lvl w:ilvl="0" w:tplc="F274F74C">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34A0808"/>
    <w:multiLevelType w:val="multilevel"/>
    <w:tmpl w:val="EC8C5F9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color w:val="auto"/>
        <w:sz w:val="24"/>
      </w:rPr>
    </w:lvl>
    <w:lvl w:ilvl="2">
      <w:start w:val="1"/>
      <w:numFmt w:val="decimal"/>
      <w:isLgl/>
      <w:lvlText w:val="%1.%2.%3"/>
      <w:lvlJc w:val="left"/>
      <w:pPr>
        <w:ind w:left="1080" w:hanging="720"/>
      </w:pPr>
      <w:rPr>
        <w:rFonts w:eastAsia="Times New Roman" w:hint="default"/>
        <w:b/>
        <w:color w:val="auto"/>
        <w:sz w:val="24"/>
      </w:rPr>
    </w:lvl>
    <w:lvl w:ilvl="3">
      <w:start w:val="1"/>
      <w:numFmt w:val="decimal"/>
      <w:isLgl/>
      <w:lvlText w:val="%1.%2.%3.%4"/>
      <w:lvlJc w:val="left"/>
      <w:pPr>
        <w:ind w:left="1080" w:hanging="720"/>
      </w:pPr>
      <w:rPr>
        <w:rFonts w:eastAsia="Times New Roman" w:hint="default"/>
        <w:b/>
        <w:color w:val="auto"/>
        <w:sz w:val="24"/>
      </w:rPr>
    </w:lvl>
    <w:lvl w:ilvl="4">
      <w:start w:val="1"/>
      <w:numFmt w:val="decimal"/>
      <w:isLgl/>
      <w:lvlText w:val="%1.%2.%3.%4.%5"/>
      <w:lvlJc w:val="left"/>
      <w:pPr>
        <w:ind w:left="1440" w:hanging="1080"/>
      </w:pPr>
      <w:rPr>
        <w:rFonts w:eastAsia="Times New Roman" w:hint="default"/>
        <w:b/>
        <w:color w:val="auto"/>
        <w:sz w:val="24"/>
      </w:rPr>
    </w:lvl>
    <w:lvl w:ilvl="5">
      <w:start w:val="1"/>
      <w:numFmt w:val="decimal"/>
      <w:isLgl/>
      <w:lvlText w:val="%1.%2.%3.%4.%5.%6"/>
      <w:lvlJc w:val="left"/>
      <w:pPr>
        <w:ind w:left="1440" w:hanging="1080"/>
      </w:pPr>
      <w:rPr>
        <w:rFonts w:eastAsia="Times New Roman" w:hint="default"/>
        <w:b/>
        <w:color w:val="auto"/>
        <w:sz w:val="24"/>
      </w:rPr>
    </w:lvl>
    <w:lvl w:ilvl="6">
      <w:start w:val="1"/>
      <w:numFmt w:val="decimal"/>
      <w:isLgl/>
      <w:lvlText w:val="%1.%2.%3.%4.%5.%6.%7"/>
      <w:lvlJc w:val="left"/>
      <w:pPr>
        <w:ind w:left="1800" w:hanging="1440"/>
      </w:pPr>
      <w:rPr>
        <w:rFonts w:eastAsia="Times New Roman" w:hint="default"/>
        <w:b/>
        <w:color w:val="auto"/>
        <w:sz w:val="24"/>
      </w:rPr>
    </w:lvl>
    <w:lvl w:ilvl="7">
      <w:start w:val="1"/>
      <w:numFmt w:val="decimal"/>
      <w:isLgl/>
      <w:lvlText w:val="%1.%2.%3.%4.%5.%6.%7.%8"/>
      <w:lvlJc w:val="left"/>
      <w:pPr>
        <w:ind w:left="1800" w:hanging="1440"/>
      </w:pPr>
      <w:rPr>
        <w:rFonts w:eastAsia="Times New Roman" w:hint="default"/>
        <w:b/>
        <w:color w:val="auto"/>
        <w:sz w:val="24"/>
      </w:rPr>
    </w:lvl>
    <w:lvl w:ilvl="8">
      <w:start w:val="1"/>
      <w:numFmt w:val="decimal"/>
      <w:isLgl/>
      <w:lvlText w:val="%1.%2.%3.%4.%5.%6.%7.%8.%9"/>
      <w:lvlJc w:val="left"/>
      <w:pPr>
        <w:ind w:left="2160" w:hanging="1800"/>
      </w:pPr>
      <w:rPr>
        <w:rFonts w:eastAsia="Times New Roman" w:hint="default"/>
        <w:b/>
        <w:color w:val="auto"/>
        <w:sz w:val="24"/>
      </w:rPr>
    </w:lvl>
  </w:abstractNum>
  <w:abstractNum w:abstractNumId="13" w15:restartNumberingAfterBreak="0">
    <w:nsid w:val="62C564A3"/>
    <w:multiLevelType w:val="hybridMultilevel"/>
    <w:tmpl w:val="B688F244"/>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4" w15:restartNumberingAfterBreak="0">
    <w:nsid w:val="67102BD9"/>
    <w:multiLevelType w:val="multilevel"/>
    <w:tmpl w:val="806AC0E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ascii="Arial" w:hAnsi="Arial" w:cs="Arial" w:hint="default"/>
        <w:b/>
        <w:sz w:val="24"/>
        <w:szCs w:val="24"/>
      </w:rPr>
    </w:lvl>
    <w:lvl w:ilvl="2">
      <w:start w:val="1"/>
      <w:numFmt w:val="decimal"/>
      <w:isLgl/>
      <w:lvlText w:val="%1.%2.%3"/>
      <w:lvlJc w:val="left"/>
      <w:pPr>
        <w:ind w:left="1080" w:hanging="720"/>
      </w:pPr>
      <w:rPr>
        <w:rFonts w:ascii="Times New Roman" w:hAnsi="Times New Roman" w:cs="Times New Roman" w:hint="default"/>
        <w:b w:val="0"/>
        <w:sz w:val="20"/>
      </w:rPr>
    </w:lvl>
    <w:lvl w:ilvl="3">
      <w:start w:val="1"/>
      <w:numFmt w:val="decimal"/>
      <w:isLgl/>
      <w:lvlText w:val="%1.%2.%3.%4"/>
      <w:lvlJc w:val="left"/>
      <w:pPr>
        <w:ind w:left="1080" w:hanging="720"/>
      </w:pPr>
      <w:rPr>
        <w:rFonts w:ascii="Times New Roman" w:hAnsi="Times New Roman" w:cs="Times New Roman" w:hint="default"/>
        <w:b w:val="0"/>
        <w:sz w:val="20"/>
      </w:rPr>
    </w:lvl>
    <w:lvl w:ilvl="4">
      <w:start w:val="1"/>
      <w:numFmt w:val="decimal"/>
      <w:isLgl/>
      <w:lvlText w:val="%1.%2.%3.%4.%5"/>
      <w:lvlJc w:val="left"/>
      <w:pPr>
        <w:ind w:left="1080" w:hanging="720"/>
      </w:pPr>
      <w:rPr>
        <w:rFonts w:ascii="Times New Roman" w:hAnsi="Times New Roman" w:cs="Times New Roman" w:hint="default"/>
        <w:b w:val="0"/>
        <w:sz w:val="20"/>
      </w:rPr>
    </w:lvl>
    <w:lvl w:ilvl="5">
      <w:start w:val="1"/>
      <w:numFmt w:val="decimal"/>
      <w:isLgl/>
      <w:lvlText w:val="%1.%2.%3.%4.%5.%6"/>
      <w:lvlJc w:val="left"/>
      <w:pPr>
        <w:ind w:left="1440" w:hanging="1080"/>
      </w:pPr>
      <w:rPr>
        <w:rFonts w:ascii="Times New Roman" w:hAnsi="Times New Roman" w:cs="Times New Roman" w:hint="default"/>
        <w:b w:val="0"/>
        <w:sz w:val="20"/>
      </w:rPr>
    </w:lvl>
    <w:lvl w:ilvl="6">
      <w:start w:val="1"/>
      <w:numFmt w:val="decimal"/>
      <w:isLgl/>
      <w:lvlText w:val="%1.%2.%3.%4.%5.%6.%7"/>
      <w:lvlJc w:val="left"/>
      <w:pPr>
        <w:ind w:left="1440" w:hanging="1080"/>
      </w:pPr>
      <w:rPr>
        <w:rFonts w:ascii="Times New Roman" w:hAnsi="Times New Roman" w:cs="Times New Roman" w:hint="default"/>
        <w:b w:val="0"/>
        <w:sz w:val="20"/>
      </w:rPr>
    </w:lvl>
    <w:lvl w:ilvl="7">
      <w:start w:val="1"/>
      <w:numFmt w:val="decimal"/>
      <w:isLgl/>
      <w:lvlText w:val="%1.%2.%3.%4.%5.%6.%7.%8"/>
      <w:lvlJc w:val="left"/>
      <w:pPr>
        <w:ind w:left="1800" w:hanging="1440"/>
      </w:pPr>
      <w:rPr>
        <w:rFonts w:ascii="Times New Roman" w:hAnsi="Times New Roman" w:cs="Times New Roman" w:hint="default"/>
        <w:b w:val="0"/>
        <w:sz w:val="20"/>
      </w:rPr>
    </w:lvl>
    <w:lvl w:ilvl="8">
      <w:start w:val="1"/>
      <w:numFmt w:val="decimal"/>
      <w:isLgl/>
      <w:lvlText w:val="%1.%2.%3.%4.%5.%6.%7.%8.%9"/>
      <w:lvlJc w:val="left"/>
      <w:pPr>
        <w:ind w:left="1800" w:hanging="1440"/>
      </w:pPr>
      <w:rPr>
        <w:rFonts w:ascii="Times New Roman" w:hAnsi="Times New Roman" w:cs="Times New Roman" w:hint="default"/>
        <w:b w:val="0"/>
        <w:sz w:val="20"/>
      </w:rPr>
    </w:lvl>
  </w:abstractNum>
  <w:abstractNum w:abstractNumId="15" w15:restartNumberingAfterBreak="0">
    <w:nsid w:val="697D226A"/>
    <w:multiLevelType w:val="multilevel"/>
    <w:tmpl w:val="015A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AB6D1A"/>
    <w:multiLevelType w:val="multilevel"/>
    <w:tmpl w:val="999ED69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Arial" w:hAnsi="Arial" w:hint="default"/>
        <w:b/>
        <w:bCs w:val="0"/>
        <w:color w:val="auto"/>
        <w:sz w:val="26"/>
      </w:rPr>
    </w:lvl>
    <w:lvl w:ilvl="2">
      <w:start w:val="1"/>
      <w:numFmt w:val="decimal"/>
      <w:isLgl/>
      <w:lvlText w:val="%1.%2.%3"/>
      <w:lvlJc w:val="left"/>
      <w:pPr>
        <w:ind w:left="1080" w:hanging="720"/>
      </w:pPr>
      <w:rPr>
        <w:rFonts w:ascii="Arial" w:hAnsi="Arial" w:hint="default"/>
        <w:b w:val="0"/>
        <w:color w:val="4F81BD" w:themeColor="accent1"/>
        <w:sz w:val="26"/>
      </w:rPr>
    </w:lvl>
    <w:lvl w:ilvl="3">
      <w:start w:val="1"/>
      <w:numFmt w:val="decimal"/>
      <w:isLgl/>
      <w:lvlText w:val="%1.%2.%3.%4"/>
      <w:lvlJc w:val="left"/>
      <w:pPr>
        <w:ind w:left="1440" w:hanging="1080"/>
      </w:pPr>
      <w:rPr>
        <w:rFonts w:ascii="Arial" w:hAnsi="Arial" w:hint="default"/>
        <w:b w:val="0"/>
        <w:color w:val="4F81BD" w:themeColor="accent1"/>
        <w:sz w:val="26"/>
      </w:rPr>
    </w:lvl>
    <w:lvl w:ilvl="4">
      <w:start w:val="1"/>
      <w:numFmt w:val="decimal"/>
      <w:isLgl/>
      <w:lvlText w:val="%1.%2.%3.%4.%5"/>
      <w:lvlJc w:val="left"/>
      <w:pPr>
        <w:ind w:left="1440" w:hanging="1080"/>
      </w:pPr>
      <w:rPr>
        <w:rFonts w:ascii="Arial" w:hAnsi="Arial" w:hint="default"/>
        <w:b w:val="0"/>
        <w:color w:val="4F81BD" w:themeColor="accent1"/>
        <w:sz w:val="26"/>
      </w:rPr>
    </w:lvl>
    <w:lvl w:ilvl="5">
      <w:start w:val="1"/>
      <w:numFmt w:val="decimal"/>
      <w:isLgl/>
      <w:lvlText w:val="%1.%2.%3.%4.%5.%6"/>
      <w:lvlJc w:val="left"/>
      <w:pPr>
        <w:ind w:left="1800" w:hanging="1440"/>
      </w:pPr>
      <w:rPr>
        <w:rFonts w:ascii="Arial" w:hAnsi="Arial" w:hint="default"/>
        <w:b w:val="0"/>
        <w:color w:val="4F81BD" w:themeColor="accent1"/>
        <w:sz w:val="26"/>
      </w:rPr>
    </w:lvl>
    <w:lvl w:ilvl="6">
      <w:start w:val="1"/>
      <w:numFmt w:val="decimal"/>
      <w:isLgl/>
      <w:lvlText w:val="%1.%2.%3.%4.%5.%6.%7"/>
      <w:lvlJc w:val="left"/>
      <w:pPr>
        <w:ind w:left="1800" w:hanging="1440"/>
      </w:pPr>
      <w:rPr>
        <w:rFonts w:ascii="Arial" w:hAnsi="Arial" w:hint="default"/>
        <w:b w:val="0"/>
        <w:color w:val="4F81BD" w:themeColor="accent1"/>
        <w:sz w:val="26"/>
      </w:rPr>
    </w:lvl>
    <w:lvl w:ilvl="7">
      <w:start w:val="1"/>
      <w:numFmt w:val="decimal"/>
      <w:isLgl/>
      <w:lvlText w:val="%1.%2.%3.%4.%5.%6.%7.%8"/>
      <w:lvlJc w:val="left"/>
      <w:pPr>
        <w:ind w:left="2160" w:hanging="1800"/>
      </w:pPr>
      <w:rPr>
        <w:rFonts w:ascii="Arial" w:hAnsi="Arial" w:hint="default"/>
        <w:b w:val="0"/>
        <w:color w:val="4F81BD" w:themeColor="accent1"/>
        <w:sz w:val="26"/>
      </w:rPr>
    </w:lvl>
    <w:lvl w:ilvl="8">
      <w:start w:val="1"/>
      <w:numFmt w:val="decimal"/>
      <w:isLgl/>
      <w:lvlText w:val="%1.%2.%3.%4.%5.%6.%7.%8.%9"/>
      <w:lvlJc w:val="left"/>
      <w:pPr>
        <w:ind w:left="2160" w:hanging="1800"/>
      </w:pPr>
      <w:rPr>
        <w:rFonts w:ascii="Arial" w:hAnsi="Arial" w:hint="default"/>
        <w:b w:val="0"/>
        <w:color w:val="4F81BD" w:themeColor="accent1"/>
        <w:sz w:val="26"/>
      </w:rPr>
    </w:lvl>
  </w:abstractNum>
  <w:num w:numId="1">
    <w:abstractNumId w:val="13"/>
  </w:num>
  <w:num w:numId="2">
    <w:abstractNumId w:val="10"/>
  </w:num>
  <w:num w:numId="3">
    <w:abstractNumId w:val="7"/>
  </w:num>
  <w:num w:numId="4">
    <w:abstractNumId w:val="12"/>
  </w:num>
  <w:num w:numId="5">
    <w:abstractNumId w:val="16"/>
  </w:num>
  <w:num w:numId="6">
    <w:abstractNumId w:val="4"/>
  </w:num>
  <w:num w:numId="7">
    <w:abstractNumId w:val="1"/>
  </w:num>
  <w:num w:numId="8">
    <w:abstractNumId w:val="6"/>
  </w:num>
  <w:num w:numId="9">
    <w:abstractNumId w:val="15"/>
  </w:num>
  <w:num w:numId="10">
    <w:abstractNumId w:val="3"/>
  </w:num>
  <w:num w:numId="11">
    <w:abstractNumId w:val="9"/>
  </w:num>
  <w:num w:numId="12">
    <w:abstractNumId w:val="0"/>
  </w:num>
  <w:num w:numId="13">
    <w:abstractNumId w:val="5"/>
  </w:num>
  <w:num w:numId="14">
    <w:abstractNumId w:val="14"/>
  </w:num>
  <w:num w:numId="15">
    <w:abstractNumId w:val="8"/>
  </w:num>
  <w:num w:numId="16">
    <w:abstractNumId w:val="2"/>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0E"/>
    <w:rsid w:val="000029CD"/>
    <w:rsid w:val="00002A2C"/>
    <w:rsid w:val="0000320A"/>
    <w:rsid w:val="00007642"/>
    <w:rsid w:val="00012914"/>
    <w:rsid w:val="0001309A"/>
    <w:rsid w:val="0001715A"/>
    <w:rsid w:val="00017D28"/>
    <w:rsid w:val="00021A08"/>
    <w:rsid w:val="00025DED"/>
    <w:rsid w:val="00027772"/>
    <w:rsid w:val="000302D4"/>
    <w:rsid w:val="00030369"/>
    <w:rsid w:val="00030659"/>
    <w:rsid w:val="000308F6"/>
    <w:rsid w:val="00031BD5"/>
    <w:rsid w:val="00035764"/>
    <w:rsid w:val="00042FAE"/>
    <w:rsid w:val="0004448C"/>
    <w:rsid w:val="00044A56"/>
    <w:rsid w:val="00054B29"/>
    <w:rsid w:val="000566F6"/>
    <w:rsid w:val="0006122B"/>
    <w:rsid w:val="00061AE2"/>
    <w:rsid w:val="00061E01"/>
    <w:rsid w:val="00063BBC"/>
    <w:rsid w:val="00064594"/>
    <w:rsid w:val="00066840"/>
    <w:rsid w:val="0007169C"/>
    <w:rsid w:val="0007369B"/>
    <w:rsid w:val="00075E19"/>
    <w:rsid w:val="00081027"/>
    <w:rsid w:val="00085778"/>
    <w:rsid w:val="000857F8"/>
    <w:rsid w:val="000933D8"/>
    <w:rsid w:val="00094AB6"/>
    <w:rsid w:val="00097BCC"/>
    <w:rsid w:val="000A0741"/>
    <w:rsid w:val="000A2677"/>
    <w:rsid w:val="000A3486"/>
    <w:rsid w:val="000A488C"/>
    <w:rsid w:val="000B1B60"/>
    <w:rsid w:val="000B2E2E"/>
    <w:rsid w:val="000C0098"/>
    <w:rsid w:val="000C0C1E"/>
    <w:rsid w:val="000C1318"/>
    <w:rsid w:val="000C38FC"/>
    <w:rsid w:val="000C462A"/>
    <w:rsid w:val="000C5578"/>
    <w:rsid w:val="000C6F53"/>
    <w:rsid w:val="000D0EF3"/>
    <w:rsid w:val="000D2FF3"/>
    <w:rsid w:val="000D3057"/>
    <w:rsid w:val="000E3465"/>
    <w:rsid w:val="000E49D3"/>
    <w:rsid w:val="000E699E"/>
    <w:rsid w:val="000F1BCC"/>
    <w:rsid w:val="000F5737"/>
    <w:rsid w:val="00101172"/>
    <w:rsid w:val="001065EE"/>
    <w:rsid w:val="00107D18"/>
    <w:rsid w:val="0011204E"/>
    <w:rsid w:val="0011556E"/>
    <w:rsid w:val="00121871"/>
    <w:rsid w:val="001228F3"/>
    <w:rsid w:val="0012787F"/>
    <w:rsid w:val="00130755"/>
    <w:rsid w:val="001367B8"/>
    <w:rsid w:val="00136CA5"/>
    <w:rsid w:val="00137C4D"/>
    <w:rsid w:val="00140A24"/>
    <w:rsid w:val="0014127C"/>
    <w:rsid w:val="00141553"/>
    <w:rsid w:val="00145D2F"/>
    <w:rsid w:val="00150A7B"/>
    <w:rsid w:val="001533E7"/>
    <w:rsid w:val="0015615E"/>
    <w:rsid w:val="001601FB"/>
    <w:rsid w:val="00160C2D"/>
    <w:rsid w:val="001615C5"/>
    <w:rsid w:val="00172262"/>
    <w:rsid w:val="001742AA"/>
    <w:rsid w:val="001763A0"/>
    <w:rsid w:val="001767F9"/>
    <w:rsid w:val="0018076C"/>
    <w:rsid w:val="00181EC4"/>
    <w:rsid w:val="00183231"/>
    <w:rsid w:val="00183686"/>
    <w:rsid w:val="00184A02"/>
    <w:rsid w:val="0018737C"/>
    <w:rsid w:val="00195C0C"/>
    <w:rsid w:val="001A2766"/>
    <w:rsid w:val="001A42C9"/>
    <w:rsid w:val="001A4892"/>
    <w:rsid w:val="001A59F2"/>
    <w:rsid w:val="001B281E"/>
    <w:rsid w:val="001B3F30"/>
    <w:rsid w:val="001B429C"/>
    <w:rsid w:val="001B61A5"/>
    <w:rsid w:val="001C4A74"/>
    <w:rsid w:val="001C50D7"/>
    <w:rsid w:val="001D2DC6"/>
    <w:rsid w:val="001D3A26"/>
    <w:rsid w:val="001E05C7"/>
    <w:rsid w:val="001E1B19"/>
    <w:rsid w:val="001E723D"/>
    <w:rsid w:val="001E78A3"/>
    <w:rsid w:val="001F1AFF"/>
    <w:rsid w:val="001F3D5D"/>
    <w:rsid w:val="001F4366"/>
    <w:rsid w:val="001F4B0E"/>
    <w:rsid w:val="001F6CC9"/>
    <w:rsid w:val="001F7268"/>
    <w:rsid w:val="001F7565"/>
    <w:rsid w:val="0020039E"/>
    <w:rsid w:val="002040B3"/>
    <w:rsid w:val="00210EEC"/>
    <w:rsid w:val="002111D4"/>
    <w:rsid w:val="00214AB2"/>
    <w:rsid w:val="0021748B"/>
    <w:rsid w:val="002202C8"/>
    <w:rsid w:val="00222B82"/>
    <w:rsid w:val="00223158"/>
    <w:rsid w:val="00225E52"/>
    <w:rsid w:val="00227A80"/>
    <w:rsid w:val="00227D14"/>
    <w:rsid w:val="002300A3"/>
    <w:rsid w:val="00233668"/>
    <w:rsid w:val="0024323E"/>
    <w:rsid w:val="00244FBC"/>
    <w:rsid w:val="0025050E"/>
    <w:rsid w:val="0025303E"/>
    <w:rsid w:val="00253C48"/>
    <w:rsid w:val="00256565"/>
    <w:rsid w:val="0025766E"/>
    <w:rsid w:val="00260667"/>
    <w:rsid w:val="0026200E"/>
    <w:rsid w:val="00270D43"/>
    <w:rsid w:val="0027251D"/>
    <w:rsid w:val="00273A98"/>
    <w:rsid w:val="00277C90"/>
    <w:rsid w:val="002810D0"/>
    <w:rsid w:val="002822BE"/>
    <w:rsid w:val="00282404"/>
    <w:rsid w:val="002832F9"/>
    <w:rsid w:val="00284DDF"/>
    <w:rsid w:val="00285C34"/>
    <w:rsid w:val="00286559"/>
    <w:rsid w:val="00287059"/>
    <w:rsid w:val="002875DF"/>
    <w:rsid w:val="00290866"/>
    <w:rsid w:val="00294888"/>
    <w:rsid w:val="002A3A69"/>
    <w:rsid w:val="002A5BE5"/>
    <w:rsid w:val="002B18E7"/>
    <w:rsid w:val="002B2A1B"/>
    <w:rsid w:val="002B376D"/>
    <w:rsid w:val="002C28B9"/>
    <w:rsid w:val="002C4636"/>
    <w:rsid w:val="002C674C"/>
    <w:rsid w:val="002C7BC6"/>
    <w:rsid w:val="002D0468"/>
    <w:rsid w:val="002D5868"/>
    <w:rsid w:val="002E0337"/>
    <w:rsid w:val="002E47D3"/>
    <w:rsid w:val="002F2F16"/>
    <w:rsid w:val="00302D4D"/>
    <w:rsid w:val="0030450A"/>
    <w:rsid w:val="00305248"/>
    <w:rsid w:val="003068B7"/>
    <w:rsid w:val="00310BAD"/>
    <w:rsid w:val="00311E92"/>
    <w:rsid w:val="00311F78"/>
    <w:rsid w:val="00313680"/>
    <w:rsid w:val="00315DAD"/>
    <w:rsid w:val="003167BF"/>
    <w:rsid w:val="00320B1E"/>
    <w:rsid w:val="0032175C"/>
    <w:rsid w:val="00321A1B"/>
    <w:rsid w:val="00325AFC"/>
    <w:rsid w:val="00332C09"/>
    <w:rsid w:val="00332DA4"/>
    <w:rsid w:val="00333183"/>
    <w:rsid w:val="00334995"/>
    <w:rsid w:val="00341A14"/>
    <w:rsid w:val="00342F93"/>
    <w:rsid w:val="00344F9A"/>
    <w:rsid w:val="00346959"/>
    <w:rsid w:val="00350EC9"/>
    <w:rsid w:val="00355C90"/>
    <w:rsid w:val="0035704F"/>
    <w:rsid w:val="00357743"/>
    <w:rsid w:val="00360053"/>
    <w:rsid w:val="003608BC"/>
    <w:rsid w:val="00360CE3"/>
    <w:rsid w:val="003629F6"/>
    <w:rsid w:val="00362C4C"/>
    <w:rsid w:val="00362E86"/>
    <w:rsid w:val="00363EE1"/>
    <w:rsid w:val="00380DA2"/>
    <w:rsid w:val="00381518"/>
    <w:rsid w:val="0038223A"/>
    <w:rsid w:val="003868AE"/>
    <w:rsid w:val="00392281"/>
    <w:rsid w:val="00393404"/>
    <w:rsid w:val="00393C69"/>
    <w:rsid w:val="00394B27"/>
    <w:rsid w:val="003959EF"/>
    <w:rsid w:val="003A24BA"/>
    <w:rsid w:val="003B0B7F"/>
    <w:rsid w:val="003B622B"/>
    <w:rsid w:val="003B6950"/>
    <w:rsid w:val="003C02B2"/>
    <w:rsid w:val="003C1027"/>
    <w:rsid w:val="003C2209"/>
    <w:rsid w:val="003C514E"/>
    <w:rsid w:val="003C5C59"/>
    <w:rsid w:val="003C7997"/>
    <w:rsid w:val="003D2B60"/>
    <w:rsid w:val="003D46EA"/>
    <w:rsid w:val="003D564F"/>
    <w:rsid w:val="003D5969"/>
    <w:rsid w:val="003D695D"/>
    <w:rsid w:val="003D76ED"/>
    <w:rsid w:val="003E0B7E"/>
    <w:rsid w:val="003E200A"/>
    <w:rsid w:val="003E2EF0"/>
    <w:rsid w:val="003E41DD"/>
    <w:rsid w:val="003E5371"/>
    <w:rsid w:val="003E6FE2"/>
    <w:rsid w:val="003E73B2"/>
    <w:rsid w:val="003E799E"/>
    <w:rsid w:val="003F252F"/>
    <w:rsid w:val="003F428F"/>
    <w:rsid w:val="003F75A8"/>
    <w:rsid w:val="00402BA9"/>
    <w:rsid w:val="004035EB"/>
    <w:rsid w:val="004036B4"/>
    <w:rsid w:val="00405C2C"/>
    <w:rsid w:val="00412EB7"/>
    <w:rsid w:val="00413550"/>
    <w:rsid w:val="004201A3"/>
    <w:rsid w:val="00421145"/>
    <w:rsid w:val="00425473"/>
    <w:rsid w:val="00427F16"/>
    <w:rsid w:val="0043471C"/>
    <w:rsid w:val="004354A9"/>
    <w:rsid w:val="004367AF"/>
    <w:rsid w:val="00444BC3"/>
    <w:rsid w:val="004479CC"/>
    <w:rsid w:val="00447D5F"/>
    <w:rsid w:val="00452C1C"/>
    <w:rsid w:val="0045517A"/>
    <w:rsid w:val="004554B1"/>
    <w:rsid w:val="00460C87"/>
    <w:rsid w:val="004620F8"/>
    <w:rsid w:val="0046576C"/>
    <w:rsid w:val="0047037D"/>
    <w:rsid w:val="00471793"/>
    <w:rsid w:val="00476DEB"/>
    <w:rsid w:val="00481228"/>
    <w:rsid w:val="004855CB"/>
    <w:rsid w:val="0049129E"/>
    <w:rsid w:val="00491343"/>
    <w:rsid w:val="00495CEF"/>
    <w:rsid w:val="004A14D9"/>
    <w:rsid w:val="004A38CB"/>
    <w:rsid w:val="004A3B64"/>
    <w:rsid w:val="004A7C68"/>
    <w:rsid w:val="004B157E"/>
    <w:rsid w:val="004B62C3"/>
    <w:rsid w:val="004B7236"/>
    <w:rsid w:val="004C029C"/>
    <w:rsid w:val="004C0F2B"/>
    <w:rsid w:val="004C103F"/>
    <w:rsid w:val="004C3778"/>
    <w:rsid w:val="004C44B5"/>
    <w:rsid w:val="004C4F28"/>
    <w:rsid w:val="004C7652"/>
    <w:rsid w:val="004D1412"/>
    <w:rsid w:val="004D1649"/>
    <w:rsid w:val="004D1F03"/>
    <w:rsid w:val="004D3ED3"/>
    <w:rsid w:val="004D3F18"/>
    <w:rsid w:val="004D4971"/>
    <w:rsid w:val="004D5281"/>
    <w:rsid w:val="004D662E"/>
    <w:rsid w:val="004D6CB4"/>
    <w:rsid w:val="004E6AF0"/>
    <w:rsid w:val="004F0C9C"/>
    <w:rsid w:val="004F2220"/>
    <w:rsid w:val="004F5C6C"/>
    <w:rsid w:val="004F5CE4"/>
    <w:rsid w:val="005034C8"/>
    <w:rsid w:val="0051131E"/>
    <w:rsid w:val="00511947"/>
    <w:rsid w:val="00514F4E"/>
    <w:rsid w:val="00515166"/>
    <w:rsid w:val="00515CE6"/>
    <w:rsid w:val="005170A2"/>
    <w:rsid w:val="005231F9"/>
    <w:rsid w:val="005252D1"/>
    <w:rsid w:val="00533912"/>
    <w:rsid w:val="00540214"/>
    <w:rsid w:val="00541140"/>
    <w:rsid w:val="00541B3E"/>
    <w:rsid w:val="00541E9D"/>
    <w:rsid w:val="00544C4E"/>
    <w:rsid w:val="00544D70"/>
    <w:rsid w:val="00551347"/>
    <w:rsid w:val="00551903"/>
    <w:rsid w:val="00551D21"/>
    <w:rsid w:val="00552436"/>
    <w:rsid w:val="0055348A"/>
    <w:rsid w:val="00553739"/>
    <w:rsid w:val="005560FF"/>
    <w:rsid w:val="00561BA3"/>
    <w:rsid w:val="005641E3"/>
    <w:rsid w:val="0056604F"/>
    <w:rsid w:val="00567264"/>
    <w:rsid w:val="00570522"/>
    <w:rsid w:val="0057080A"/>
    <w:rsid w:val="00584A00"/>
    <w:rsid w:val="00590804"/>
    <w:rsid w:val="00591893"/>
    <w:rsid w:val="005A5F8E"/>
    <w:rsid w:val="005A65F9"/>
    <w:rsid w:val="005A6615"/>
    <w:rsid w:val="005B0418"/>
    <w:rsid w:val="005B21EE"/>
    <w:rsid w:val="005B42ED"/>
    <w:rsid w:val="005B5578"/>
    <w:rsid w:val="005B55F2"/>
    <w:rsid w:val="005B679E"/>
    <w:rsid w:val="005B7D78"/>
    <w:rsid w:val="005C1875"/>
    <w:rsid w:val="005C60DD"/>
    <w:rsid w:val="005D2353"/>
    <w:rsid w:val="005D30FC"/>
    <w:rsid w:val="005E1013"/>
    <w:rsid w:val="005E194C"/>
    <w:rsid w:val="005E323E"/>
    <w:rsid w:val="005E68DE"/>
    <w:rsid w:val="005E725A"/>
    <w:rsid w:val="005E752A"/>
    <w:rsid w:val="005F0058"/>
    <w:rsid w:val="005F0B07"/>
    <w:rsid w:val="005F21E7"/>
    <w:rsid w:val="005F330A"/>
    <w:rsid w:val="005F7F67"/>
    <w:rsid w:val="0060079A"/>
    <w:rsid w:val="00607655"/>
    <w:rsid w:val="00611691"/>
    <w:rsid w:val="006128D5"/>
    <w:rsid w:val="006128E1"/>
    <w:rsid w:val="006154ED"/>
    <w:rsid w:val="00617FFD"/>
    <w:rsid w:val="006206EC"/>
    <w:rsid w:val="00625811"/>
    <w:rsid w:val="00627994"/>
    <w:rsid w:val="0063117F"/>
    <w:rsid w:val="006314C0"/>
    <w:rsid w:val="0064010E"/>
    <w:rsid w:val="00640C69"/>
    <w:rsid w:val="00641A70"/>
    <w:rsid w:val="00643FED"/>
    <w:rsid w:val="006446BA"/>
    <w:rsid w:val="00645884"/>
    <w:rsid w:val="00650A08"/>
    <w:rsid w:val="00652FC6"/>
    <w:rsid w:val="00654632"/>
    <w:rsid w:val="00654B9A"/>
    <w:rsid w:val="00663D58"/>
    <w:rsid w:val="00666B67"/>
    <w:rsid w:val="00673974"/>
    <w:rsid w:val="0067487D"/>
    <w:rsid w:val="00681339"/>
    <w:rsid w:val="00684B7A"/>
    <w:rsid w:val="006874B4"/>
    <w:rsid w:val="006909E1"/>
    <w:rsid w:val="00691603"/>
    <w:rsid w:val="0069687B"/>
    <w:rsid w:val="006969A8"/>
    <w:rsid w:val="006A01EF"/>
    <w:rsid w:val="006A0BAB"/>
    <w:rsid w:val="006A0BDE"/>
    <w:rsid w:val="006A322F"/>
    <w:rsid w:val="006A4CC4"/>
    <w:rsid w:val="006A5EBE"/>
    <w:rsid w:val="006A7ABB"/>
    <w:rsid w:val="006B0C82"/>
    <w:rsid w:val="006B4105"/>
    <w:rsid w:val="006B4220"/>
    <w:rsid w:val="006B47C2"/>
    <w:rsid w:val="006B52D7"/>
    <w:rsid w:val="006B5F0F"/>
    <w:rsid w:val="006B72B9"/>
    <w:rsid w:val="006B7426"/>
    <w:rsid w:val="006C357C"/>
    <w:rsid w:val="006C3E66"/>
    <w:rsid w:val="006C4EE7"/>
    <w:rsid w:val="006C58D7"/>
    <w:rsid w:val="006C602B"/>
    <w:rsid w:val="006C6546"/>
    <w:rsid w:val="006D39B4"/>
    <w:rsid w:val="006D4555"/>
    <w:rsid w:val="006D6BA5"/>
    <w:rsid w:val="006D7DEB"/>
    <w:rsid w:val="006E1C75"/>
    <w:rsid w:val="006E1EC0"/>
    <w:rsid w:val="006F02FC"/>
    <w:rsid w:val="006F6123"/>
    <w:rsid w:val="006F7A0E"/>
    <w:rsid w:val="00702603"/>
    <w:rsid w:val="00715E62"/>
    <w:rsid w:val="00717E9F"/>
    <w:rsid w:val="007220A2"/>
    <w:rsid w:val="00725EA8"/>
    <w:rsid w:val="0073460F"/>
    <w:rsid w:val="00735757"/>
    <w:rsid w:val="00735CF8"/>
    <w:rsid w:val="0073704A"/>
    <w:rsid w:val="007377B3"/>
    <w:rsid w:val="00743630"/>
    <w:rsid w:val="007453C8"/>
    <w:rsid w:val="00745D8A"/>
    <w:rsid w:val="00750051"/>
    <w:rsid w:val="007530C5"/>
    <w:rsid w:val="00755599"/>
    <w:rsid w:val="00763A29"/>
    <w:rsid w:val="0077086E"/>
    <w:rsid w:val="007730A7"/>
    <w:rsid w:val="007747E6"/>
    <w:rsid w:val="007756AC"/>
    <w:rsid w:val="007758AF"/>
    <w:rsid w:val="00776626"/>
    <w:rsid w:val="00777F3E"/>
    <w:rsid w:val="00780FD0"/>
    <w:rsid w:val="007826B3"/>
    <w:rsid w:val="00783198"/>
    <w:rsid w:val="0079381F"/>
    <w:rsid w:val="007962AF"/>
    <w:rsid w:val="007A108F"/>
    <w:rsid w:val="007A1105"/>
    <w:rsid w:val="007B1133"/>
    <w:rsid w:val="007B43BE"/>
    <w:rsid w:val="007C024A"/>
    <w:rsid w:val="007C3DAF"/>
    <w:rsid w:val="007C7F1E"/>
    <w:rsid w:val="007D0DE2"/>
    <w:rsid w:val="007D1BD4"/>
    <w:rsid w:val="007D20AF"/>
    <w:rsid w:val="007D4319"/>
    <w:rsid w:val="007D5AC6"/>
    <w:rsid w:val="007D69D5"/>
    <w:rsid w:val="007D6B7E"/>
    <w:rsid w:val="007D7007"/>
    <w:rsid w:val="007E0A06"/>
    <w:rsid w:val="007E14B2"/>
    <w:rsid w:val="007E53AD"/>
    <w:rsid w:val="007E5740"/>
    <w:rsid w:val="007E5A8D"/>
    <w:rsid w:val="007F0117"/>
    <w:rsid w:val="007F0C7F"/>
    <w:rsid w:val="007F4BCE"/>
    <w:rsid w:val="007F5E09"/>
    <w:rsid w:val="00801D9B"/>
    <w:rsid w:val="008026B1"/>
    <w:rsid w:val="0080296D"/>
    <w:rsid w:val="00803A99"/>
    <w:rsid w:val="008056E3"/>
    <w:rsid w:val="00813FBB"/>
    <w:rsid w:val="00814A9C"/>
    <w:rsid w:val="008155F4"/>
    <w:rsid w:val="00816344"/>
    <w:rsid w:val="008214DA"/>
    <w:rsid w:val="00822926"/>
    <w:rsid w:val="00823197"/>
    <w:rsid w:val="00823EE1"/>
    <w:rsid w:val="008273E1"/>
    <w:rsid w:val="00836208"/>
    <w:rsid w:val="00837B22"/>
    <w:rsid w:val="00841865"/>
    <w:rsid w:val="0084432C"/>
    <w:rsid w:val="00844CC5"/>
    <w:rsid w:val="00846C93"/>
    <w:rsid w:val="0085269A"/>
    <w:rsid w:val="00855AFB"/>
    <w:rsid w:val="00860581"/>
    <w:rsid w:val="00871562"/>
    <w:rsid w:val="0087281B"/>
    <w:rsid w:val="008740C8"/>
    <w:rsid w:val="008742D9"/>
    <w:rsid w:val="00874DCA"/>
    <w:rsid w:val="00875FBB"/>
    <w:rsid w:val="00880027"/>
    <w:rsid w:val="00881CE9"/>
    <w:rsid w:val="00887C15"/>
    <w:rsid w:val="0089413E"/>
    <w:rsid w:val="00897B14"/>
    <w:rsid w:val="008A4D52"/>
    <w:rsid w:val="008A519F"/>
    <w:rsid w:val="008A6763"/>
    <w:rsid w:val="008A7193"/>
    <w:rsid w:val="008B1FAC"/>
    <w:rsid w:val="008B528C"/>
    <w:rsid w:val="008B6686"/>
    <w:rsid w:val="008B7F4F"/>
    <w:rsid w:val="008C0BAA"/>
    <w:rsid w:val="008D5A55"/>
    <w:rsid w:val="008D6883"/>
    <w:rsid w:val="008D69CB"/>
    <w:rsid w:val="008E0B36"/>
    <w:rsid w:val="008E1E89"/>
    <w:rsid w:val="008E434E"/>
    <w:rsid w:val="008E74D5"/>
    <w:rsid w:val="008F165F"/>
    <w:rsid w:val="008F52D2"/>
    <w:rsid w:val="009012E7"/>
    <w:rsid w:val="009031CC"/>
    <w:rsid w:val="009065CE"/>
    <w:rsid w:val="00907CF4"/>
    <w:rsid w:val="0091125C"/>
    <w:rsid w:val="0091220E"/>
    <w:rsid w:val="009125F0"/>
    <w:rsid w:val="00912691"/>
    <w:rsid w:val="009134E7"/>
    <w:rsid w:val="009151D2"/>
    <w:rsid w:val="009165B3"/>
    <w:rsid w:val="00916645"/>
    <w:rsid w:val="009206DF"/>
    <w:rsid w:val="009220C4"/>
    <w:rsid w:val="0092452F"/>
    <w:rsid w:val="009258C6"/>
    <w:rsid w:val="00932E5B"/>
    <w:rsid w:val="00936843"/>
    <w:rsid w:val="009368FC"/>
    <w:rsid w:val="009375F1"/>
    <w:rsid w:val="0093766A"/>
    <w:rsid w:val="00942F6D"/>
    <w:rsid w:val="0094461B"/>
    <w:rsid w:val="00945C05"/>
    <w:rsid w:val="00947FA7"/>
    <w:rsid w:val="0095129D"/>
    <w:rsid w:val="00955838"/>
    <w:rsid w:val="009605E7"/>
    <w:rsid w:val="00961655"/>
    <w:rsid w:val="00961657"/>
    <w:rsid w:val="00963287"/>
    <w:rsid w:val="009632ED"/>
    <w:rsid w:val="00964D1E"/>
    <w:rsid w:val="009701F5"/>
    <w:rsid w:val="00970C87"/>
    <w:rsid w:val="00974250"/>
    <w:rsid w:val="00974523"/>
    <w:rsid w:val="0097689E"/>
    <w:rsid w:val="0098241E"/>
    <w:rsid w:val="009835F6"/>
    <w:rsid w:val="0098369A"/>
    <w:rsid w:val="00983E50"/>
    <w:rsid w:val="00986180"/>
    <w:rsid w:val="0098670D"/>
    <w:rsid w:val="0098707D"/>
    <w:rsid w:val="00987450"/>
    <w:rsid w:val="009874F8"/>
    <w:rsid w:val="0099027F"/>
    <w:rsid w:val="0099429C"/>
    <w:rsid w:val="009945B7"/>
    <w:rsid w:val="0099525D"/>
    <w:rsid w:val="009A05EA"/>
    <w:rsid w:val="009A186A"/>
    <w:rsid w:val="009A30C1"/>
    <w:rsid w:val="009A45E5"/>
    <w:rsid w:val="009A6420"/>
    <w:rsid w:val="009B0F2D"/>
    <w:rsid w:val="009B1B7E"/>
    <w:rsid w:val="009B54A8"/>
    <w:rsid w:val="009B7A26"/>
    <w:rsid w:val="009B7EFE"/>
    <w:rsid w:val="009C0B24"/>
    <w:rsid w:val="009C17E6"/>
    <w:rsid w:val="009C34E8"/>
    <w:rsid w:val="009C3D32"/>
    <w:rsid w:val="009C7639"/>
    <w:rsid w:val="009C7A5B"/>
    <w:rsid w:val="009D0206"/>
    <w:rsid w:val="009D21EB"/>
    <w:rsid w:val="009D3FDA"/>
    <w:rsid w:val="009D553D"/>
    <w:rsid w:val="009D6A98"/>
    <w:rsid w:val="009E006B"/>
    <w:rsid w:val="009E031A"/>
    <w:rsid w:val="009E4BB4"/>
    <w:rsid w:val="009F20CD"/>
    <w:rsid w:val="009F232A"/>
    <w:rsid w:val="009F5993"/>
    <w:rsid w:val="009F5C41"/>
    <w:rsid w:val="00A03D8F"/>
    <w:rsid w:val="00A0498E"/>
    <w:rsid w:val="00A0610F"/>
    <w:rsid w:val="00A077BD"/>
    <w:rsid w:val="00A11A1D"/>
    <w:rsid w:val="00A12CC7"/>
    <w:rsid w:val="00A12E44"/>
    <w:rsid w:val="00A13319"/>
    <w:rsid w:val="00A13B8D"/>
    <w:rsid w:val="00A14EDB"/>
    <w:rsid w:val="00A15756"/>
    <w:rsid w:val="00A17110"/>
    <w:rsid w:val="00A21649"/>
    <w:rsid w:val="00A269F9"/>
    <w:rsid w:val="00A306F5"/>
    <w:rsid w:val="00A30B84"/>
    <w:rsid w:val="00A315C6"/>
    <w:rsid w:val="00A31DCA"/>
    <w:rsid w:val="00A325EF"/>
    <w:rsid w:val="00A357C5"/>
    <w:rsid w:val="00A37F86"/>
    <w:rsid w:val="00A40C47"/>
    <w:rsid w:val="00A4593C"/>
    <w:rsid w:val="00A51206"/>
    <w:rsid w:val="00A524AA"/>
    <w:rsid w:val="00A6087F"/>
    <w:rsid w:val="00A60E7C"/>
    <w:rsid w:val="00A610F0"/>
    <w:rsid w:val="00A62A68"/>
    <w:rsid w:val="00A63DA7"/>
    <w:rsid w:val="00A66B85"/>
    <w:rsid w:val="00A73775"/>
    <w:rsid w:val="00A73E51"/>
    <w:rsid w:val="00A761F0"/>
    <w:rsid w:val="00A7630D"/>
    <w:rsid w:val="00A77139"/>
    <w:rsid w:val="00A811C3"/>
    <w:rsid w:val="00A83CC2"/>
    <w:rsid w:val="00A90F69"/>
    <w:rsid w:val="00A9757C"/>
    <w:rsid w:val="00AA37E3"/>
    <w:rsid w:val="00AA5698"/>
    <w:rsid w:val="00AA6F60"/>
    <w:rsid w:val="00AA7814"/>
    <w:rsid w:val="00AB0910"/>
    <w:rsid w:val="00AB507F"/>
    <w:rsid w:val="00AB58C1"/>
    <w:rsid w:val="00AC01F3"/>
    <w:rsid w:val="00AC2578"/>
    <w:rsid w:val="00AC5CDB"/>
    <w:rsid w:val="00AC7350"/>
    <w:rsid w:val="00AD07DA"/>
    <w:rsid w:val="00AD21CB"/>
    <w:rsid w:val="00AE20A0"/>
    <w:rsid w:val="00AE3435"/>
    <w:rsid w:val="00AE5237"/>
    <w:rsid w:val="00AE6851"/>
    <w:rsid w:val="00AF0489"/>
    <w:rsid w:val="00AF075C"/>
    <w:rsid w:val="00AF08C6"/>
    <w:rsid w:val="00AF1526"/>
    <w:rsid w:val="00AF2114"/>
    <w:rsid w:val="00AF2401"/>
    <w:rsid w:val="00AF4C77"/>
    <w:rsid w:val="00B01CBB"/>
    <w:rsid w:val="00B02A39"/>
    <w:rsid w:val="00B0352E"/>
    <w:rsid w:val="00B04828"/>
    <w:rsid w:val="00B04CB2"/>
    <w:rsid w:val="00B06260"/>
    <w:rsid w:val="00B069A1"/>
    <w:rsid w:val="00B069BF"/>
    <w:rsid w:val="00B10C31"/>
    <w:rsid w:val="00B117B1"/>
    <w:rsid w:val="00B13A82"/>
    <w:rsid w:val="00B23BB1"/>
    <w:rsid w:val="00B23FCF"/>
    <w:rsid w:val="00B31C8B"/>
    <w:rsid w:val="00B32336"/>
    <w:rsid w:val="00B42EE8"/>
    <w:rsid w:val="00B45A57"/>
    <w:rsid w:val="00B511AA"/>
    <w:rsid w:val="00B551AE"/>
    <w:rsid w:val="00B56F38"/>
    <w:rsid w:val="00B62E77"/>
    <w:rsid w:val="00B7041F"/>
    <w:rsid w:val="00B714CD"/>
    <w:rsid w:val="00B72495"/>
    <w:rsid w:val="00B7526B"/>
    <w:rsid w:val="00B77BF4"/>
    <w:rsid w:val="00B805C8"/>
    <w:rsid w:val="00B808F3"/>
    <w:rsid w:val="00B85583"/>
    <w:rsid w:val="00B855F5"/>
    <w:rsid w:val="00B86FE8"/>
    <w:rsid w:val="00B905CD"/>
    <w:rsid w:val="00B966DF"/>
    <w:rsid w:val="00B97CAE"/>
    <w:rsid w:val="00BA0AC9"/>
    <w:rsid w:val="00BA0BDA"/>
    <w:rsid w:val="00BA188B"/>
    <w:rsid w:val="00BA19AC"/>
    <w:rsid w:val="00BA55B1"/>
    <w:rsid w:val="00BA7E9C"/>
    <w:rsid w:val="00BB12A9"/>
    <w:rsid w:val="00BB2E48"/>
    <w:rsid w:val="00BB33C6"/>
    <w:rsid w:val="00BB49EF"/>
    <w:rsid w:val="00BB4DF5"/>
    <w:rsid w:val="00BB7547"/>
    <w:rsid w:val="00BC08F9"/>
    <w:rsid w:val="00BC387D"/>
    <w:rsid w:val="00BC392E"/>
    <w:rsid w:val="00BC4F01"/>
    <w:rsid w:val="00BC4F09"/>
    <w:rsid w:val="00BC6B9F"/>
    <w:rsid w:val="00BD378A"/>
    <w:rsid w:val="00BD425C"/>
    <w:rsid w:val="00BE0C08"/>
    <w:rsid w:val="00BE4E9C"/>
    <w:rsid w:val="00BE73A1"/>
    <w:rsid w:val="00BF19CE"/>
    <w:rsid w:val="00BF2E2E"/>
    <w:rsid w:val="00C03CF3"/>
    <w:rsid w:val="00C047BE"/>
    <w:rsid w:val="00C053D2"/>
    <w:rsid w:val="00C070CB"/>
    <w:rsid w:val="00C10E8D"/>
    <w:rsid w:val="00C11843"/>
    <w:rsid w:val="00C13D82"/>
    <w:rsid w:val="00C14B35"/>
    <w:rsid w:val="00C20351"/>
    <w:rsid w:val="00C21E65"/>
    <w:rsid w:val="00C236FA"/>
    <w:rsid w:val="00C23F5F"/>
    <w:rsid w:val="00C25E11"/>
    <w:rsid w:val="00C26498"/>
    <w:rsid w:val="00C264CB"/>
    <w:rsid w:val="00C277EF"/>
    <w:rsid w:val="00C31505"/>
    <w:rsid w:val="00C332EA"/>
    <w:rsid w:val="00C44D85"/>
    <w:rsid w:val="00C44DDB"/>
    <w:rsid w:val="00C466B0"/>
    <w:rsid w:val="00C5356A"/>
    <w:rsid w:val="00C606FB"/>
    <w:rsid w:val="00C614ED"/>
    <w:rsid w:val="00C61D86"/>
    <w:rsid w:val="00C6227C"/>
    <w:rsid w:val="00C71C0A"/>
    <w:rsid w:val="00C72A81"/>
    <w:rsid w:val="00C73784"/>
    <w:rsid w:val="00C74517"/>
    <w:rsid w:val="00C817E8"/>
    <w:rsid w:val="00C82354"/>
    <w:rsid w:val="00C958BC"/>
    <w:rsid w:val="00CA302C"/>
    <w:rsid w:val="00CA6C12"/>
    <w:rsid w:val="00CA7ADD"/>
    <w:rsid w:val="00CB1FD0"/>
    <w:rsid w:val="00CB64B5"/>
    <w:rsid w:val="00CC00C7"/>
    <w:rsid w:val="00CC13C4"/>
    <w:rsid w:val="00CC3229"/>
    <w:rsid w:val="00CD22C7"/>
    <w:rsid w:val="00CD58EB"/>
    <w:rsid w:val="00CD61C9"/>
    <w:rsid w:val="00CD6205"/>
    <w:rsid w:val="00CD799E"/>
    <w:rsid w:val="00CE1C45"/>
    <w:rsid w:val="00CE3593"/>
    <w:rsid w:val="00CE7148"/>
    <w:rsid w:val="00CF0229"/>
    <w:rsid w:val="00CF618C"/>
    <w:rsid w:val="00D03355"/>
    <w:rsid w:val="00D0417E"/>
    <w:rsid w:val="00D05E55"/>
    <w:rsid w:val="00D06E8A"/>
    <w:rsid w:val="00D1096E"/>
    <w:rsid w:val="00D135B5"/>
    <w:rsid w:val="00D17066"/>
    <w:rsid w:val="00D2184D"/>
    <w:rsid w:val="00D244E9"/>
    <w:rsid w:val="00D2505C"/>
    <w:rsid w:val="00D27822"/>
    <w:rsid w:val="00D3137A"/>
    <w:rsid w:val="00D333F5"/>
    <w:rsid w:val="00D351E8"/>
    <w:rsid w:val="00D36100"/>
    <w:rsid w:val="00D3684F"/>
    <w:rsid w:val="00D4057C"/>
    <w:rsid w:val="00D41DB4"/>
    <w:rsid w:val="00D428C0"/>
    <w:rsid w:val="00D43271"/>
    <w:rsid w:val="00D47697"/>
    <w:rsid w:val="00D5186F"/>
    <w:rsid w:val="00D525EA"/>
    <w:rsid w:val="00D53222"/>
    <w:rsid w:val="00D54F6D"/>
    <w:rsid w:val="00D5596F"/>
    <w:rsid w:val="00D60C6C"/>
    <w:rsid w:val="00D63D80"/>
    <w:rsid w:val="00D66B48"/>
    <w:rsid w:val="00D6798C"/>
    <w:rsid w:val="00D7257C"/>
    <w:rsid w:val="00D756ED"/>
    <w:rsid w:val="00D75F6D"/>
    <w:rsid w:val="00D76A0A"/>
    <w:rsid w:val="00D85F45"/>
    <w:rsid w:val="00D85FE1"/>
    <w:rsid w:val="00D87CF2"/>
    <w:rsid w:val="00D923CC"/>
    <w:rsid w:val="00D92B9F"/>
    <w:rsid w:val="00D93C6F"/>
    <w:rsid w:val="00D958DC"/>
    <w:rsid w:val="00D95ADF"/>
    <w:rsid w:val="00DA57F2"/>
    <w:rsid w:val="00DA67FC"/>
    <w:rsid w:val="00DB2EE1"/>
    <w:rsid w:val="00DC38C9"/>
    <w:rsid w:val="00DC43E3"/>
    <w:rsid w:val="00DC7020"/>
    <w:rsid w:val="00DD09C9"/>
    <w:rsid w:val="00DD1FFE"/>
    <w:rsid w:val="00DD5EC4"/>
    <w:rsid w:val="00DE7471"/>
    <w:rsid w:val="00DF0CC5"/>
    <w:rsid w:val="00DF20C6"/>
    <w:rsid w:val="00DF2C23"/>
    <w:rsid w:val="00DF414B"/>
    <w:rsid w:val="00DF4A4B"/>
    <w:rsid w:val="00DF6433"/>
    <w:rsid w:val="00DF7804"/>
    <w:rsid w:val="00E00A84"/>
    <w:rsid w:val="00E06203"/>
    <w:rsid w:val="00E10A73"/>
    <w:rsid w:val="00E11E10"/>
    <w:rsid w:val="00E128FF"/>
    <w:rsid w:val="00E12F9E"/>
    <w:rsid w:val="00E17842"/>
    <w:rsid w:val="00E228B1"/>
    <w:rsid w:val="00E24195"/>
    <w:rsid w:val="00E255A3"/>
    <w:rsid w:val="00E273DC"/>
    <w:rsid w:val="00E37C13"/>
    <w:rsid w:val="00E40C04"/>
    <w:rsid w:val="00E42093"/>
    <w:rsid w:val="00E44261"/>
    <w:rsid w:val="00E53299"/>
    <w:rsid w:val="00E56475"/>
    <w:rsid w:val="00E609AB"/>
    <w:rsid w:val="00E615A3"/>
    <w:rsid w:val="00E61E5A"/>
    <w:rsid w:val="00E6230F"/>
    <w:rsid w:val="00E6346B"/>
    <w:rsid w:val="00E6462F"/>
    <w:rsid w:val="00E651EE"/>
    <w:rsid w:val="00E65575"/>
    <w:rsid w:val="00E66E02"/>
    <w:rsid w:val="00E674A5"/>
    <w:rsid w:val="00E70DA2"/>
    <w:rsid w:val="00E70DB7"/>
    <w:rsid w:val="00E748BA"/>
    <w:rsid w:val="00E756CD"/>
    <w:rsid w:val="00E80C4A"/>
    <w:rsid w:val="00E81768"/>
    <w:rsid w:val="00E81982"/>
    <w:rsid w:val="00E8470E"/>
    <w:rsid w:val="00E86544"/>
    <w:rsid w:val="00E90185"/>
    <w:rsid w:val="00E92564"/>
    <w:rsid w:val="00EA10B9"/>
    <w:rsid w:val="00EA21C6"/>
    <w:rsid w:val="00EA3030"/>
    <w:rsid w:val="00EA4EA6"/>
    <w:rsid w:val="00EA54FE"/>
    <w:rsid w:val="00EA6D75"/>
    <w:rsid w:val="00EA767E"/>
    <w:rsid w:val="00EB0462"/>
    <w:rsid w:val="00EB24A3"/>
    <w:rsid w:val="00EC1536"/>
    <w:rsid w:val="00EC2880"/>
    <w:rsid w:val="00EC417D"/>
    <w:rsid w:val="00EC7A6E"/>
    <w:rsid w:val="00ED4257"/>
    <w:rsid w:val="00EE251A"/>
    <w:rsid w:val="00EE41E6"/>
    <w:rsid w:val="00EF0261"/>
    <w:rsid w:val="00EF2350"/>
    <w:rsid w:val="00EF41CA"/>
    <w:rsid w:val="00EF4581"/>
    <w:rsid w:val="00EF504A"/>
    <w:rsid w:val="00F025F5"/>
    <w:rsid w:val="00F115AC"/>
    <w:rsid w:val="00F1361A"/>
    <w:rsid w:val="00F1387E"/>
    <w:rsid w:val="00F16391"/>
    <w:rsid w:val="00F16E63"/>
    <w:rsid w:val="00F217EE"/>
    <w:rsid w:val="00F23CE2"/>
    <w:rsid w:val="00F24C55"/>
    <w:rsid w:val="00F24DF9"/>
    <w:rsid w:val="00F32309"/>
    <w:rsid w:val="00F32425"/>
    <w:rsid w:val="00F33EF8"/>
    <w:rsid w:val="00F35871"/>
    <w:rsid w:val="00F5239B"/>
    <w:rsid w:val="00F536C7"/>
    <w:rsid w:val="00F61895"/>
    <w:rsid w:val="00F63939"/>
    <w:rsid w:val="00F66BFC"/>
    <w:rsid w:val="00F671B5"/>
    <w:rsid w:val="00F72E3D"/>
    <w:rsid w:val="00F80484"/>
    <w:rsid w:val="00F81A9D"/>
    <w:rsid w:val="00F82012"/>
    <w:rsid w:val="00F83610"/>
    <w:rsid w:val="00F838B9"/>
    <w:rsid w:val="00F845E1"/>
    <w:rsid w:val="00F85C81"/>
    <w:rsid w:val="00F877B6"/>
    <w:rsid w:val="00F907A9"/>
    <w:rsid w:val="00F908BE"/>
    <w:rsid w:val="00F940EE"/>
    <w:rsid w:val="00F944B1"/>
    <w:rsid w:val="00F95D7D"/>
    <w:rsid w:val="00F961AA"/>
    <w:rsid w:val="00FA0590"/>
    <w:rsid w:val="00FA1D53"/>
    <w:rsid w:val="00FA277B"/>
    <w:rsid w:val="00FA2DA1"/>
    <w:rsid w:val="00FA3295"/>
    <w:rsid w:val="00FA72F6"/>
    <w:rsid w:val="00FB0E60"/>
    <w:rsid w:val="00FB41F7"/>
    <w:rsid w:val="00FB4463"/>
    <w:rsid w:val="00FB5D7B"/>
    <w:rsid w:val="00FB6553"/>
    <w:rsid w:val="00FC050A"/>
    <w:rsid w:val="00FC11D6"/>
    <w:rsid w:val="00FC6352"/>
    <w:rsid w:val="00FD1974"/>
    <w:rsid w:val="00FD232A"/>
    <w:rsid w:val="00FD2F62"/>
    <w:rsid w:val="00FD3F2D"/>
    <w:rsid w:val="00FD4AB7"/>
    <w:rsid w:val="00FD5855"/>
    <w:rsid w:val="00FD59F7"/>
    <w:rsid w:val="00FD648E"/>
    <w:rsid w:val="00FD6665"/>
    <w:rsid w:val="00FE0CFB"/>
    <w:rsid w:val="00FE17A9"/>
    <w:rsid w:val="00FF2D31"/>
    <w:rsid w:val="00FF486C"/>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356BF"/>
  <w15:docId w15:val="{C36AF6DD-C5F8-428B-A43A-0B0AE2B3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C69"/>
    <w:rPr>
      <w:rFonts w:ascii="Calibri" w:eastAsia="Calibri" w:hAnsi="Calibri" w:cs="Times New Roman"/>
    </w:rPr>
  </w:style>
  <w:style w:type="paragraph" w:styleId="Ttulo1">
    <w:name w:val="heading 1"/>
    <w:basedOn w:val="Normal"/>
    <w:next w:val="Normal"/>
    <w:link w:val="Ttulo1Car"/>
    <w:uiPriority w:val="9"/>
    <w:qFormat/>
    <w:rsid w:val="0064010E"/>
    <w:pPr>
      <w:spacing w:before="600" w:after="0" w:line="360" w:lineRule="auto"/>
      <w:outlineLvl w:val="0"/>
    </w:pPr>
    <w:rPr>
      <w:rFonts w:asciiTheme="majorHAnsi" w:eastAsiaTheme="majorEastAsia" w:hAnsiTheme="majorHAnsi" w:cstheme="majorBidi"/>
      <w:b/>
      <w:bCs/>
      <w:i/>
      <w:iCs/>
      <w:sz w:val="32"/>
      <w:szCs w:val="32"/>
      <w:lang w:val="en-US" w:bidi="en-US"/>
    </w:rPr>
  </w:style>
  <w:style w:type="paragraph" w:styleId="Ttulo2">
    <w:name w:val="heading 2"/>
    <w:basedOn w:val="Normal"/>
    <w:next w:val="Normal"/>
    <w:link w:val="Ttulo2Car"/>
    <w:uiPriority w:val="9"/>
    <w:unhideWhenUsed/>
    <w:qFormat/>
    <w:rsid w:val="00F908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6401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010E"/>
    <w:rPr>
      <w:rFonts w:asciiTheme="majorHAnsi" w:eastAsiaTheme="majorEastAsia" w:hAnsiTheme="majorHAnsi" w:cstheme="majorBidi"/>
      <w:b/>
      <w:bCs/>
      <w:i/>
      <w:iCs/>
      <w:sz w:val="32"/>
      <w:szCs w:val="32"/>
      <w:lang w:val="en-US" w:bidi="en-US"/>
    </w:rPr>
  </w:style>
  <w:style w:type="character" w:customStyle="1" w:styleId="Ttulo2Car">
    <w:name w:val="Título 2 Car"/>
    <w:basedOn w:val="Fuentedeprrafopredeter"/>
    <w:link w:val="Ttulo2"/>
    <w:uiPriority w:val="9"/>
    <w:rsid w:val="00F908B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64010E"/>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64010E"/>
    <w:pPr>
      <w:ind w:left="720"/>
      <w:contextualSpacing/>
    </w:pPr>
  </w:style>
  <w:style w:type="table" w:styleId="Tablaconcuadrcula">
    <w:name w:val="Table Grid"/>
    <w:basedOn w:val="Tablanormal"/>
    <w:uiPriority w:val="39"/>
    <w:rsid w:val="0064010E"/>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64010E"/>
    <w:pPr>
      <w:tabs>
        <w:tab w:val="center" w:pos="4419"/>
        <w:tab w:val="right" w:pos="8838"/>
      </w:tabs>
    </w:pPr>
  </w:style>
  <w:style w:type="character" w:customStyle="1" w:styleId="EncabezadoCar">
    <w:name w:val="Encabezado Car"/>
    <w:basedOn w:val="Fuentedeprrafopredeter"/>
    <w:link w:val="Encabezado"/>
    <w:uiPriority w:val="99"/>
    <w:rsid w:val="0064010E"/>
    <w:rPr>
      <w:rFonts w:ascii="Calibri" w:eastAsia="Calibri" w:hAnsi="Calibri" w:cs="Times New Roman"/>
    </w:rPr>
  </w:style>
  <w:style w:type="paragraph" w:styleId="Piedepgina">
    <w:name w:val="footer"/>
    <w:basedOn w:val="Normal"/>
    <w:link w:val="PiedepginaCar"/>
    <w:uiPriority w:val="99"/>
    <w:unhideWhenUsed/>
    <w:rsid w:val="0064010E"/>
    <w:pPr>
      <w:tabs>
        <w:tab w:val="center" w:pos="4419"/>
        <w:tab w:val="right" w:pos="8838"/>
      </w:tabs>
    </w:pPr>
  </w:style>
  <w:style w:type="character" w:customStyle="1" w:styleId="PiedepginaCar">
    <w:name w:val="Pie de página Car"/>
    <w:basedOn w:val="Fuentedeprrafopredeter"/>
    <w:link w:val="Piedepgina"/>
    <w:uiPriority w:val="99"/>
    <w:rsid w:val="0064010E"/>
    <w:rPr>
      <w:rFonts w:ascii="Calibri" w:eastAsia="Calibri" w:hAnsi="Calibri" w:cs="Times New Roman"/>
    </w:rPr>
  </w:style>
  <w:style w:type="character" w:styleId="Nmerodepgina">
    <w:name w:val="page number"/>
    <w:basedOn w:val="Fuentedeprrafopredeter"/>
    <w:rsid w:val="0064010E"/>
  </w:style>
  <w:style w:type="paragraph" w:styleId="Textoindependiente">
    <w:name w:val="Body Text"/>
    <w:basedOn w:val="Normal"/>
    <w:link w:val="TextoindependienteCar"/>
    <w:rsid w:val="0064010E"/>
    <w:pPr>
      <w:spacing w:after="0" w:line="240" w:lineRule="auto"/>
      <w:jc w:val="both"/>
    </w:pPr>
    <w:rPr>
      <w:rFonts w:ascii="Times New Roman" w:eastAsia="MS Mincho" w:hAnsi="Times New Roman"/>
      <w:sz w:val="20"/>
      <w:szCs w:val="20"/>
      <w:lang w:val="es-ES" w:eastAsia="es-ES"/>
    </w:rPr>
  </w:style>
  <w:style w:type="character" w:customStyle="1" w:styleId="TextoindependienteCar">
    <w:name w:val="Texto independiente Car"/>
    <w:basedOn w:val="Fuentedeprrafopredeter"/>
    <w:link w:val="Textoindependiente"/>
    <w:rsid w:val="0064010E"/>
    <w:rPr>
      <w:rFonts w:ascii="Times New Roman" w:eastAsia="MS Mincho" w:hAnsi="Times New Roman" w:cs="Times New Roman"/>
      <w:sz w:val="20"/>
      <w:szCs w:val="20"/>
      <w:lang w:val="es-ES" w:eastAsia="es-ES"/>
    </w:rPr>
  </w:style>
  <w:style w:type="paragraph" w:styleId="Sangra3detindependiente">
    <w:name w:val="Body Text Indent 3"/>
    <w:basedOn w:val="Normal"/>
    <w:link w:val="Sangra3detindependienteCar"/>
    <w:rsid w:val="0064010E"/>
    <w:pPr>
      <w:spacing w:after="120"/>
      <w:ind w:left="360"/>
    </w:pPr>
    <w:rPr>
      <w:sz w:val="16"/>
      <w:szCs w:val="16"/>
    </w:rPr>
  </w:style>
  <w:style w:type="character" w:customStyle="1" w:styleId="Sangra3detindependienteCar">
    <w:name w:val="Sangría 3 de t. independiente Car"/>
    <w:basedOn w:val="Fuentedeprrafopredeter"/>
    <w:link w:val="Sangra3detindependiente"/>
    <w:rsid w:val="0064010E"/>
    <w:rPr>
      <w:rFonts w:ascii="Calibri" w:eastAsia="Calibri" w:hAnsi="Calibri" w:cs="Times New Roman"/>
      <w:sz w:val="16"/>
      <w:szCs w:val="16"/>
    </w:rPr>
  </w:style>
  <w:style w:type="paragraph" w:customStyle="1" w:styleId="Textonormal">
    <w:name w:val="Texto normal"/>
    <w:basedOn w:val="Normal"/>
    <w:uiPriority w:val="99"/>
    <w:rsid w:val="0064010E"/>
    <w:pPr>
      <w:spacing w:after="220" w:line="288" w:lineRule="atLeast"/>
      <w:jc w:val="both"/>
    </w:pPr>
    <w:rPr>
      <w:rFonts w:ascii="Times New Roman" w:eastAsia="Times New Roman" w:hAnsi="Times New Roman"/>
      <w:sz w:val="20"/>
      <w:szCs w:val="20"/>
      <w:lang w:val="en-US"/>
    </w:rPr>
  </w:style>
  <w:style w:type="character" w:styleId="Refdenotaalpie">
    <w:name w:val="footnote reference"/>
    <w:aliases w:val="Ref,de nota al pie,16 Point,Superscript 6 Point,Superscript 6 Point + 11 pt"/>
    <w:basedOn w:val="Fuentedeprrafopredeter"/>
    <w:uiPriority w:val="99"/>
    <w:rsid w:val="0064010E"/>
    <w:rPr>
      <w:vertAlign w:val="superscript"/>
    </w:rPr>
  </w:style>
  <w:style w:type="paragraph" w:styleId="Textonotapie">
    <w:name w:val="footnote text"/>
    <w:aliases w:val=" Car5,single space Car Car,single space Car,Car,Car Car Car Car,Car Car Car,single space Car Car Car Car Car Car Car Car,single space C,single space Car Car Car Car Car Car Car Car Car,single space C Car Car,Car Car Car Car Car Car, Car,C"/>
    <w:basedOn w:val="Normal"/>
    <w:link w:val="TextonotapieCar"/>
    <w:uiPriority w:val="99"/>
    <w:rsid w:val="0064010E"/>
    <w:pPr>
      <w:spacing w:after="0" w:line="240" w:lineRule="auto"/>
    </w:pPr>
    <w:rPr>
      <w:rFonts w:ascii="Times New Roman" w:eastAsia="SimSun" w:hAnsi="Times New Roman"/>
      <w:snapToGrid w:val="0"/>
      <w:sz w:val="20"/>
      <w:szCs w:val="20"/>
      <w:lang w:val="en-US"/>
    </w:rPr>
  </w:style>
  <w:style w:type="character" w:customStyle="1" w:styleId="TextonotapieCar">
    <w:name w:val="Texto nota pie Car"/>
    <w:aliases w:val=" Car5 Car,single space Car Car Car,single space Car Car1,Car Car,Car Car Car Car Car,Car Car Car Car1,single space Car Car Car Car Car Car Car Car Car1,single space C Car,single space Car Car Car Car Car Car Car Car Car Car, Car Car"/>
    <w:basedOn w:val="Fuentedeprrafopredeter"/>
    <w:link w:val="Textonotapie"/>
    <w:uiPriority w:val="99"/>
    <w:rsid w:val="0064010E"/>
    <w:rPr>
      <w:rFonts w:ascii="Times New Roman" w:eastAsia="SimSun" w:hAnsi="Times New Roman" w:cs="Times New Roman"/>
      <w:snapToGrid w:val="0"/>
      <w:sz w:val="20"/>
      <w:szCs w:val="20"/>
      <w:lang w:val="en-US"/>
    </w:rPr>
  </w:style>
  <w:style w:type="paragraph" w:styleId="Textodeglobo">
    <w:name w:val="Balloon Text"/>
    <w:basedOn w:val="Normal"/>
    <w:link w:val="TextodegloboCar"/>
    <w:uiPriority w:val="99"/>
    <w:semiHidden/>
    <w:unhideWhenUsed/>
    <w:rsid w:val="006401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10E"/>
    <w:rPr>
      <w:rFonts w:ascii="Tahoma" w:eastAsia="Calibri" w:hAnsi="Tahoma" w:cs="Tahoma"/>
      <w:sz w:val="16"/>
      <w:szCs w:val="16"/>
    </w:rPr>
  </w:style>
  <w:style w:type="paragraph" w:styleId="NormalWeb">
    <w:name w:val="Normal (Web)"/>
    <w:basedOn w:val="Normal"/>
    <w:unhideWhenUsed/>
    <w:rsid w:val="0064010E"/>
    <w:pPr>
      <w:spacing w:before="100" w:beforeAutospacing="1" w:after="100" w:afterAutospacing="1" w:line="240" w:lineRule="auto"/>
    </w:pPr>
    <w:rPr>
      <w:rFonts w:ascii="Times New Roman" w:eastAsia="Times New Roman" w:hAnsi="Times New Roman"/>
      <w:sz w:val="24"/>
      <w:szCs w:val="24"/>
      <w:lang w:eastAsia="es-CR"/>
    </w:rPr>
  </w:style>
  <w:style w:type="character" w:styleId="nfasis">
    <w:name w:val="Emphasis"/>
    <w:uiPriority w:val="20"/>
    <w:qFormat/>
    <w:rsid w:val="0064010E"/>
    <w:rPr>
      <w:b/>
      <w:bCs/>
      <w:i/>
      <w:iCs/>
      <w:color w:val="auto"/>
    </w:rPr>
  </w:style>
  <w:style w:type="paragraph" w:styleId="Sinespaciado">
    <w:name w:val="No Spacing"/>
    <w:basedOn w:val="Normal"/>
    <w:link w:val="SinespaciadoCar"/>
    <w:uiPriority w:val="1"/>
    <w:qFormat/>
    <w:rsid w:val="0064010E"/>
    <w:pPr>
      <w:spacing w:after="0" w:line="240" w:lineRule="auto"/>
    </w:pPr>
    <w:rPr>
      <w:rFonts w:asciiTheme="minorHAnsi" w:eastAsiaTheme="minorEastAsia" w:hAnsiTheme="minorHAnsi" w:cstheme="minorBidi"/>
      <w:lang w:val="en-US" w:bidi="en-US"/>
    </w:rPr>
  </w:style>
  <w:style w:type="character" w:customStyle="1" w:styleId="SinespaciadoCar">
    <w:name w:val="Sin espaciado Car"/>
    <w:basedOn w:val="Fuentedeprrafopredeter"/>
    <w:link w:val="Sinespaciado"/>
    <w:uiPriority w:val="1"/>
    <w:rsid w:val="0064010E"/>
    <w:rPr>
      <w:rFonts w:eastAsiaTheme="minorEastAsia"/>
      <w:lang w:val="en-US" w:bidi="en-US"/>
    </w:rPr>
  </w:style>
  <w:style w:type="paragraph" w:styleId="TtuloTDC">
    <w:name w:val="TOC Heading"/>
    <w:basedOn w:val="Ttulo1"/>
    <w:next w:val="Normal"/>
    <w:uiPriority w:val="39"/>
    <w:unhideWhenUsed/>
    <w:qFormat/>
    <w:rsid w:val="0064010E"/>
    <w:pPr>
      <w:outlineLvl w:val="9"/>
    </w:pPr>
  </w:style>
  <w:style w:type="paragraph" w:styleId="Textocomentario">
    <w:name w:val="annotation text"/>
    <w:basedOn w:val="Normal"/>
    <w:link w:val="TextocomentarioCar"/>
    <w:uiPriority w:val="99"/>
    <w:rsid w:val="0064010E"/>
    <w:pPr>
      <w:spacing w:after="0" w:line="240" w:lineRule="auto"/>
    </w:pPr>
    <w:rPr>
      <w:rFonts w:ascii="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64010E"/>
    <w:rPr>
      <w:rFonts w:ascii="Times New Roman" w:eastAsia="Calibri" w:hAnsi="Times New Roman" w:cs="Times New Roman"/>
      <w:sz w:val="20"/>
      <w:szCs w:val="20"/>
      <w:lang w:val="es-ES_tradnl" w:eastAsia="es-ES"/>
    </w:rPr>
  </w:style>
  <w:style w:type="paragraph" w:styleId="Cita">
    <w:name w:val="Quote"/>
    <w:basedOn w:val="Normal"/>
    <w:next w:val="Normal"/>
    <w:link w:val="CitaCar"/>
    <w:uiPriority w:val="29"/>
    <w:qFormat/>
    <w:rsid w:val="0064010E"/>
    <w:pPr>
      <w:spacing w:after="240" w:line="480" w:lineRule="auto"/>
      <w:ind w:firstLine="360"/>
    </w:pPr>
    <w:rPr>
      <w:rFonts w:asciiTheme="minorHAnsi" w:eastAsiaTheme="minorEastAsia" w:hAnsiTheme="minorHAnsi" w:cstheme="minorBidi"/>
      <w:color w:val="5A5A5A" w:themeColor="text1" w:themeTint="A5"/>
      <w:lang w:val="en-US" w:bidi="en-US"/>
    </w:rPr>
  </w:style>
  <w:style w:type="character" w:customStyle="1" w:styleId="CitaCar">
    <w:name w:val="Cita Car"/>
    <w:basedOn w:val="Fuentedeprrafopredeter"/>
    <w:link w:val="Cita"/>
    <w:uiPriority w:val="29"/>
    <w:rsid w:val="0064010E"/>
    <w:rPr>
      <w:rFonts w:eastAsiaTheme="minorEastAsia"/>
      <w:color w:val="5A5A5A" w:themeColor="text1" w:themeTint="A5"/>
      <w:lang w:val="en-US" w:bidi="en-US"/>
    </w:rPr>
  </w:style>
  <w:style w:type="character" w:styleId="Nmerodelnea">
    <w:name w:val="line number"/>
    <w:basedOn w:val="Fuentedeprrafopredeter"/>
    <w:uiPriority w:val="99"/>
    <w:semiHidden/>
    <w:unhideWhenUsed/>
    <w:rsid w:val="0064010E"/>
  </w:style>
  <w:style w:type="character" w:styleId="Hipervnculo">
    <w:name w:val="Hyperlink"/>
    <w:basedOn w:val="Fuentedeprrafopredeter"/>
    <w:uiPriority w:val="99"/>
    <w:unhideWhenUsed/>
    <w:rsid w:val="0064010E"/>
    <w:rPr>
      <w:color w:val="0000FF"/>
      <w:u w:val="single"/>
    </w:rPr>
  </w:style>
  <w:style w:type="character" w:styleId="Hipervnculovisitado">
    <w:name w:val="FollowedHyperlink"/>
    <w:basedOn w:val="Fuentedeprrafopredeter"/>
    <w:uiPriority w:val="99"/>
    <w:semiHidden/>
    <w:unhideWhenUsed/>
    <w:rsid w:val="0064010E"/>
    <w:rPr>
      <w:color w:val="800080"/>
      <w:u w:val="single"/>
    </w:rPr>
  </w:style>
  <w:style w:type="paragraph" w:customStyle="1" w:styleId="font5">
    <w:name w:val="font5"/>
    <w:basedOn w:val="Normal"/>
    <w:rsid w:val="0064010E"/>
    <w:pPr>
      <w:spacing w:before="100" w:beforeAutospacing="1" w:after="100" w:afterAutospacing="1" w:line="240" w:lineRule="auto"/>
    </w:pPr>
    <w:rPr>
      <w:rFonts w:ascii="Tahoma" w:eastAsia="Times New Roman" w:hAnsi="Tahoma" w:cs="Tahoma"/>
      <w:color w:val="000000"/>
      <w:sz w:val="18"/>
      <w:szCs w:val="18"/>
      <w:lang w:eastAsia="es-CR"/>
    </w:rPr>
  </w:style>
  <w:style w:type="paragraph" w:customStyle="1" w:styleId="font6">
    <w:name w:val="font6"/>
    <w:basedOn w:val="Normal"/>
    <w:rsid w:val="0064010E"/>
    <w:pPr>
      <w:spacing w:before="100" w:beforeAutospacing="1" w:after="100" w:afterAutospacing="1" w:line="240" w:lineRule="auto"/>
    </w:pPr>
    <w:rPr>
      <w:rFonts w:ascii="Tahoma" w:eastAsia="Times New Roman" w:hAnsi="Tahoma" w:cs="Tahoma"/>
      <w:b/>
      <w:bCs/>
      <w:color w:val="000000"/>
      <w:sz w:val="18"/>
      <w:szCs w:val="18"/>
      <w:lang w:eastAsia="es-CR"/>
    </w:rPr>
  </w:style>
  <w:style w:type="paragraph" w:customStyle="1" w:styleId="font7">
    <w:name w:val="font7"/>
    <w:basedOn w:val="Normal"/>
    <w:rsid w:val="0064010E"/>
    <w:pPr>
      <w:spacing w:before="100" w:beforeAutospacing="1" w:after="100" w:afterAutospacing="1" w:line="240" w:lineRule="auto"/>
    </w:pPr>
    <w:rPr>
      <w:rFonts w:ascii="Tahoma" w:eastAsia="Times New Roman" w:hAnsi="Tahoma" w:cs="Tahoma"/>
      <w:color w:val="000000"/>
      <w:sz w:val="18"/>
      <w:szCs w:val="18"/>
      <w:lang w:eastAsia="es-CR"/>
    </w:rPr>
  </w:style>
  <w:style w:type="paragraph" w:customStyle="1" w:styleId="font8">
    <w:name w:val="font8"/>
    <w:basedOn w:val="Normal"/>
    <w:rsid w:val="0064010E"/>
    <w:pPr>
      <w:spacing w:before="100" w:beforeAutospacing="1" w:after="100" w:afterAutospacing="1" w:line="240" w:lineRule="auto"/>
    </w:pPr>
    <w:rPr>
      <w:rFonts w:ascii="Tahoma" w:eastAsia="Times New Roman" w:hAnsi="Tahoma" w:cs="Tahoma"/>
      <w:b/>
      <w:bCs/>
      <w:color w:val="000000"/>
      <w:sz w:val="18"/>
      <w:szCs w:val="18"/>
      <w:lang w:eastAsia="es-CR"/>
    </w:rPr>
  </w:style>
  <w:style w:type="paragraph" w:customStyle="1" w:styleId="xl82">
    <w:name w:val="xl82"/>
    <w:basedOn w:val="Normal"/>
    <w:rsid w:val="0064010E"/>
    <w:pPr>
      <w:shd w:val="clear" w:color="000000" w:fill="FFFFFF"/>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xl83">
    <w:name w:val="xl8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84">
    <w:name w:val="xl84"/>
    <w:basedOn w:val="Normal"/>
    <w:rsid w:val="0064010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85">
    <w:name w:val="xl85"/>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86">
    <w:name w:val="xl86"/>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87">
    <w:name w:val="xl8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88">
    <w:name w:val="xl8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89">
    <w:name w:val="xl89"/>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0">
    <w:name w:val="xl9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1">
    <w:name w:val="xl9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2">
    <w:name w:val="xl9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93">
    <w:name w:val="xl9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4">
    <w:name w:val="xl9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95">
    <w:name w:val="xl9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96">
    <w:name w:val="xl9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6"/>
      <w:szCs w:val="16"/>
      <w:lang w:eastAsia="es-CR"/>
    </w:rPr>
  </w:style>
  <w:style w:type="paragraph" w:customStyle="1" w:styleId="xl97">
    <w:name w:val="xl9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8">
    <w:name w:val="xl9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9">
    <w:name w:val="xl9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0">
    <w:name w:val="xl10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101">
    <w:name w:val="xl10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02">
    <w:name w:val="xl10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03">
    <w:name w:val="xl10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4">
    <w:name w:val="xl10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5">
    <w:name w:val="xl105"/>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6">
    <w:name w:val="xl10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7">
    <w:name w:val="xl107"/>
    <w:basedOn w:val="Normal"/>
    <w:rsid w:val="0064010E"/>
    <w:pPr>
      <w:pBdr>
        <w:top w:val="single" w:sz="8" w:space="0" w:color="auto"/>
        <w:bottom w:val="single" w:sz="8" w:space="0" w:color="auto"/>
        <w:right w:val="single" w:sz="8" w:space="0" w:color="auto"/>
      </w:pBdr>
      <w:shd w:val="clear" w:color="000000" w:fill="339966"/>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08">
    <w:name w:val="xl108"/>
    <w:basedOn w:val="Normal"/>
    <w:rsid w:val="0064010E"/>
    <w:pPr>
      <w:pBdr>
        <w:top w:val="single" w:sz="8" w:space="0" w:color="auto"/>
        <w:left w:val="single" w:sz="8" w:space="0" w:color="auto"/>
        <w:bottom w:val="single" w:sz="8" w:space="0" w:color="auto"/>
        <w:right w:val="single" w:sz="8" w:space="0" w:color="auto"/>
      </w:pBdr>
      <w:shd w:val="clear" w:color="000000" w:fill="339966"/>
      <w:spacing w:before="100" w:beforeAutospacing="1" w:after="100" w:afterAutospacing="1" w:line="240" w:lineRule="auto"/>
      <w:jc w:val="center"/>
      <w:textAlignment w:val="center"/>
    </w:pPr>
    <w:rPr>
      <w:rFonts w:ascii="Arial" w:eastAsia="Times New Roman" w:hAnsi="Arial" w:cs="Arial"/>
      <w:b/>
      <w:bCs/>
      <w:sz w:val="12"/>
      <w:szCs w:val="12"/>
      <w:lang w:eastAsia="es-CR"/>
    </w:rPr>
  </w:style>
  <w:style w:type="paragraph" w:customStyle="1" w:styleId="xl109">
    <w:name w:val="xl10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10">
    <w:name w:val="xl11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1">
    <w:name w:val="xl111"/>
    <w:basedOn w:val="Normal"/>
    <w:rsid w:val="0064010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2">
    <w:name w:val="xl11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13">
    <w:name w:val="xl113"/>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4">
    <w:name w:val="xl114"/>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5">
    <w:name w:val="xl11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6">
    <w:name w:val="xl11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17">
    <w:name w:val="xl11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118">
    <w:name w:val="xl11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19">
    <w:name w:val="xl11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0">
    <w:name w:val="xl12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1">
    <w:name w:val="xl12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2">
    <w:name w:val="xl122"/>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3">
    <w:name w:val="xl123"/>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4">
    <w:name w:val="xl12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5">
    <w:name w:val="xl12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6">
    <w:name w:val="xl126"/>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7">
    <w:name w:val="xl127"/>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16"/>
      <w:szCs w:val="16"/>
      <w:lang w:eastAsia="es-CR"/>
    </w:rPr>
  </w:style>
  <w:style w:type="paragraph" w:customStyle="1" w:styleId="xl128">
    <w:name w:val="xl128"/>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9">
    <w:name w:val="xl129"/>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0">
    <w:name w:val="xl130"/>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1">
    <w:name w:val="xl131"/>
    <w:basedOn w:val="Normal"/>
    <w:rsid w:val="0064010E"/>
    <w:pPr>
      <w:pBdr>
        <w:top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2">
    <w:name w:val="xl132"/>
    <w:basedOn w:val="Normal"/>
    <w:rsid w:val="0064010E"/>
    <w:pPr>
      <w:pBdr>
        <w:top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3">
    <w:name w:val="xl133"/>
    <w:basedOn w:val="Normal"/>
    <w:rsid w:val="0064010E"/>
    <w:pPr>
      <w:pBdr>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4">
    <w:name w:val="xl134"/>
    <w:basedOn w:val="Normal"/>
    <w:rsid w:val="0064010E"/>
    <w:pPr>
      <w:pBdr>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5">
    <w:name w:val="xl135"/>
    <w:basedOn w:val="Normal"/>
    <w:rsid w:val="0064010E"/>
    <w:pPr>
      <w:pBdr>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6">
    <w:name w:val="xl136"/>
    <w:basedOn w:val="Normal"/>
    <w:rsid w:val="0064010E"/>
    <w:pPr>
      <w:shd w:val="clear" w:color="000000" w:fill="FFFFFF"/>
      <w:spacing w:before="100" w:beforeAutospacing="1" w:after="100" w:afterAutospacing="1" w:line="240" w:lineRule="auto"/>
    </w:pPr>
    <w:rPr>
      <w:rFonts w:ascii="Times New Roman" w:eastAsia="Times New Roman" w:hAnsi="Times New Roman"/>
      <w:b/>
      <w:bCs/>
      <w:sz w:val="24"/>
      <w:szCs w:val="24"/>
      <w:lang w:eastAsia="es-CR"/>
    </w:rPr>
  </w:style>
  <w:style w:type="paragraph" w:customStyle="1" w:styleId="xl137">
    <w:name w:val="xl13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color w:val="000000"/>
      <w:sz w:val="16"/>
      <w:szCs w:val="16"/>
      <w:lang w:eastAsia="es-CR"/>
    </w:rPr>
  </w:style>
  <w:style w:type="paragraph" w:customStyle="1" w:styleId="xl138">
    <w:name w:val="xl138"/>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9">
    <w:name w:val="xl139"/>
    <w:basedOn w:val="Normal"/>
    <w:rsid w:val="0064010E"/>
    <w:pPr>
      <w:pBdr>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40">
    <w:name w:val="xl140"/>
    <w:basedOn w:val="Normal"/>
    <w:rsid w:val="0064010E"/>
    <w:pPr>
      <w:pBdr>
        <w:top w:val="single" w:sz="4" w:space="0" w:color="auto"/>
        <w:left w:val="single" w:sz="4" w:space="0" w:color="auto"/>
        <w:bottom w:val="single" w:sz="4" w:space="0" w:color="auto"/>
      </w:pBdr>
      <w:shd w:val="clear" w:color="000000" w:fill="339966"/>
      <w:spacing w:before="100" w:beforeAutospacing="1" w:after="100" w:afterAutospacing="1" w:line="240" w:lineRule="auto"/>
      <w:jc w:val="center"/>
    </w:pPr>
    <w:rPr>
      <w:rFonts w:ascii="Arial" w:eastAsia="Times New Roman" w:hAnsi="Arial" w:cs="Arial"/>
      <w:b/>
      <w:bCs/>
      <w:sz w:val="16"/>
      <w:szCs w:val="16"/>
      <w:lang w:eastAsia="es-CR"/>
    </w:rPr>
  </w:style>
  <w:style w:type="paragraph" w:customStyle="1" w:styleId="xl141">
    <w:name w:val="xl141"/>
    <w:basedOn w:val="Normal"/>
    <w:rsid w:val="0064010E"/>
    <w:pPr>
      <w:pBdr>
        <w:top w:val="single" w:sz="4" w:space="0" w:color="auto"/>
        <w:bottom w:val="single" w:sz="4" w:space="0" w:color="auto"/>
        <w:right w:val="single" w:sz="4" w:space="0" w:color="auto"/>
      </w:pBdr>
      <w:shd w:val="clear" w:color="000000" w:fill="339966"/>
      <w:spacing w:before="100" w:beforeAutospacing="1" w:after="100" w:afterAutospacing="1" w:line="240" w:lineRule="auto"/>
      <w:jc w:val="center"/>
    </w:pPr>
    <w:rPr>
      <w:rFonts w:ascii="Arial" w:eastAsia="Times New Roman" w:hAnsi="Arial" w:cs="Arial"/>
      <w:b/>
      <w:bCs/>
      <w:sz w:val="16"/>
      <w:szCs w:val="16"/>
      <w:lang w:eastAsia="es-CR"/>
    </w:rPr>
  </w:style>
  <w:style w:type="character" w:styleId="Refdecomentario">
    <w:name w:val="annotation reference"/>
    <w:uiPriority w:val="99"/>
    <w:rsid w:val="0064010E"/>
    <w:rPr>
      <w:sz w:val="16"/>
      <w:szCs w:val="16"/>
    </w:rPr>
  </w:style>
  <w:style w:type="paragraph" w:customStyle="1" w:styleId="Default">
    <w:name w:val="Default"/>
    <w:rsid w:val="0064010E"/>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Fuentedeprrafopredeter"/>
    <w:rsid w:val="0064010E"/>
  </w:style>
  <w:style w:type="paragraph" w:styleId="TDC1">
    <w:name w:val="toc 1"/>
    <w:basedOn w:val="Normal"/>
    <w:next w:val="Normal"/>
    <w:autoRedefine/>
    <w:uiPriority w:val="39"/>
    <w:unhideWhenUsed/>
    <w:rsid w:val="0064010E"/>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64010E"/>
    <w:pPr>
      <w:spacing w:before="120" w:after="0"/>
      <w:ind w:left="220"/>
    </w:pPr>
    <w:rPr>
      <w:rFonts w:asciiTheme="minorHAnsi" w:hAnsiTheme="minorHAnsi" w:cstheme="minorHAnsi"/>
      <w:b/>
      <w:bCs/>
    </w:rPr>
  </w:style>
  <w:style w:type="paragraph" w:styleId="TDC3">
    <w:name w:val="toc 3"/>
    <w:basedOn w:val="Normal"/>
    <w:next w:val="Normal"/>
    <w:autoRedefine/>
    <w:uiPriority w:val="39"/>
    <w:unhideWhenUsed/>
    <w:rsid w:val="0064010E"/>
    <w:pPr>
      <w:spacing w:after="0"/>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64010E"/>
    <w:pPr>
      <w:spacing w:after="0"/>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64010E"/>
    <w:pPr>
      <w:spacing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64010E"/>
    <w:pPr>
      <w:spacing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64010E"/>
    <w:pPr>
      <w:spacing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64010E"/>
    <w:pPr>
      <w:spacing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64010E"/>
    <w:pPr>
      <w:spacing w:after="0"/>
      <w:ind w:left="1760"/>
    </w:pPr>
    <w:rPr>
      <w:rFonts w:asciiTheme="minorHAnsi" w:hAnsiTheme="minorHAnsi" w:cstheme="minorHAnsi"/>
      <w:sz w:val="20"/>
      <w:szCs w:val="20"/>
    </w:rPr>
  </w:style>
  <w:style w:type="paragraph" w:customStyle="1" w:styleId="xl66">
    <w:name w:val="xl66"/>
    <w:basedOn w:val="Normal"/>
    <w:rsid w:val="0097689E"/>
    <w:pPr>
      <w:spacing w:before="100" w:beforeAutospacing="1" w:after="100" w:afterAutospacing="1" w:line="240" w:lineRule="auto"/>
    </w:pPr>
    <w:rPr>
      <w:rFonts w:ascii="Times New Roman" w:eastAsia="Times New Roman" w:hAnsi="Times New Roman"/>
      <w:b/>
      <w:bCs/>
      <w:sz w:val="24"/>
      <w:szCs w:val="24"/>
      <w:lang w:eastAsia="es-CR"/>
    </w:rPr>
  </w:style>
  <w:style w:type="paragraph" w:customStyle="1" w:styleId="xl67">
    <w:name w:val="xl67"/>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b/>
      <w:bCs/>
      <w:sz w:val="16"/>
      <w:szCs w:val="16"/>
      <w:lang w:eastAsia="es-CR"/>
    </w:rPr>
  </w:style>
  <w:style w:type="paragraph" w:customStyle="1" w:styleId="xl68">
    <w:name w:val="xl68"/>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b/>
      <w:bCs/>
      <w:sz w:val="16"/>
      <w:szCs w:val="16"/>
      <w:lang w:eastAsia="es-CR"/>
    </w:rPr>
  </w:style>
  <w:style w:type="paragraph" w:customStyle="1" w:styleId="xl69">
    <w:name w:val="xl69"/>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0">
    <w:name w:val="xl70"/>
    <w:basedOn w:val="Normal"/>
    <w:rsid w:val="009768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1">
    <w:name w:val="xl71"/>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2">
    <w:name w:val="xl72"/>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3">
    <w:name w:val="xl73"/>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4">
    <w:name w:val="xl74"/>
    <w:basedOn w:val="Normal"/>
    <w:rsid w:val="009768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5">
    <w:name w:val="xl75"/>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6">
    <w:name w:val="xl76"/>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7">
    <w:name w:val="xl77"/>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8">
    <w:name w:val="xl78"/>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9">
    <w:name w:val="xl79"/>
    <w:basedOn w:val="Normal"/>
    <w:rsid w:val="0097689E"/>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80">
    <w:name w:val="xl80"/>
    <w:basedOn w:val="Normal"/>
    <w:rsid w:val="0097689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81">
    <w:name w:val="xl81"/>
    <w:basedOn w:val="Normal"/>
    <w:rsid w:val="0097689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noparagraphstyle">
    <w:name w:val="noparagraphstyle"/>
    <w:basedOn w:val="Normal"/>
    <w:rsid w:val="005E194C"/>
    <w:pPr>
      <w:spacing w:before="100" w:beforeAutospacing="1" w:after="100" w:afterAutospacing="1" w:line="240" w:lineRule="auto"/>
    </w:pPr>
    <w:rPr>
      <w:rFonts w:ascii="Times New Roman" w:eastAsia="Times New Roman" w:hAnsi="Times New Roman"/>
      <w:sz w:val="24"/>
      <w:szCs w:val="24"/>
      <w:lang w:val="en-US"/>
    </w:rPr>
  </w:style>
  <w:style w:type="paragraph" w:styleId="Asuntodelcomentario">
    <w:name w:val="annotation subject"/>
    <w:basedOn w:val="Textocomentario"/>
    <w:next w:val="Textocomentario"/>
    <w:link w:val="AsuntodelcomentarioCar"/>
    <w:uiPriority w:val="99"/>
    <w:semiHidden/>
    <w:unhideWhenUsed/>
    <w:rsid w:val="0091220E"/>
    <w:pPr>
      <w:spacing w:after="200"/>
    </w:pPr>
    <w:rPr>
      <w:rFonts w:ascii="Calibri" w:hAnsi="Calibri"/>
      <w:b/>
      <w:bCs/>
      <w:lang w:val="es-CR" w:eastAsia="en-US"/>
    </w:rPr>
  </w:style>
  <w:style w:type="character" w:customStyle="1" w:styleId="AsuntodelcomentarioCar">
    <w:name w:val="Asunto del comentario Car"/>
    <w:basedOn w:val="TextocomentarioCar"/>
    <w:link w:val="Asuntodelcomentario"/>
    <w:uiPriority w:val="99"/>
    <w:semiHidden/>
    <w:rsid w:val="0091220E"/>
    <w:rPr>
      <w:rFonts w:ascii="Calibri" w:eastAsia="Calibri" w:hAnsi="Calibri" w:cs="Times New Roman"/>
      <w:b/>
      <w:bCs/>
      <w:sz w:val="20"/>
      <w:szCs w:val="20"/>
      <w:lang w:val="es-ES_tradnl" w:eastAsia="es-ES"/>
    </w:rPr>
  </w:style>
  <w:style w:type="paragraph" w:customStyle="1" w:styleId="xmsonormal">
    <w:name w:val="x_msonormal"/>
    <w:basedOn w:val="Normal"/>
    <w:rsid w:val="00EA10B9"/>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aragraph">
    <w:name w:val="paragraph"/>
    <w:basedOn w:val="Normal"/>
    <w:rsid w:val="00844CC5"/>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normaltextrun">
    <w:name w:val="normaltextrun"/>
    <w:basedOn w:val="Fuentedeprrafopredeter"/>
    <w:rsid w:val="00844CC5"/>
  </w:style>
  <w:style w:type="character" w:customStyle="1" w:styleId="eop">
    <w:name w:val="eop"/>
    <w:basedOn w:val="Fuentedeprrafopredeter"/>
    <w:rsid w:val="0084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308">
      <w:bodyDiv w:val="1"/>
      <w:marLeft w:val="0"/>
      <w:marRight w:val="0"/>
      <w:marTop w:val="0"/>
      <w:marBottom w:val="0"/>
      <w:divBdr>
        <w:top w:val="none" w:sz="0" w:space="0" w:color="auto"/>
        <w:left w:val="none" w:sz="0" w:space="0" w:color="auto"/>
        <w:bottom w:val="none" w:sz="0" w:space="0" w:color="auto"/>
        <w:right w:val="none" w:sz="0" w:space="0" w:color="auto"/>
      </w:divBdr>
    </w:div>
    <w:div w:id="7105346">
      <w:bodyDiv w:val="1"/>
      <w:marLeft w:val="0"/>
      <w:marRight w:val="0"/>
      <w:marTop w:val="0"/>
      <w:marBottom w:val="0"/>
      <w:divBdr>
        <w:top w:val="none" w:sz="0" w:space="0" w:color="auto"/>
        <w:left w:val="none" w:sz="0" w:space="0" w:color="auto"/>
        <w:bottom w:val="none" w:sz="0" w:space="0" w:color="auto"/>
        <w:right w:val="none" w:sz="0" w:space="0" w:color="auto"/>
      </w:divBdr>
    </w:div>
    <w:div w:id="11807964">
      <w:bodyDiv w:val="1"/>
      <w:marLeft w:val="0"/>
      <w:marRight w:val="0"/>
      <w:marTop w:val="0"/>
      <w:marBottom w:val="0"/>
      <w:divBdr>
        <w:top w:val="none" w:sz="0" w:space="0" w:color="auto"/>
        <w:left w:val="none" w:sz="0" w:space="0" w:color="auto"/>
        <w:bottom w:val="none" w:sz="0" w:space="0" w:color="auto"/>
        <w:right w:val="none" w:sz="0" w:space="0" w:color="auto"/>
      </w:divBdr>
    </w:div>
    <w:div w:id="52588126">
      <w:bodyDiv w:val="1"/>
      <w:marLeft w:val="0"/>
      <w:marRight w:val="0"/>
      <w:marTop w:val="0"/>
      <w:marBottom w:val="0"/>
      <w:divBdr>
        <w:top w:val="none" w:sz="0" w:space="0" w:color="auto"/>
        <w:left w:val="none" w:sz="0" w:space="0" w:color="auto"/>
        <w:bottom w:val="none" w:sz="0" w:space="0" w:color="auto"/>
        <w:right w:val="none" w:sz="0" w:space="0" w:color="auto"/>
      </w:divBdr>
    </w:div>
    <w:div w:id="54089585">
      <w:bodyDiv w:val="1"/>
      <w:marLeft w:val="0"/>
      <w:marRight w:val="0"/>
      <w:marTop w:val="0"/>
      <w:marBottom w:val="0"/>
      <w:divBdr>
        <w:top w:val="none" w:sz="0" w:space="0" w:color="auto"/>
        <w:left w:val="none" w:sz="0" w:space="0" w:color="auto"/>
        <w:bottom w:val="none" w:sz="0" w:space="0" w:color="auto"/>
        <w:right w:val="none" w:sz="0" w:space="0" w:color="auto"/>
      </w:divBdr>
    </w:div>
    <w:div w:id="57753570">
      <w:bodyDiv w:val="1"/>
      <w:marLeft w:val="0"/>
      <w:marRight w:val="0"/>
      <w:marTop w:val="0"/>
      <w:marBottom w:val="0"/>
      <w:divBdr>
        <w:top w:val="none" w:sz="0" w:space="0" w:color="auto"/>
        <w:left w:val="none" w:sz="0" w:space="0" w:color="auto"/>
        <w:bottom w:val="none" w:sz="0" w:space="0" w:color="auto"/>
        <w:right w:val="none" w:sz="0" w:space="0" w:color="auto"/>
      </w:divBdr>
    </w:div>
    <w:div w:id="67265694">
      <w:bodyDiv w:val="1"/>
      <w:marLeft w:val="0"/>
      <w:marRight w:val="0"/>
      <w:marTop w:val="0"/>
      <w:marBottom w:val="0"/>
      <w:divBdr>
        <w:top w:val="none" w:sz="0" w:space="0" w:color="auto"/>
        <w:left w:val="none" w:sz="0" w:space="0" w:color="auto"/>
        <w:bottom w:val="none" w:sz="0" w:space="0" w:color="auto"/>
        <w:right w:val="none" w:sz="0" w:space="0" w:color="auto"/>
      </w:divBdr>
    </w:div>
    <w:div w:id="72555962">
      <w:bodyDiv w:val="1"/>
      <w:marLeft w:val="0"/>
      <w:marRight w:val="0"/>
      <w:marTop w:val="0"/>
      <w:marBottom w:val="0"/>
      <w:divBdr>
        <w:top w:val="none" w:sz="0" w:space="0" w:color="auto"/>
        <w:left w:val="none" w:sz="0" w:space="0" w:color="auto"/>
        <w:bottom w:val="none" w:sz="0" w:space="0" w:color="auto"/>
        <w:right w:val="none" w:sz="0" w:space="0" w:color="auto"/>
      </w:divBdr>
    </w:div>
    <w:div w:id="73742457">
      <w:bodyDiv w:val="1"/>
      <w:marLeft w:val="0"/>
      <w:marRight w:val="0"/>
      <w:marTop w:val="0"/>
      <w:marBottom w:val="0"/>
      <w:divBdr>
        <w:top w:val="none" w:sz="0" w:space="0" w:color="auto"/>
        <w:left w:val="none" w:sz="0" w:space="0" w:color="auto"/>
        <w:bottom w:val="none" w:sz="0" w:space="0" w:color="auto"/>
        <w:right w:val="none" w:sz="0" w:space="0" w:color="auto"/>
      </w:divBdr>
    </w:div>
    <w:div w:id="83962889">
      <w:bodyDiv w:val="1"/>
      <w:marLeft w:val="0"/>
      <w:marRight w:val="0"/>
      <w:marTop w:val="0"/>
      <w:marBottom w:val="0"/>
      <w:divBdr>
        <w:top w:val="none" w:sz="0" w:space="0" w:color="auto"/>
        <w:left w:val="none" w:sz="0" w:space="0" w:color="auto"/>
        <w:bottom w:val="none" w:sz="0" w:space="0" w:color="auto"/>
        <w:right w:val="none" w:sz="0" w:space="0" w:color="auto"/>
      </w:divBdr>
    </w:div>
    <w:div w:id="89326397">
      <w:bodyDiv w:val="1"/>
      <w:marLeft w:val="0"/>
      <w:marRight w:val="0"/>
      <w:marTop w:val="0"/>
      <w:marBottom w:val="0"/>
      <w:divBdr>
        <w:top w:val="none" w:sz="0" w:space="0" w:color="auto"/>
        <w:left w:val="none" w:sz="0" w:space="0" w:color="auto"/>
        <w:bottom w:val="none" w:sz="0" w:space="0" w:color="auto"/>
        <w:right w:val="none" w:sz="0" w:space="0" w:color="auto"/>
      </w:divBdr>
    </w:div>
    <w:div w:id="89471814">
      <w:bodyDiv w:val="1"/>
      <w:marLeft w:val="0"/>
      <w:marRight w:val="0"/>
      <w:marTop w:val="0"/>
      <w:marBottom w:val="0"/>
      <w:divBdr>
        <w:top w:val="none" w:sz="0" w:space="0" w:color="auto"/>
        <w:left w:val="none" w:sz="0" w:space="0" w:color="auto"/>
        <w:bottom w:val="none" w:sz="0" w:space="0" w:color="auto"/>
        <w:right w:val="none" w:sz="0" w:space="0" w:color="auto"/>
      </w:divBdr>
    </w:div>
    <w:div w:id="93062004">
      <w:bodyDiv w:val="1"/>
      <w:marLeft w:val="0"/>
      <w:marRight w:val="0"/>
      <w:marTop w:val="0"/>
      <w:marBottom w:val="0"/>
      <w:divBdr>
        <w:top w:val="none" w:sz="0" w:space="0" w:color="auto"/>
        <w:left w:val="none" w:sz="0" w:space="0" w:color="auto"/>
        <w:bottom w:val="none" w:sz="0" w:space="0" w:color="auto"/>
        <w:right w:val="none" w:sz="0" w:space="0" w:color="auto"/>
      </w:divBdr>
    </w:div>
    <w:div w:id="93938985">
      <w:bodyDiv w:val="1"/>
      <w:marLeft w:val="0"/>
      <w:marRight w:val="0"/>
      <w:marTop w:val="0"/>
      <w:marBottom w:val="0"/>
      <w:divBdr>
        <w:top w:val="none" w:sz="0" w:space="0" w:color="auto"/>
        <w:left w:val="none" w:sz="0" w:space="0" w:color="auto"/>
        <w:bottom w:val="none" w:sz="0" w:space="0" w:color="auto"/>
        <w:right w:val="none" w:sz="0" w:space="0" w:color="auto"/>
      </w:divBdr>
    </w:div>
    <w:div w:id="113717188">
      <w:bodyDiv w:val="1"/>
      <w:marLeft w:val="0"/>
      <w:marRight w:val="0"/>
      <w:marTop w:val="0"/>
      <w:marBottom w:val="0"/>
      <w:divBdr>
        <w:top w:val="none" w:sz="0" w:space="0" w:color="auto"/>
        <w:left w:val="none" w:sz="0" w:space="0" w:color="auto"/>
        <w:bottom w:val="none" w:sz="0" w:space="0" w:color="auto"/>
        <w:right w:val="none" w:sz="0" w:space="0" w:color="auto"/>
      </w:divBdr>
    </w:div>
    <w:div w:id="114059135">
      <w:bodyDiv w:val="1"/>
      <w:marLeft w:val="0"/>
      <w:marRight w:val="0"/>
      <w:marTop w:val="0"/>
      <w:marBottom w:val="0"/>
      <w:divBdr>
        <w:top w:val="none" w:sz="0" w:space="0" w:color="auto"/>
        <w:left w:val="none" w:sz="0" w:space="0" w:color="auto"/>
        <w:bottom w:val="none" w:sz="0" w:space="0" w:color="auto"/>
        <w:right w:val="none" w:sz="0" w:space="0" w:color="auto"/>
      </w:divBdr>
    </w:div>
    <w:div w:id="136460408">
      <w:bodyDiv w:val="1"/>
      <w:marLeft w:val="0"/>
      <w:marRight w:val="0"/>
      <w:marTop w:val="0"/>
      <w:marBottom w:val="0"/>
      <w:divBdr>
        <w:top w:val="none" w:sz="0" w:space="0" w:color="auto"/>
        <w:left w:val="none" w:sz="0" w:space="0" w:color="auto"/>
        <w:bottom w:val="none" w:sz="0" w:space="0" w:color="auto"/>
        <w:right w:val="none" w:sz="0" w:space="0" w:color="auto"/>
      </w:divBdr>
    </w:div>
    <w:div w:id="163663702">
      <w:bodyDiv w:val="1"/>
      <w:marLeft w:val="0"/>
      <w:marRight w:val="0"/>
      <w:marTop w:val="0"/>
      <w:marBottom w:val="0"/>
      <w:divBdr>
        <w:top w:val="none" w:sz="0" w:space="0" w:color="auto"/>
        <w:left w:val="none" w:sz="0" w:space="0" w:color="auto"/>
        <w:bottom w:val="none" w:sz="0" w:space="0" w:color="auto"/>
        <w:right w:val="none" w:sz="0" w:space="0" w:color="auto"/>
      </w:divBdr>
    </w:div>
    <w:div w:id="164828200">
      <w:bodyDiv w:val="1"/>
      <w:marLeft w:val="0"/>
      <w:marRight w:val="0"/>
      <w:marTop w:val="0"/>
      <w:marBottom w:val="0"/>
      <w:divBdr>
        <w:top w:val="none" w:sz="0" w:space="0" w:color="auto"/>
        <w:left w:val="none" w:sz="0" w:space="0" w:color="auto"/>
        <w:bottom w:val="none" w:sz="0" w:space="0" w:color="auto"/>
        <w:right w:val="none" w:sz="0" w:space="0" w:color="auto"/>
      </w:divBdr>
    </w:div>
    <w:div w:id="176045584">
      <w:bodyDiv w:val="1"/>
      <w:marLeft w:val="0"/>
      <w:marRight w:val="0"/>
      <w:marTop w:val="0"/>
      <w:marBottom w:val="0"/>
      <w:divBdr>
        <w:top w:val="none" w:sz="0" w:space="0" w:color="auto"/>
        <w:left w:val="none" w:sz="0" w:space="0" w:color="auto"/>
        <w:bottom w:val="none" w:sz="0" w:space="0" w:color="auto"/>
        <w:right w:val="none" w:sz="0" w:space="0" w:color="auto"/>
      </w:divBdr>
    </w:div>
    <w:div w:id="183248708">
      <w:bodyDiv w:val="1"/>
      <w:marLeft w:val="0"/>
      <w:marRight w:val="0"/>
      <w:marTop w:val="0"/>
      <w:marBottom w:val="0"/>
      <w:divBdr>
        <w:top w:val="none" w:sz="0" w:space="0" w:color="auto"/>
        <w:left w:val="none" w:sz="0" w:space="0" w:color="auto"/>
        <w:bottom w:val="none" w:sz="0" w:space="0" w:color="auto"/>
        <w:right w:val="none" w:sz="0" w:space="0" w:color="auto"/>
      </w:divBdr>
    </w:div>
    <w:div w:id="186874878">
      <w:bodyDiv w:val="1"/>
      <w:marLeft w:val="0"/>
      <w:marRight w:val="0"/>
      <w:marTop w:val="0"/>
      <w:marBottom w:val="0"/>
      <w:divBdr>
        <w:top w:val="none" w:sz="0" w:space="0" w:color="auto"/>
        <w:left w:val="none" w:sz="0" w:space="0" w:color="auto"/>
        <w:bottom w:val="none" w:sz="0" w:space="0" w:color="auto"/>
        <w:right w:val="none" w:sz="0" w:space="0" w:color="auto"/>
      </w:divBdr>
    </w:div>
    <w:div w:id="189954490">
      <w:bodyDiv w:val="1"/>
      <w:marLeft w:val="0"/>
      <w:marRight w:val="0"/>
      <w:marTop w:val="0"/>
      <w:marBottom w:val="0"/>
      <w:divBdr>
        <w:top w:val="none" w:sz="0" w:space="0" w:color="auto"/>
        <w:left w:val="none" w:sz="0" w:space="0" w:color="auto"/>
        <w:bottom w:val="none" w:sz="0" w:space="0" w:color="auto"/>
        <w:right w:val="none" w:sz="0" w:space="0" w:color="auto"/>
      </w:divBdr>
    </w:div>
    <w:div w:id="211843959">
      <w:bodyDiv w:val="1"/>
      <w:marLeft w:val="0"/>
      <w:marRight w:val="0"/>
      <w:marTop w:val="0"/>
      <w:marBottom w:val="0"/>
      <w:divBdr>
        <w:top w:val="none" w:sz="0" w:space="0" w:color="auto"/>
        <w:left w:val="none" w:sz="0" w:space="0" w:color="auto"/>
        <w:bottom w:val="none" w:sz="0" w:space="0" w:color="auto"/>
        <w:right w:val="none" w:sz="0" w:space="0" w:color="auto"/>
      </w:divBdr>
    </w:div>
    <w:div w:id="221866431">
      <w:bodyDiv w:val="1"/>
      <w:marLeft w:val="0"/>
      <w:marRight w:val="0"/>
      <w:marTop w:val="0"/>
      <w:marBottom w:val="0"/>
      <w:divBdr>
        <w:top w:val="none" w:sz="0" w:space="0" w:color="auto"/>
        <w:left w:val="none" w:sz="0" w:space="0" w:color="auto"/>
        <w:bottom w:val="none" w:sz="0" w:space="0" w:color="auto"/>
        <w:right w:val="none" w:sz="0" w:space="0" w:color="auto"/>
      </w:divBdr>
    </w:div>
    <w:div w:id="233319371">
      <w:bodyDiv w:val="1"/>
      <w:marLeft w:val="0"/>
      <w:marRight w:val="0"/>
      <w:marTop w:val="0"/>
      <w:marBottom w:val="0"/>
      <w:divBdr>
        <w:top w:val="none" w:sz="0" w:space="0" w:color="auto"/>
        <w:left w:val="none" w:sz="0" w:space="0" w:color="auto"/>
        <w:bottom w:val="none" w:sz="0" w:space="0" w:color="auto"/>
        <w:right w:val="none" w:sz="0" w:space="0" w:color="auto"/>
      </w:divBdr>
    </w:div>
    <w:div w:id="233469371">
      <w:bodyDiv w:val="1"/>
      <w:marLeft w:val="0"/>
      <w:marRight w:val="0"/>
      <w:marTop w:val="0"/>
      <w:marBottom w:val="0"/>
      <w:divBdr>
        <w:top w:val="none" w:sz="0" w:space="0" w:color="auto"/>
        <w:left w:val="none" w:sz="0" w:space="0" w:color="auto"/>
        <w:bottom w:val="none" w:sz="0" w:space="0" w:color="auto"/>
        <w:right w:val="none" w:sz="0" w:space="0" w:color="auto"/>
      </w:divBdr>
    </w:div>
    <w:div w:id="235405471">
      <w:bodyDiv w:val="1"/>
      <w:marLeft w:val="0"/>
      <w:marRight w:val="0"/>
      <w:marTop w:val="0"/>
      <w:marBottom w:val="0"/>
      <w:divBdr>
        <w:top w:val="none" w:sz="0" w:space="0" w:color="auto"/>
        <w:left w:val="none" w:sz="0" w:space="0" w:color="auto"/>
        <w:bottom w:val="none" w:sz="0" w:space="0" w:color="auto"/>
        <w:right w:val="none" w:sz="0" w:space="0" w:color="auto"/>
      </w:divBdr>
    </w:div>
    <w:div w:id="239484008">
      <w:bodyDiv w:val="1"/>
      <w:marLeft w:val="0"/>
      <w:marRight w:val="0"/>
      <w:marTop w:val="0"/>
      <w:marBottom w:val="0"/>
      <w:divBdr>
        <w:top w:val="none" w:sz="0" w:space="0" w:color="auto"/>
        <w:left w:val="none" w:sz="0" w:space="0" w:color="auto"/>
        <w:bottom w:val="none" w:sz="0" w:space="0" w:color="auto"/>
        <w:right w:val="none" w:sz="0" w:space="0" w:color="auto"/>
      </w:divBdr>
    </w:div>
    <w:div w:id="240261724">
      <w:bodyDiv w:val="1"/>
      <w:marLeft w:val="0"/>
      <w:marRight w:val="0"/>
      <w:marTop w:val="0"/>
      <w:marBottom w:val="0"/>
      <w:divBdr>
        <w:top w:val="none" w:sz="0" w:space="0" w:color="auto"/>
        <w:left w:val="none" w:sz="0" w:space="0" w:color="auto"/>
        <w:bottom w:val="none" w:sz="0" w:space="0" w:color="auto"/>
        <w:right w:val="none" w:sz="0" w:space="0" w:color="auto"/>
      </w:divBdr>
    </w:div>
    <w:div w:id="244387715">
      <w:bodyDiv w:val="1"/>
      <w:marLeft w:val="0"/>
      <w:marRight w:val="0"/>
      <w:marTop w:val="0"/>
      <w:marBottom w:val="0"/>
      <w:divBdr>
        <w:top w:val="none" w:sz="0" w:space="0" w:color="auto"/>
        <w:left w:val="none" w:sz="0" w:space="0" w:color="auto"/>
        <w:bottom w:val="none" w:sz="0" w:space="0" w:color="auto"/>
        <w:right w:val="none" w:sz="0" w:space="0" w:color="auto"/>
      </w:divBdr>
    </w:div>
    <w:div w:id="248852801">
      <w:bodyDiv w:val="1"/>
      <w:marLeft w:val="0"/>
      <w:marRight w:val="0"/>
      <w:marTop w:val="0"/>
      <w:marBottom w:val="0"/>
      <w:divBdr>
        <w:top w:val="none" w:sz="0" w:space="0" w:color="auto"/>
        <w:left w:val="none" w:sz="0" w:space="0" w:color="auto"/>
        <w:bottom w:val="none" w:sz="0" w:space="0" w:color="auto"/>
        <w:right w:val="none" w:sz="0" w:space="0" w:color="auto"/>
      </w:divBdr>
    </w:div>
    <w:div w:id="255526769">
      <w:bodyDiv w:val="1"/>
      <w:marLeft w:val="0"/>
      <w:marRight w:val="0"/>
      <w:marTop w:val="0"/>
      <w:marBottom w:val="0"/>
      <w:divBdr>
        <w:top w:val="none" w:sz="0" w:space="0" w:color="auto"/>
        <w:left w:val="none" w:sz="0" w:space="0" w:color="auto"/>
        <w:bottom w:val="none" w:sz="0" w:space="0" w:color="auto"/>
        <w:right w:val="none" w:sz="0" w:space="0" w:color="auto"/>
      </w:divBdr>
    </w:div>
    <w:div w:id="256056733">
      <w:bodyDiv w:val="1"/>
      <w:marLeft w:val="0"/>
      <w:marRight w:val="0"/>
      <w:marTop w:val="0"/>
      <w:marBottom w:val="0"/>
      <w:divBdr>
        <w:top w:val="none" w:sz="0" w:space="0" w:color="auto"/>
        <w:left w:val="none" w:sz="0" w:space="0" w:color="auto"/>
        <w:bottom w:val="none" w:sz="0" w:space="0" w:color="auto"/>
        <w:right w:val="none" w:sz="0" w:space="0" w:color="auto"/>
      </w:divBdr>
    </w:div>
    <w:div w:id="261571835">
      <w:bodyDiv w:val="1"/>
      <w:marLeft w:val="0"/>
      <w:marRight w:val="0"/>
      <w:marTop w:val="0"/>
      <w:marBottom w:val="0"/>
      <w:divBdr>
        <w:top w:val="none" w:sz="0" w:space="0" w:color="auto"/>
        <w:left w:val="none" w:sz="0" w:space="0" w:color="auto"/>
        <w:bottom w:val="none" w:sz="0" w:space="0" w:color="auto"/>
        <w:right w:val="none" w:sz="0" w:space="0" w:color="auto"/>
      </w:divBdr>
    </w:div>
    <w:div w:id="271057190">
      <w:bodyDiv w:val="1"/>
      <w:marLeft w:val="0"/>
      <w:marRight w:val="0"/>
      <w:marTop w:val="0"/>
      <w:marBottom w:val="0"/>
      <w:divBdr>
        <w:top w:val="none" w:sz="0" w:space="0" w:color="auto"/>
        <w:left w:val="none" w:sz="0" w:space="0" w:color="auto"/>
        <w:bottom w:val="none" w:sz="0" w:space="0" w:color="auto"/>
        <w:right w:val="none" w:sz="0" w:space="0" w:color="auto"/>
      </w:divBdr>
    </w:div>
    <w:div w:id="276063015">
      <w:bodyDiv w:val="1"/>
      <w:marLeft w:val="0"/>
      <w:marRight w:val="0"/>
      <w:marTop w:val="0"/>
      <w:marBottom w:val="0"/>
      <w:divBdr>
        <w:top w:val="none" w:sz="0" w:space="0" w:color="auto"/>
        <w:left w:val="none" w:sz="0" w:space="0" w:color="auto"/>
        <w:bottom w:val="none" w:sz="0" w:space="0" w:color="auto"/>
        <w:right w:val="none" w:sz="0" w:space="0" w:color="auto"/>
      </w:divBdr>
    </w:div>
    <w:div w:id="287592352">
      <w:bodyDiv w:val="1"/>
      <w:marLeft w:val="0"/>
      <w:marRight w:val="0"/>
      <w:marTop w:val="0"/>
      <w:marBottom w:val="0"/>
      <w:divBdr>
        <w:top w:val="none" w:sz="0" w:space="0" w:color="auto"/>
        <w:left w:val="none" w:sz="0" w:space="0" w:color="auto"/>
        <w:bottom w:val="none" w:sz="0" w:space="0" w:color="auto"/>
        <w:right w:val="none" w:sz="0" w:space="0" w:color="auto"/>
      </w:divBdr>
    </w:div>
    <w:div w:id="311300000">
      <w:bodyDiv w:val="1"/>
      <w:marLeft w:val="0"/>
      <w:marRight w:val="0"/>
      <w:marTop w:val="0"/>
      <w:marBottom w:val="0"/>
      <w:divBdr>
        <w:top w:val="none" w:sz="0" w:space="0" w:color="auto"/>
        <w:left w:val="none" w:sz="0" w:space="0" w:color="auto"/>
        <w:bottom w:val="none" w:sz="0" w:space="0" w:color="auto"/>
        <w:right w:val="none" w:sz="0" w:space="0" w:color="auto"/>
      </w:divBdr>
    </w:div>
    <w:div w:id="311519953">
      <w:bodyDiv w:val="1"/>
      <w:marLeft w:val="0"/>
      <w:marRight w:val="0"/>
      <w:marTop w:val="0"/>
      <w:marBottom w:val="0"/>
      <w:divBdr>
        <w:top w:val="none" w:sz="0" w:space="0" w:color="auto"/>
        <w:left w:val="none" w:sz="0" w:space="0" w:color="auto"/>
        <w:bottom w:val="none" w:sz="0" w:space="0" w:color="auto"/>
        <w:right w:val="none" w:sz="0" w:space="0" w:color="auto"/>
      </w:divBdr>
    </w:div>
    <w:div w:id="318727099">
      <w:bodyDiv w:val="1"/>
      <w:marLeft w:val="0"/>
      <w:marRight w:val="0"/>
      <w:marTop w:val="0"/>
      <w:marBottom w:val="0"/>
      <w:divBdr>
        <w:top w:val="none" w:sz="0" w:space="0" w:color="auto"/>
        <w:left w:val="none" w:sz="0" w:space="0" w:color="auto"/>
        <w:bottom w:val="none" w:sz="0" w:space="0" w:color="auto"/>
        <w:right w:val="none" w:sz="0" w:space="0" w:color="auto"/>
      </w:divBdr>
    </w:div>
    <w:div w:id="331446343">
      <w:bodyDiv w:val="1"/>
      <w:marLeft w:val="0"/>
      <w:marRight w:val="0"/>
      <w:marTop w:val="0"/>
      <w:marBottom w:val="0"/>
      <w:divBdr>
        <w:top w:val="none" w:sz="0" w:space="0" w:color="auto"/>
        <w:left w:val="none" w:sz="0" w:space="0" w:color="auto"/>
        <w:bottom w:val="none" w:sz="0" w:space="0" w:color="auto"/>
        <w:right w:val="none" w:sz="0" w:space="0" w:color="auto"/>
      </w:divBdr>
    </w:div>
    <w:div w:id="347024805">
      <w:bodyDiv w:val="1"/>
      <w:marLeft w:val="0"/>
      <w:marRight w:val="0"/>
      <w:marTop w:val="0"/>
      <w:marBottom w:val="0"/>
      <w:divBdr>
        <w:top w:val="none" w:sz="0" w:space="0" w:color="auto"/>
        <w:left w:val="none" w:sz="0" w:space="0" w:color="auto"/>
        <w:bottom w:val="none" w:sz="0" w:space="0" w:color="auto"/>
        <w:right w:val="none" w:sz="0" w:space="0" w:color="auto"/>
      </w:divBdr>
    </w:div>
    <w:div w:id="359667365">
      <w:bodyDiv w:val="1"/>
      <w:marLeft w:val="0"/>
      <w:marRight w:val="0"/>
      <w:marTop w:val="0"/>
      <w:marBottom w:val="0"/>
      <w:divBdr>
        <w:top w:val="none" w:sz="0" w:space="0" w:color="auto"/>
        <w:left w:val="none" w:sz="0" w:space="0" w:color="auto"/>
        <w:bottom w:val="none" w:sz="0" w:space="0" w:color="auto"/>
        <w:right w:val="none" w:sz="0" w:space="0" w:color="auto"/>
      </w:divBdr>
    </w:div>
    <w:div w:id="369961818">
      <w:bodyDiv w:val="1"/>
      <w:marLeft w:val="0"/>
      <w:marRight w:val="0"/>
      <w:marTop w:val="0"/>
      <w:marBottom w:val="0"/>
      <w:divBdr>
        <w:top w:val="none" w:sz="0" w:space="0" w:color="auto"/>
        <w:left w:val="none" w:sz="0" w:space="0" w:color="auto"/>
        <w:bottom w:val="none" w:sz="0" w:space="0" w:color="auto"/>
        <w:right w:val="none" w:sz="0" w:space="0" w:color="auto"/>
      </w:divBdr>
    </w:div>
    <w:div w:id="376466349">
      <w:bodyDiv w:val="1"/>
      <w:marLeft w:val="0"/>
      <w:marRight w:val="0"/>
      <w:marTop w:val="0"/>
      <w:marBottom w:val="0"/>
      <w:divBdr>
        <w:top w:val="none" w:sz="0" w:space="0" w:color="auto"/>
        <w:left w:val="none" w:sz="0" w:space="0" w:color="auto"/>
        <w:bottom w:val="none" w:sz="0" w:space="0" w:color="auto"/>
        <w:right w:val="none" w:sz="0" w:space="0" w:color="auto"/>
      </w:divBdr>
    </w:div>
    <w:div w:id="377051673">
      <w:bodyDiv w:val="1"/>
      <w:marLeft w:val="0"/>
      <w:marRight w:val="0"/>
      <w:marTop w:val="0"/>
      <w:marBottom w:val="0"/>
      <w:divBdr>
        <w:top w:val="none" w:sz="0" w:space="0" w:color="auto"/>
        <w:left w:val="none" w:sz="0" w:space="0" w:color="auto"/>
        <w:bottom w:val="none" w:sz="0" w:space="0" w:color="auto"/>
        <w:right w:val="none" w:sz="0" w:space="0" w:color="auto"/>
      </w:divBdr>
    </w:div>
    <w:div w:id="384910733">
      <w:bodyDiv w:val="1"/>
      <w:marLeft w:val="0"/>
      <w:marRight w:val="0"/>
      <w:marTop w:val="0"/>
      <w:marBottom w:val="0"/>
      <w:divBdr>
        <w:top w:val="none" w:sz="0" w:space="0" w:color="auto"/>
        <w:left w:val="none" w:sz="0" w:space="0" w:color="auto"/>
        <w:bottom w:val="none" w:sz="0" w:space="0" w:color="auto"/>
        <w:right w:val="none" w:sz="0" w:space="0" w:color="auto"/>
      </w:divBdr>
    </w:div>
    <w:div w:id="392578609">
      <w:bodyDiv w:val="1"/>
      <w:marLeft w:val="0"/>
      <w:marRight w:val="0"/>
      <w:marTop w:val="0"/>
      <w:marBottom w:val="0"/>
      <w:divBdr>
        <w:top w:val="none" w:sz="0" w:space="0" w:color="auto"/>
        <w:left w:val="none" w:sz="0" w:space="0" w:color="auto"/>
        <w:bottom w:val="none" w:sz="0" w:space="0" w:color="auto"/>
        <w:right w:val="none" w:sz="0" w:space="0" w:color="auto"/>
      </w:divBdr>
    </w:div>
    <w:div w:id="401954919">
      <w:bodyDiv w:val="1"/>
      <w:marLeft w:val="0"/>
      <w:marRight w:val="0"/>
      <w:marTop w:val="0"/>
      <w:marBottom w:val="0"/>
      <w:divBdr>
        <w:top w:val="none" w:sz="0" w:space="0" w:color="auto"/>
        <w:left w:val="none" w:sz="0" w:space="0" w:color="auto"/>
        <w:bottom w:val="none" w:sz="0" w:space="0" w:color="auto"/>
        <w:right w:val="none" w:sz="0" w:space="0" w:color="auto"/>
      </w:divBdr>
    </w:div>
    <w:div w:id="418143044">
      <w:bodyDiv w:val="1"/>
      <w:marLeft w:val="0"/>
      <w:marRight w:val="0"/>
      <w:marTop w:val="0"/>
      <w:marBottom w:val="0"/>
      <w:divBdr>
        <w:top w:val="none" w:sz="0" w:space="0" w:color="auto"/>
        <w:left w:val="none" w:sz="0" w:space="0" w:color="auto"/>
        <w:bottom w:val="none" w:sz="0" w:space="0" w:color="auto"/>
        <w:right w:val="none" w:sz="0" w:space="0" w:color="auto"/>
      </w:divBdr>
    </w:div>
    <w:div w:id="424115774">
      <w:bodyDiv w:val="1"/>
      <w:marLeft w:val="0"/>
      <w:marRight w:val="0"/>
      <w:marTop w:val="0"/>
      <w:marBottom w:val="0"/>
      <w:divBdr>
        <w:top w:val="none" w:sz="0" w:space="0" w:color="auto"/>
        <w:left w:val="none" w:sz="0" w:space="0" w:color="auto"/>
        <w:bottom w:val="none" w:sz="0" w:space="0" w:color="auto"/>
        <w:right w:val="none" w:sz="0" w:space="0" w:color="auto"/>
      </w:divBdr>
    </w:div>
    <w:div w:id="441802958">
      <w:bodyDiv w:val="1"/>
      <w:marLeft w:val="0"/>
      <w:marRight w:val="0"/>
      <w:marTop w:val="0"/>
      <w:marBottom w:val="0"/>
      <w:divBdr>
        <w:top w:val="none" w:sz="0" w:space="0" w:color="auto"/>
        <w:left w:val="none" w:sz="0" w:space="0" w:color="auto"/>
        <w:bottom w:val="none" w:sz="0" w:space="0" w:color="auto"/>
        <w:right w:val="none" w:sz="0" w:space="0" w:color="auto"/>
      </w:divBdr>
    </w:div>
    <w:div w:id="447555259">
      <w:bodyDiv w:val="1"/>
      <w:marLeft w:val="0"/>
      <w:marRight w:val="0"/>
      <w:marTop w:val="0"/>
      <w:marBottom w:val="0"/>
      <w:divBdr>
        <w:top w:val="none" w:sz="0" w:space="0" w:color="auto"/>
        <w:left w:val="none" w:sz="0" w:space="0" w:color="auto"/>
        <w:bottom w:val="none" w:sz="0" w:space="0" w:color="auto"/>
        <w:right w:val="none" w:sz="0" w:space="0" w:color="auto"/>
      </w:divBdr>
    </w:div>
    <w:div w:id="454831100">
      <w:bodyDiv w:val="1"/>
      <w:marLeft w:val="0"/>
      <w:marRight w:val="0"/>
      <w:marTop w:val="0"/>
      <w:marBottom w:val="0"/>
      <w:divBdr>
        <w:top w:val="none" w:sz="0" w:space="0" w:color="auto"/>
        <w:left w:val="none" w:sz="0" w:space="0" w:color="auto"/>
        <w:bottom w:val="none" w:sz="0" w:space="0" w:color="auto"/>
        <w:right w:val="none" w:sz="0" w:space="0" w:color="auto"/>
      </w:divBdr>
    </w:div>
    <w:div w:id="464200985">
      <w:bodyDiv w:val="1"/>
      <w:marLeft w:val="0"/>
      <w:marRight w:val="0"/>
      <w:marTop w:val="0"/>
      <w:marBottom w:val="0"/>
      <w:divBdr>
        <w:top w:val="none" w:sz="0" w:space="0" w:color="auto"/>
        <w:left w:val="none" w:sz="0" w:space="0" w:color="auto"/>
        <w:bottom w:val="none" w:sz="0" w:space="0" w:color="auto"/>
        <w:right w:val="none" w:sz="0" w:space="0" w:color="auto"/>
      </w:divBdr>
    </w:div>
    <w:div w:id="504395146">
      <w:bodyDiv w:val="1"/>
      <w:marLeft w:val="0"/>
      <w:marRight w:val="0"/>
      <w:marTop w:val="0"/>
      <w:marBottom w:val="0"/>
      <w:divBdr>
        <w:top w:val="none" w:sz="0" w:space="0" w:color="auto"/>
        <w:left w:val="none" w:sz="0" w:space="0" w:color="auto"/>
        <w:bottom w:val="none" w:sz="0" w:space="0" w:color="auto"/>
        <w:right w:val="none" w:sz="0" w:space="0" w:color="auto"/>
      </w:divBdr>
    </w:div>
    <w:div w:id="506336267">
      <w:bodyDiv w:val="1"/>
      <w:marLeft w:val="0"/>
      <w:marRight w:val="0"/>
      <w:marTop w:val="0"/>
      <w:marBottom w:val="0"/>
      <w:divBdr>
        <w:top w:val="none" w:sz="0" w:space="0" w:color="auto"/>
        <w:left w:val="none" w:sz="0" w:space="0" w:color="auto"/>
        <w:bottom w:val="none" w:sz="0" w:space="0" w:color="auto"/>
        <w:right w:val="none" w:sz="0" w:space="0" w:color="auto"/>
      </w:divBdr>
    </w:div>
    <w:div w:id="518542522">
      <w:bodyDiv w:val="1"/>
      <w:marLeft w:val="0"/>
      <w:marRight w:val="0"/>
      <w:marTop w:val="0"/>
      <w:marBottom w:val="0"/>
      <w:divBdr>
        <w:top w:val="none" w:sz="0" w:space="0" w:color="auto"/>
        <w:left w:val="none" w:sz="0" w:space="0" w:color="auto"/>
        <w:bottom w:val="none" w:sz="0" w:space="0" w:color="auto"/>
        <w:right w:val="none" w:sz="0" w:space="0" w:color="auto"/>
      </w:divBdr>
    </w:div>
    <w:div w:id="539055232">
      <w:bodyDiv w:val="1"/>
      <w:marLeft w:val="0"/>
      <w:marRight w:val="0"/>
      <w:marTop w:val="0"/>
      <w:marBottom w:val="0"/>
      <w:divBdr>
        <w:top w:val="none" w:sz="0" w:space="0" w:color="auto"/>
        <w:left w:val="none" w:sz="0" w:space="0" w:color="auto"/>
        <w:bottom w:val="none" w:sz="0" w:space="0" w:color="auto"/>
        <w:right w:val="none" w:sz="0" w:space="0" w:color="auto"/>
      </w:divBdr>
    </w:div>
    <w:div w:id="542792011">
      <w:bodyDiv w:val="1"/>
      <w:marLeft w:val="0"/>
      <w:marRight w:val="0"/>
      <w:marTop w:val="0"/>
      <w:marBottom w:val="0"/>
      <w:divBdr>
        <w:top w:val="none" w:sz="0" w:space="0" w:color="auto"/>
        <w:left w:val="none" w:sz="0" w:space="0" w:color="auto"/>
        <w:bottom w:val="none" w:sz="0" w:space="0" w:color="auto"/>
        <w:right w:val="none" w:sz="0" w:space="0" w:color="auto"/>
      </w:divBdr>
    </w:div>
    <w:div w:id="548229219">
      <w:bodyDiv w:val="1"/>
      <w:marLeft w:val="0"/>
      <w:marRight w:val="0"/>
      <w:marTop w:val="0"/>
      <w:marBottom w:val="0"/>
      <w:divBdr>
        <w:top w:val="none" w:sz="0" w:space="0" w:color="auto"/>
        <w:left w:val="none" w:sz="0" w:space="0" w:color="auto"/>
        <w:bottom w:val="none" w:sz="0" w:space="0" w:color="auto"/>
        <w:right w:val="none" w:sz="0" w:space="0" w:color="auto"/>
      </w:divBdr>
    </w:div>
    <w:div w:id="556282847">
      <w:bodyDiv w:val="1"/>
      <w:marLeft w:val="0"/>
      <w:marRight w:val="0"/>
      <w:marTop w:val="0"/>
      <w:marBottom w:val="0"/>
      <w:divBdr>
        <w:top w:val="none" w:sz="0" w:space="0" w:color="auto"/>
        <w:left w:val="none" w:sz="0" w:space="0" w:color="auto"/>
        <w:bottom w:val="none" w:sz="0" w:space="0" w:color="auto"/>
        <w:right w:val="none" w:sz="0" w:space="0" w:color="auto"/>
      </w:divBdr>
    </w:div>
    <w:div w:id="564687292">
      <w:bodyDiv w:val="1"/>
      <w:marLeft w:val="0"/>
      <w:marRight w:val="0"/>
      <w:marTop w:val="0"/>
      <w:marBottom w:val="0"/>
      <w:divBdr>
        <w:top w:val="none" w:sz="0" w:space="0" w:color="auto"/>
        <w:left w:val="none" w:sz="0" w:space="0" w:color="auto"/>
        <w:bottom w:val="none" w:sz="0" w:space="0" w:color="auto"/>
        <w:right w:val="none" w:sz="0" w:space="0" w:color="auto"/>
      </w:divBdr>
    </w:div>
    <w:div w:id="567569569">
      <w:bodyDiv w:val="1"/>
      <w:marLeft w:val="0"/>
      <w:marRight w:val="0"/>
      <w:marTop w:val="0"/>
      <w:marBottom w:val="0"/>
      <w:divBdr>
        <w:top w:val="none" w:sz="0" w:space="0" w:color="auto"/>
        <w:left w:val="none" w:sz="0" w:space="0" w:color="auto"/>
        <w:bottom w:val="none" w:sz="0" w:space="0" w:color="auto"/>
        <w:right w:val="none" w:sz="0" w:space="0" w:color="auto"/>
      </w:divBdr>
    </w:div>
    <w:div w:id="572661564">
      <w:bodyDiv w:val="1"/>
      <w:marLeft w:val="0"/>
      <w:marRight w:val="0"/>
      <w:marTop w:val="0"/>
      <w:marBottom w:val="0"/>
      <w:divBdr>
        <w:top w:val="none" w:sz="0" w:space="0" w:color="auto"/>
        <w:left w:val="none" w:sz="0" w:space="0" w:color="auto"/>
        <w:bottom w:val="none" w:sz="0" w:space="0" w:color="auto"/>
        <w:right w:val="none" w:sz="0" w:space="0" w:color="auto"/>
      </w:divBdr>
    </w:div>
    <w:div w:id="587812800">
      <w:bodyDiv w:val="1"/>
      <w:marLeft w:val="0"/>
      <w:marRight w:val="0"/>
      <w:marTop w:val="0"/>
      <w:marBottom w:val="0"/>
      <w:divBdr>
        <w:top w:val="none" w:sz="0" w:space="0" w:color="auto"/>
        <w:left w:val="none" w:sz="0" w:space="0" w:color="auto"/>
        <w:bottom w:val="none" w:sz="0" w:space="0" w:color="auto"/>
        <w:right w:val="none" w:sz="0" w:space="0" w:color="auto"/>
      </w:divBdr>
    </w:div>
    <w:div w:id="589510946">
      <w:bodyDiv w:val="1"/>
      <w:marLeft w:val="0"/>
      <w:marRight w:val="0"/>
      <w:marTop w:val="0"/>
      <w:marBottom w:val="0"/>
      <w:divBdr>
        <w:top w:val="none" w:sz="0" w:space="0" w:color="auto"/>
        <w:left w:val="none" w:sz="0" w:space="0" w:color="auto"/>
        <w:bottom w:val="none" w:sz="0" w:space="0" w:color="auto"/>
        <w:right w:val="none" w:sz="0" w:space="0" w:color="auto"/>
      </w:divBdr>
    </w:div>
    <w:div w:id="618756712">
      <w:bodyDiv w:val="1"/>
      <w:marLeft w:val="0"/>
      <w:marRight w:val="0"/>
      <w:marTop w:val="0"/>
      <w:marBottom w:val="0"/>
      <w:divBdr>
        <w:top w:val="none" w:sz="0" w:space="0" w:color="auto"/>
        <w:left w:val="none" w:sz="0" w:space="0" w:color="auto"/>
        <w:bottom w:val="none" w:sz="0" w:space="0" w:color="auto"/>
        <w:right w:val="none" w:sz="0" w:space="0" w:color="auto"/>
      </w:divBdr>
    </w:div>
    <w:div w:id="648637963">
      <w:bodyDiv w:val="1"/>
      <w:marLeft w:val="0"/>
      <w:marRight w:val="0"/>
      <w:marTop w:val="0"/>
      <w:marBottom w:val="0"/>
      <w:divBdr>
        <w:top w:val="none" w:sz="0" w:space="0" w:color="auto"/>
        <w:left w:val="none" w:sz="0" w:space="0" w:color="auto"/>
        <w:bottom w:val="none" w:sz="0" w:space="0" w:color="auto"/>
        <w:right w:val="none" w:sz="0" w:space="0" w:color="auto"/>
      </w:divBdr>
    </w:div>
    <w:div w:id="654601178">
      <w:bodyDiv w:val="1"/>
      <w:marLeft w:val="0"/>
      <w:marRight w:val="0"/>
      <w:marTop w:val="0"/>
      <w:marBottom w:val="0"/>
      <w:divBdr>
        <w:top w:val="none" w:sz="0" w:space="0" w:color="auto"/>
        <w:left w:val="none" w:sz="0" w:space="0" w:color="auto"/>
        <w:bottom w:val="none" w:sz="0" w:space="0" w:color="auto"/>
        <w:right w:val="none" w:sz="0" w:space="0" w:color="auto"/>
      </w:divBdr>
    </w:div>
    <w:div w:id="659192872">
      <w:bodyDiv w:val="1"/>
      <w:marLeft w:val="0"/>
      <w:marRight w:val="0"/>
      <w:marTop w:val="0"/>
      <w:marBottom w:val="0"/>
      <w:divBdr>
        <w:top w:val="none" w:sz="0" w:space="0" w:color="auto"/>
        <w:left w:val="none" w:sz="0" w:space="0" w:color="auto"/>
        <w:bottom w:val="none" w:sz="0" w:space="0" w:color="auto"/>
        <w:right w:val="none" w:sz="0" w:space="0" w:color="auto"/>
      </w:divBdr>
    </w:div>
    <w:div w:id="664210905">
      <w:bodyDiv w:val="1"/>
      <w:marLeft w:val="0"/>
      <w:marRight w:val="0"/>
      <w:marTop w:val="0"/>
      <w:marBottom w:val="0"/>
      <w:divBdr>
        <w:top w:val="none" w:sz="0" w:space="0" w:color="auto"/>
        <w:left w:val="none" w:sz="0" w:space="0" w:color="auto"/>
        <w:bottom w:val="none" w:sz="0" w:space="0" w:color="auto"/>
        <w:right w:val="none" w:sz="0" w:space="0" w:color="auto"/>
      </w:divBdr>
    </w:div>
    <w:div w:id="664748113">
      <w:bodyDiv w:val="1"/>
      <w:marLeft w:val="0"/>
      <w:marRight w:val="0"/>
      <w:marTop w:val="0"/>
      <w:marBottom w:val="0"/>
      <w:divBdr>
        <w:top w:val="none" w:sz="0" w:space="0" w:color="auto"/>
        <w:left w:val="none" w:sz="0" w:space="0" w:color="auto"/>
        <w:bottom w:val="none" w:sz="0" w:space="0" w:color="auto"/>
        <w:right w:val="none" w:sz="0" w:space="0" w:color="auto"/>
      </w:divBdr>
    </w:div>
    <w:div w:id="696586274">
      <w:bodyDiv w:val="1"/>
      <w:marLeft w:val="0"/>
      <w:marRight w:val="0"/>
      <w:marTop w:val="0"/>
      <w:marBottom w:val="0"/>
      <w:divBdr>
        <w:top w:val="none" w:sz="0" w:space="0" w:color="auto"/>
        <w:left w:val="none" w:sz="0" w:space="0" w:color="auto"/>
        <w:bottom w:val="none" w:sz="0" w:space="0" w:color="auto"/>
        <w:right w:val="none" w:sz="0" w:space="0" w:color="auto"/>
      </w:divBdr>
    </w:div>
    <w:div w:id="716972544">
      <w:bodyDiv w:val="1"/>
      <w:marLeft w:val="0"/>
      <w:marRight w:val="0"/>
      <w:marTop w:val="0"/>
      <w:marBottom w:val="0"/>
      <w:divBdr>
        <w:top w:val="none" w:sz="0" w:space="0" w:color="auto"/>
        <w:left w:val="none" w:sz="0" w:space="0" w:color="auto"/>
        <w:bottom w:val="none" w:sz="0" w:space="0" w:color="auto"/>
        <w:right w:val="none" w:sz="0" w:space="0" w:color="auto"/>
      </w:divBdr>
    </w:div>
    <w:div w:id="727414046">
      <w:bodyDiv w:val="1"/>
      <w:marLeft w:val="0"/>
      <w:marRight w:val="0"/>
      <w:marTop w:val="0"/>
      <w:marBottom w:val="0"/>
      <w:divBdr>
        <w:top w:val="none" w:sz="0" w:space="0" w:color="auto"/>
        <w:left w:val="none" w:sz="0" w:space="0" w:color="auto"/>
        <w:bottom w:val="none" w:sz="0" w:space="0" w:color="auto"/>
        <w:right w:val="none" w:sz="0" w:space="0" w:color="auto"/>
      </w:divBdr>
    </w:div>
    <w:div w:id="734743355">
      <w:bodyDiv w:val="1"/>
      <w:marLeft w:val="0"/>
      <w:marRight w:val="0"/>
      <w:marTop w:val="0"/>
      <w:marBottom w:val="0"/>
      <w:divBdr>
        <w:top w:val="none" w:sz="0" w:space="0" w:color="auto"/>
        <w:left w:val="none" w:sz="0" w:space="0" w:color="auto"/>
        <w:bottom w:val="none" w:sz="0" w:space="0" w:color="auto"/>
        <w:right w:val="none" w:sz="0" w:space="0" w:color="auto"/>
      </w:divBdr>
    </w:div>
    <w:div w:id="734862360">
      <w:bodyDiv w:val="1"/>
      <w:marLeft w:val="0"/>
      <w:marRight w:val="0"/>
      <w:marTop w:val="0"/>
      <w:marBottom w:val="0"/>
      <w:divBdr>
        <w:top w:val="none" w:sz="0" w:space="0" w:color="auto"/>
        <w:left w:val="none" w:sz="0" w:space="0" w:color="auto"/>
        <w:bottom w:val="none" w:sz="0" w:space="0" w:color="auto"/>
        <w:right w:val="none" w:sz="0" w:space="0" w:color="auto"/>
      </w:divBdr>
    </w:div>
    <w:div w:id="738671221">
      <w:bodyDiv w:val="1"/>
      <w:marLeft w:val="0"/>
      <w:marRight w:val="0"/>
      <w:marTop w:val="0"/>
      <w:marBottom w:val="0"/>
      <w:divBdr>
        <w:top w:val="none" w:sz="0" w:space="0" w:color="auto"/>
        <w:left w:val="none" w:sz="0" w:space="0" w:color="auto"/>
        <w:bottom w:val="none" w:sz="0" w:space="0" w:color="auto"/>
        <w:right w:val="none" w:sz="0" w:space="0" w:color="auto"/>
      </w:divBdr>
    </w:div>
    <w:div w:id="741222320">
      <w:bodyDiv w:val="1"/>
      <w:marLeft w:val="0"/>
      <w:marRight w:val="0"/>
      <w:marTop w:val="0"/>
      <w:marBottom w:val="0"/>
      <w:divBdr>
        <w:top w:val="none" w:sz="0" w:space="0" w:color="auto"/>
        <w:left w:val="none" w:sz="0" w:space="0" w:color="auto"/>
        <w:bottom w:val="none" w:sz="0" w:space="0" w:color="auto"/>
        <w:right w:val="none" w:sz="0" w:space="0" w:color="auto"/>
      </w:divBdr>
    </w:div>
    <w:div w:id="747768852">
      <w:bodyDiv w:val="1"/>
      <w:marLeft w:val="0"/>
      <w:marRight w:val="0"/>
      <w:marTop w:val="0"/>
      <w:marBottom w:val="0"/>
      <w:divBdr>
        <w:top w:val="none" w:sz="0" w:space="0" w:color="auto"/>
        <w:left w:val="none" w:sz="0" w:space="0" w:color="auto"/>
        <w:bottom w:val="none" w:sz="0" w:space="0" w:color="auto"/>
        <w:right w:val="none" w:sz="0" w:space="0" w:color="auto"/>
      </w:divBdr>
    </w:div>
    <w:div w:id="749352952">
      <w:bodyDiv w:val="1"/>
      <w:marLeft w:val="0"/>
      <w:marRight w:val="0"/>
      <w:marTop w:val="0"/>
      <w:marBottom w:val="0"/>
      <w:divBdr>
        <w:top w:val="none" w:sz="0" w:space="0" w:color="auto"/>
        <w:left w:val="none" w:sz="0" w:space="0" w:color="auto"/>
        <w:bottom w:val="none" w:sz="0" w:space="0" w:color="auto"/>
        <w:right w:val="none" w:sz="0" w:space="0" w:color="auto"/>
      </w:divBdr>
    </w:div>
    <w:div w:id="764767387">
      <w:bodyDiv w:val="1"/>
      <w:marLeft w:val="0"/>
      <w:marRight w:val="0"/>
      <w:marTop w:val="0"/>
      <w:marBottom w:val="0"/>
      <w:divBdr>
        <w:top w:val="none" w:sz="0" w:space="0" w:color="auto"/>
        <w:left w:val="none" w:sz="0" w:space="0" w:color="auto"/>
        <w:bottom w:val="none" w:sz="0" w:space="0" w:color="auto"/>
        <w:right w:val="none" w:sz="0" w:space="0" w:color="auto"/>
      </w:divBdr>
    </w:div>
    <w:div w:id="779569183">
      <w:bodyDiv w:val="1"/>
      <w:marLeft w:val="0"/>
      <w:marRight w:val="0"/>
      <w:marTop w:val="0"/>
      <w:marBottom w:val="0"/>
      <w:divBdr>
        <w:top w:val="none" w:sz="0" w:space="0" w:color="auto"/>
        <w:left w:val="none" w:sz="0" w:space="0" w:color="auto"/>
        <w:bottom w:val="none" w:sz="0" w:space="0" w:color="auto"/>
        <w:right w:val="none" w:sz="0" w:space="0" w:color="auto"/>
      </w:divBdr>
    </w:div>
    <w:div w:id="788932653">
      <w:bodyDiv w:val="1"/>
      <w:marLeft w:val="0"/>
      <w:marRight w:val="0"/>
      <w:marTop w:val="0"/>
      <w:marBottom w:val="0"/>
      <w:divBdr>
        <w:top w:val="none" w:sz="0" w:space="0" w:color="auto"/>
        <w:left w:val="none" w:sz="0" w:space="0" w:color="auto"/>
        <w:bottom w:val="none" w:sz="0" w:space="0" w:color="auto"/>
        <w:right w:val="none" w:sz="0" w:space="0" w:color="auto"/>
      </w:divBdr>
    </w:div>
    <w:div w:id="794837795">
      <w:bodyDiv w:val="1"/>
      <w:marLeft w:val="0"/>
      <w:marRight w:val="0"/>
      <w:marTop w:val="0"/>
      <w:marBottom w:val="0"/>
      <w:divBdr>
        <w:top w:val="none" w:sz="0" w:space="0" w:color="auto"/>
        <w:left w:val="none" w:sz="0" w:space="0" w:color="auto"/>
        <w:bottom w:val="none" w:sz="0" w:space="0" w:color="auto"/>
        <w:right w:val="none" w:sz="0" w:space="0" w:color="auto"/>
      </w:divBdr>
    </w:div>
    <w:div w:id="795832651">
      <w:bodyDiv w:val="1"/>
      <w:marLeft w:val="0"/>
      <w:marRight w:val="0"/>
      <w:marTop w:val="0"/>
      <w:marBottom w:val="0"/>
      <w:divBdr>
        <w:top w:val="none" w:sz="0" w:space="0" w:color="auto"/>
        <w:left w:val="none" w:sz="0" w:space="0" w:color="auto"/>
        <w:bottom w:val="none" w:sz="0" w:space="0" w:color="auto"/>
        <w:right w:val="none" w:sz="0" w:space="0" w:color="auto"/>
      </w:divBdr>
    </w:div>
    <w:div w:id="803816612">
      <w:bodyDiv w:val="1"/>
      <w:marLeft w:val="0"/>
      <w:marRight w:val="0"/>
      <w:marTop w:val="0"/>
      <w:marBottom w:val="0"/>
      <w:divBdr>
        <w:top w:val="none" w:sz="0" w:space="0" w:color="auto"/>
        <w:left w:val="none" w:sz="0" w:space="0" w:color="auto"/>
        <w:bottom w:val="none" w:sz="0" w:space="0" w:color="auto"/>
        <w:right w:val="none" w:sz="0" w:space="0" w:color="auto"/>
      </w:divBdr>
    </w:div>
    <w:div w:id="805464648">
      <w:bodyDiv w:val="1"/>
      <w:marLeft w:val="0"/>
      <w:marRight w:val="0"/>
      <w:marTop w:val="0"/>
      <w:marBottom w:val="0"/>
      <w:divBdr>
        <w:top w:val="none" w:sz="0" w:space="0" w:color="auto"/>
        <w:left w:val="none" w:sz="0" w:space="0" w:color="auto"/>
        <w:bottom w:val="none" w:sz="0" w:space="0" w:color="auto"/>
        <w:right w:val="none" w:sz="0" w:space="0" w:color="auto"/>
      </w:divBdr>
    </w:div>
    <w:div w:id="805583469">
      <w:bodyDiv w:val="1"/>
      <w:marLeft w:val="0"/>
      <w:marRight w:val="0"/>
      <w:marTop w:val="0"/>
      <w:marBottom w:val="0"/>
      <w:divBdr>
        <w:top w:val="none" w:sz="0" w:space="0" w:color="auto"/>
        <w:left w:val="none" w:sz="0" w:space="0" w:color="auto"/>
        <w:bottom w:val="none" w:sz="0" w:space="0" w:color="auto"/>
        <w:right w:val="none" w:sz="0" w:space="0" w:color="auto"/>
      </w:divBdr>
    </w:div>
    <w:div w:id="833380599">
      <w:bodyDiv w:val="1"/>
      <w:marLeft w:val="0"/>
      <w:marRight w:val="0"/>
      <w:marTop w:val="0"/>
      <w:marBottom w:val="0"/>
      <w:divBdr>
        <w:top w:val="none" w:sz="0" w:space="0" w:color="auto"/>
        <w:left w:val="none" w:sz="0" w:space="0" w:color="auto"/>
        <w:bottom w:val="none" w:sz="0" w:space="0" w:color="auto"/>
        <w:right w:val="none" w:sz="0" w:space="0" w:color="auto"/>
      </w:divBdr>
    </w:div>
    <w:div w:id="837233571">
      <w:bodyDiv w:val="1"/>
      <w:marLeft w:val="0"/>
      <w:marRight w:val="0"/>
      <w:marTop w:val="0"/>
      <w:marBottom w:val="0"/>
      <w:divBdr>
        <w:top w:val="none" w:sz="0" w:space="0" w:color="auto"/>
        <w:left w:val="none" w:sz="0" w:space="0" w:color="auto"/>
        <w:bottom w:val="none" w:sz="0" w:space="0" w:color="auto"/>
        <w:right w:val="none" w:sz="0" w:space="0" w:color="auto"/>
      </w:divBdr>
    </w:div>
    <w:div w:id="864247717">
      <w:bodyDiv w:val="1"/>
      <w:marLeft w:val="0"/>
      <w:marRight w:val="0"/>
      <w:marTop w:val="0"/>
      <w:marBottom w:val="0"/>
      <w:divBdr>
        <w:top w:val="none" w:sz="0" w:space="0" w:color="auto"/>
        <w:left w:val="none" w:sz="0" w:space="0" w:color="auto"/>
        <w:bottom w:val="none" w:sz="0" w:space="0" w:color="auto"/>
        <w:right w:val="none" w:sz="0" w:space="0" w:color="auto"/>
      </w:divBdr>
    </w:div>
    <w:div w:id="891379885">
      <w:bodyDiv w:val="1"/>
      <w:marLeft w:val="0"/>
      <w:marRight w:val="0"/>
      <w:marTop w:val="0"/>
      <w:marBottom w:val="0"/>
      <w:divBdr>
        <w:top w:val="none" w:sz="0" w:space="0" w:color="auto"/>
        <w:left w:val="none" w:sz="0" w:space="0" w:color="auto"/>
        <w:bottom w:val="none" w:sz="0" w:space="0" w:color="auto"/>
        <w:right w:val="none" w:sz="0" w:space="0" w:color="auto"/>
      </w:divBdr>
    </w:div>
    <w:div w:id="891695239">
      <w:bodyDiv w:val="1"/>
      <w:marLeft w:val="0"/>
      <w:marRight w:val="0"/>
      <w:marTop w:val="0"/>
      <w:marBottom w:val="0"/>
      <w:divBdr>
        <w:top w:val="none" w:sz="0" w:space="0" w:color="auto"/>
        <w:left w:val="none" w:sz="0" w:space="0" w:color="auto"/>
        <w:bottom w:val="none" w:sz="0" w:space="0" w:color="auto"/>
        <w:right w:val="none" w:sz="0" w:space="0" w:color="auto"/>
      </w:divBdr>
    </w:div>
    <w:div w:id="898439534">
      <w:bodyDiv w:val="1"/>
      <w:marLeft w:val="0"/>
      <w:marRight w:val="0"/>
      <w:marTop w:val="0"/>
      <w:marBottom w:val="0"/>
      <w:divBdr>
        <w:top w:val="none" w:sz="0" w:space="0" w:color="auto"/>
        <w:left w:val="none" w:sz="0" w:space="0" w:color="auto"/>
        <w:bottom w:val="none" w:sz="0" w:space="0" w:color="auto"/>
        <w:right w:val="none" w:sz="0" w:space="0" w:color="auto"/>
      </w:divBdr>
    </w:div>
    <w:div w:id="915820785">
      <w:bodyDiv w:val="1"/>
      <w:marLeft w:val="0"/>
      <w:marRight w:val="0"/>
      <w:marTop w:val="0"/>
      <w:marBottom w:val="0"/>
      <w:divBdr>
        <w:top w:val="none" w:sz="0" w:space="0" w:color="auto"/>
        <w:left w:val="none" w:sz="0" w:space="0" w:color="auto"/>
        <w:bottom w:val="none" w:sz="0" w:space="0" w:color="auto"/>
        <w:right w:val="none" w:sz="0" w:space="0" w:color="auto"/>
      </w:divBdr>
    </w:div>
    <w:div w:id="917523552">
      <w:bodyDiv w:val="1"/>
      <w:marLeft w:val="0"/>
      <w:marRight w:val="0"/>
      <w:marTop w:val="0"/>
      <w:marBottom w:val="0"/>
      <w:divBdr>
        <w:top w:val="none" w:sz="0" w:space="0" w:color="auto"/>
        <w:left w:val="none" w:sz="0" w:space="0" w:color="auto"/>
        <w:bottom w:val="none" w:sz="0" w:space="0" w:color="auto"/>
        <w:right w:val="none" w:sz="0" w:space="0" w:color="auto"/>
      </w:divBdr>
    </w:div>
    <w:div w:id="925188184">
      <w:bodyDiv w:val="1"/>
      <w:marLeft w:val="0"/>
      <w:marRight w:val="0"/>
      <w:marTop w:val="0"/>
      <w:marBottom w:val="0"/>
      <w:divBdr>
        <w:top w:val="none" w:sz="0" w:space="0" w:color="auto"/>
        <w:left w:val="none" w:sz="0" w:space="0" w:color="auto"/>
        <w:bottom w:val="none" w:sz="0" w:space="0" w:color="auto"/>
        <w:right w:val="none" w:sz="0" w:space="0" w:color="auto"/>
      </w:divBdr>
    </w:div>
    <w:div w:id="931550354">
      <w:bodyDiv w:val="1"/>
      <w:marLeft w:val="0"/>
      <w:marRight w:val="0"/>
      <w:marTop w:val="0"/>
      <w:marBottom w:val="0"/>
      <w:divBdr>
        <w:top w:val="none" w:sz="0" w:space="0" w:color="auto"/>
        <w:left w:val="none" w:sz="0" w:space="0" w:color="auto"/>
        <w:bottom w:val="none" w:sz="0" w:space="0" w:color="auto"/>
        <w:right w:val="none" w:sz="0" w:space="0" w:color="auto"/>
      </w:divBdr>
    </w:div>
    <w:div w:id="935554783">
      <w:bodyDiv w:val="1"/>
      <w:marLeft w:val="0"/>
      <w:marRight w:val="0"/>
      <w:marTop w:val="0"/>
      <w:marBottom w:val="0"/>
      <w:divBdr>
        <w:top w:val="none" w:sz="0" w:space="0" w:color="auto"/>
        <w:left w:val="none" w:sz="0" w:space="0" w:color="auto"/>
        <w:bottom w:val="none" w:sz="0" w:space="0" w:color="auto"/>
        <w:right w:val="none" w:sz="0" w:space="0" w:color="auto"/>
      </w:divBdr>
    </w:div>
    <w:div w:id="940919701">
      <w:bodyDiv w:val="1"/>
      <w:marLeft w:val="0"/>
      <w:marRight w:val="0"/>
      <w:marTop w:val="0"/>
      <w:marBottom w:val="0"/>
      <w:divBdr>
        <w:top w:val="none" w:sz="0" w:space="0" w:color="auto"/>
        <w:left w:val="none" w:sz="0" w:space="0" w:color="auto"/>
        <w:bottom w:val="none" w:sz="0" w:space="0" w:color="auto"/>
        <w:right w:val="none" w:sz="0" w:space="0" w:color="auto"/>
      </w:divBdr>
    </w:div>
    <w:div w:id="949047608">
      <w:bodyDiv w:val="1"/>
      <w:marLeft w:val="0"/>
      <w:marRight w:val="0"/>
      <w:marTop w:val="0"/>
      <w:marBottom w:val="0"/>
      <w:divBdr>
        <w:top w:val="none" w:sz="0" w:space="0" w:color="auto"/>
        <w:left w:val="none" w:sz="0" w:space="0" w:color="auto"/>
        <w:bottom w:val="none" w:sz="0" w:space="0" w:color="auto"/>
        <w:right w:val="none" w:sz="0" w:space="0" w:color="auto"/>
      </w:divBdr>
    </w:div>
    <w:div w:id="954367770">
      <w:bodyDiv w:val="1"/>
      <w:marLeft w:val="0"/>
      <w:marRight w:val="0"/>
      <w:marTop w:val="0"/>
      <w:marBottom w:val="0"/>
      <w:divBdr>
        <w:top w:val="none" w:sz="0" w:space="0" w:color="auto"/>
        <w:left w:val="none" w:sz="0" w:space="0" w:color="auto"/>
        <w:bottom w:val="none" w:sz="0" w:space="0" w:color="auto"/>
        <w:right w:val="none" w:sz="0" w:space="0" w:color="auto"/>
      </w:divBdr>
    </w:div>
    <w:div w:id="970745221">
      <w:bodyDiv w:val="1"/>
      <w:marLeft w:val="0"/>
      <w:marRight w:val="0"/>
      <w:marTop w:val="0"/>
      <w:marBottom w:val="0"/>
      <w:divBdr>
        <w:top w:val="none" w:sz="0" w:space="0" w:color="auto"/>
        <w:left w:val="none" w:sz="0" w:space="0" w:color="auto"/>
        <w:bottom w:val="none" w:sz="0" w:space="0" w:color="auto"/>
        <w:right w:val="none" w:sz="0" w:space="0" w:color="auto"/>
      </w:divBdr>
    </w:div>
    <w:div w:id="980574902">
      <w:bodyDiv w:val="1"/>
      <w:marLeft w:val="0"/>
      <w:marRight w:val="0"/>
      <w:marTop w:val="0"/>
      <w:marBottom w:val="0"/>
      <w:divBdr>
        <w:top w:val="none" w:sz="0" w:space="0" w:color="auto"/>
        <w:left w:val="none" w:sz="0" w:space="0" w:color="auto"/>
        <w:bottom w:val="none" w:sz="0" w:space="0" w:color="auto"/>
        <w:right w:val="none" w:sz="0" w:space="0" w:color="auto"/>
      </w:divBdr>
    </w:div>
    <w:div w:id="980890220">
      <w:bodyDiv w:val="1"/>
      <w:marLeft w:val="0"/>
      <w:marRight w:val="0"/>
      <w:marTop w:val="0"/>
      <w:marBottom w:val="0"/>
      <w:divBdr>
        <w:top w:val="none" w:sz="0" w:space="0" w:color="auto"/>
        <w:left w:val="none" w:sz="0" w:space="0" w:color="auto"/>
        <w:bottom w:val="none" w:sz="0" w:space="0" w:color="auto"/>
        <w:right w:val="none" w:sz="0" w:space="0" w:color="auto"/>
      </w:divBdr>
    </w:div>
    <w:div w:id="986082196">
      <w:bodyDiv w:val="1"/>
      <w:marLeft w:val="0"/>
      <w:marRight w:val="0"/>
      <w:marTop w:val="0"/>
      <w:marBottom w:val="0"/>
      <w:divBdr>
        <w:top w:val="none" w:sz="0" w:space="0" w:color="auto"/>
        <w:left w:val="none" w:sz="0" w:space="0" w:color="auto"/>
        <w:bottom w:val="none" w:sz="0" w:space="0" w:color="auto"/>
        <w:right w:val="none" w:sz="0" w:space="0" w:color="auto"/>
      </w:divBdr>
    </w:div>
    <w:div w:id="1000935711">
      <w:bodyDiv w:val="1"/>
      <w:marLeft w:val="0"/>
      <w:marRight w:val="0"/>
      <w:marTop w:val="0"/>
      <w:marBottom w:val="0"/>
      <w:divBdr>
        <w:top w:val="none" w:sz="0" w:space="0" w:color="auto"/>
        <w:left w:val="none" w:sz="0" w:space="0" w:color="auto"/>
        <w:bottom w:val="none" w:sz="0" w:space="0" w:color="auto"/>
        <w:right w:val="none" w:sz="0" w:space="0" w:color="auto"/>
      </w:divBdr>
    </w:div>
    <w:div w:id="1010446407">
      <w:bodyDiv w:val="1"/>
      <w:marLeft w:val="0"/>
      <w:marRight w:val="0"/>
      <w:marTop w:val="0"/>
      <w:marBottom w:val="0"/>
      <w:divBdr>
        <w:top w:val="none" w:sz="0" w:space="0" w:color="auto"/>
        <w:left w:val="none" w:sz="0" w:space="0" w:color="auto"/>
        <w:bottom w:val="none" w:sz="0" w:space="0" w:color="auto"/>
        <w:right w:val="none" w:sz="0" w:space="0" w:color="auto"/>
      </w:divBdr>
    </w:div>
    <w:div w:id="1053383423">
      <w:bodyDiv w:val="1"/>
      <w:marLeft w:val="0"/>
      <w:marRight w:val="0"/>
      <w:marTop w:val="0"/>
      <w:marBottom w:val="0"/>
      <w:divBdr>
        <w:top w:val="none" w:sz="0" w:space="0" w:color="auto"/>
        <w:left w:val="none" w:sz="0" w:space="0" w:color="auto"/>
        <w:bottom w:val="none" w:sz="0" w:space="0" w:color="auto"/>
        <w:right w:val="none" w:sz="0" w:space="0" w:color="auto"/>
      </w:divBdr>
    </w:div>
    <w:div w:id="1055933534">
      <w:bodyDiv w:val="1"/>
      <w:marLeft w:val="0"/>
      <w:marRight w:val="0"/>
      <w:marTop w:val="0"/>
      <w:marBottom w:val="0"/>
      <w:divBdr>
        <w:top w:val="none" w:sz="0" w:space="0" w:color="auto"/>
        <w:left w:val="none" w:sz="0" w:space="0" w:color="auto"/>
        <w:bottom w:val="none" w:sz="0" w:space="0" w:color="auto"/>
        <w:right w:val="none" w:sz="0" w:space="0" w:color="auto"/>
      </w:divBdr>
    </w:div>
    <w:div w:id="1056858547">
      <w:bodyDiv w:val="1"/>
      <w:marLeft w:val="0"/>
      <w:marRight w:val="0"/>
      <w:marTop w:val="0"/>
      <w:marBottom w:val="0"/>
      <w:divBdr>
        <w:top w:val="none" w:sz="0" w:space="0" w:color="auto"/>
        <w:left w:val="none" w:sz="0" w:space="0" w:color="auto"/>
        <w:bottom w:val="none" w:sz="0" w:space="0" w:color="auto"/>
        <w:right w:val="none" w:sz="0" w:space="0" w:color="auto"/>
      </w:divBdr>
    </w:div>
    <w:div w:id="1064255269">
      <w:bodyDiv w:val="1"/>
      <w:marLeft w:val="0"/>
      <w:marRight w:val="0"/>
      <w:marTop w:val="0"/>
      <w:marBottom w:val="0"/>
      <w:divBdr>
        <w:top w:val="none" w:sz="0" w:space="0" w:color="auto"/>
        <w:left w:val="none" w:sz="0" w:space="0" w:color="auto"/>
        <w:bottom w:val="none" w:sz="0" w:space="0" w:color="auto"/>
        <w:right w:val="none" w:sz="0" w:space="0" w:color="auto"/>
      </w:divBdr>
    </w:div>
    <w:div w:id="1084717625">
      <w:bodyDiv w:val="1"/>
      <w:marLeft w:val="0"/>
      <w:marRight w:val="0"/>
      <w:marTop w:val="0"/>
      <w:marBottom w:val="0"/>
      <w:divBdr>
        <w:top w:val="none" w:sz="0" w:space="0" w:color="auto"/>
        <w:left w:val="none" w:sz="0" w:space="0" w:color="auto"/>
        <w:bottom w:val="none" w:sz="0" w:space="0" w:color="auto"/>
        <w:right w:val="none" w:sz="0" w:space="0" w:color="auto"/>
      </w:divBdr>
    </w:div>
    <w:div w:id="1090463553">
      <w:bodyDiv w:val="1"/>
      <w:marLeft w:val="0"/>
      <w:marRight w:val="0"/>
      <w:marTop w:val="0"/>
      <w:marBottom w:val="0"/>
      <w:divBdr>
        <w:top w:val="none" w:sz="0" w:space="0" w:color="auto"/>
        <w:left w:val="none" w:sz="0" w:space="0" w:color="auto"/>
        <w:bottom w:val="none" w:sz="0" w:space="0" w:color="auto"/>
        <w:right w:val="none" w:sz="0" w:space="0" w:color="auto"/>
      </w:divBdr>
    </w:div>
    <w:div w:id="1096286770">
      <w:bodyDiv w:val="1"/>
      <w:marLeft w:val="0"/>
      <w:marRight w:val="0"/>
      <w:marTop w:val="0"/>
      <w:marBottom w:val="0"/>
      <w:divBdr>
        <w:top w:val="none" w:sz="0" w:space="0" w:color="auto"/>
        <w:left w:val="none" w:sz="0" w:space="0" w:color="auto"/>
        <w:bottom w:val="none" w:sz="0" w:space="0" w:color="auto"/>
        <w:right w:val="none" w:sz="0" w:space="0" w:color="auto"/>
      </w:divBdr>
    </w:div>
    <w:div w:id="1100757151">
      <w:bodyDiv w:val="1"/>
      <w:marLeft w:val="0"/>
      <w:marRight w:val="0"/>
      <w:marTop w:val="0"/>
      <w:marBottom w:val="0"/>
      <w:divBdr>
        <w:top w:val="none" w:sz="0" w:space="0" w:color="auto"/>
        <w:left w:val="none" w:sz="0" w:space="0" w:color="auto"/>
        <w:bottom w:val="none" w:sz="0" w:space="0" w:color="auto"/>
        <w:right w:val="none" w:sz="0" w:space="0" w:color="auto"/>
      </w:divBdr>
    </w:div>
    <w:div w:id="1122920345">
      <w:bodyDiv w:val="1"/>
      <w:marLeft w:val="0"/>
      <w:marRight w:val="0"/>
      <w:marTop w:val="0"/>
      <w:marBottom w:val="0"/>
      <w:divBdr>
        <w:top w:val="none" w:sz="0" w:space="0" w:color="auto"/>
        <w:left w:val="none" w:sz="0" w:space="0" w:color="auto"/>
        <w:bottom w:val="none" w:sz="0" w:space="0" w:color="auto"/>
        <w:right w:val="none" w:sz="0" w:space="0" w:color="auto"/>
      </w:divBdr>
    </w:div>
    <w:div w:id="1124929467">
      <w:bodyDiv w:val="1"/>
      <w:marLeft w:val="0"/>
      <w:marRight w:val="0"/>
      <w:marTop w:val="0"/>
      <w:marBottom w:val="0"/>
      <w:divBdr>
        <w:top w:val="none" w:sz="0" w:space="0" w:color="auto"/>
        <w:left w:val="none" w:sz="0" w:space="0" w:color="auto"/>
        <w:bottom w:val="none" w:sz="0" w:space="0" w:color="auto"/>
        <w:right w:val="none" w:sz="0" w:space="0" w:color="auto"/>
      </w:divBdr>
    </w:div>
    <w:div w:id="1138106752">
      <w:bodyDiv w:val="1"/>
      <w:marLeft w:val="0"/>
      <w:marRight w:val="0"/>
      <w:marTop w:val="0"/>
      <w:marBottom w:val="0"/>
      <w:divBdr>
        <w:top w:val="none" w:sz="0" w:space="0" w:color="auto"/>
        <w:left w:val="none" w:sz="0" w:space="0" w:color="auto"/>
        <w:bottom w:val="none" w:sz="0" w:space="0" w:color="auto"/>
        <w:right w:val="none" w:sz="0" w:space="0" w:color="auto"/>
      </w:divBdr>
    </w:div>
    <w:div w:id="1143542330">
      <w:bodyDiv w:val="1"/>
      <w:marLeft w:val="0"/>
      <w:marRight w:val="0"/>
      <w:marTop w:val="0"/>
      <w:marBottom w:val="0"/>
      <w:divBdr>
        <w:top w:val="none" w:sz="0" w:space="0" w:color="auto"/>
        <w:left w:val="none" w:sz="0" w:space="0" w:color="auto"/>
        <w:bottom w:val="none" w:sz="0" w:space="0" w:color="auto"/>
        <w:right w:val="none" w:sz="0" w:space="0" w:color="auto"/>
      </w:divBdr>
    </w:div>
    <w:div w:id="1164591081">
      <w:bodyDiv w:val="1"/>
      <w:marLeft w:val="0"/>
      <w:marRight w:val="0"/>
      <w:marTop w:val="0"/>
      <w:marBottom w:val="0"/>
      <w:divBdr>
        <w:top w:val="none" w:sz="0" w:space="0" w:color="auto"/>
        <w:left w:val="none" w:sz="0" w:space="0" w:color="auto"/>
        <w:bottom w:val="none" w:sz="0" w:space="0" w:color="auto"/>
        <w:right w:val="none" w:sz="0" w:space="0" w:color="auto"/>
      </w:divBdr>
    </w:div>
    <w:div w:id="1179393088">
      <w:bodyDiv w:val="1"/>
      <w:marLeft w:val="0"/>
      <w:marRight w:val="0"/>
      <w:marTop w:val="0"/>
      <w:marBottom w:val="0"/>
      <w:divBdr>
        <w:top w:val="none" w:sz="0" w:space="0" w:color="auto"/>
        <w:left w:val="none" w:sz="0" w:space="0" w:color="auto"/>
        <w:bottom w:val="none" w:sz="0" w:space="0" w:color="auto"/>
        <w:right w:val="none" w:sz="0" w:space="0" w:color="auto"/>
      </w:divBdr>
    </w:div>
    <w:div w:id="1181819237">
      <w:bodyDiv w:val="1"/>
      <w:marLeft w:val="0"/>
      <w:marRight w:val="0"/>
      <w:marTop w:val="0"/>
      <w:marBottom w:val="0"/>
      <w:divBdr>
        <w:top w:val="none" w:sz="0" w:space="0" w:color="auto"/>
        <w:left w:val="none" w:sz="0" w:space="0" w:color="auto"/>
        <w:bottom w:val="none" w:sz="0" w:space="0" w:color="auto"/>
        <w:right w:val="none" w:sz="0" w:space="0" w:color="auto"/>
      </w:divBdr>
    </w:div>
    <w:div w:id="1191801871">
      <w:bodyDiv w:val="1"/>
      <w:marLeft w:val="0"/>
      <w:marRight w:val="0"/>
      <w:marTop w:val="0"/>
      <w:marBottom w:val="0"/>
      <w:divBdr>
        <w:top w:val="none" w:sz="0" w:space="0" w:color="auto"/>
        <w:left w:val="none" w:sz="0" w:space="0" w:color="auto"/>
        <w:bottom w:val="none" w:sz="0" w:space="0" w:color="auto"/>
        <w:right w:val="none" w:sz="0" w:space="0" w:color="auto"/>
      </w:divBdr>
    </w:div>
    <w:div w:id="1203447401">
      <w:bodyDiv w:val="1"/>
      <w:marLeft w:val="0"/>
      <w:marRight w:val="0"/>
      <w:marTop w:val="0"/>
      <w:marBottom w:val="0"/>
      <w:divBdr>
        <w:top w:val="none" w:sz="0" w:space="0" w:color="auto"/>
        <w:left w:val="none" w:sz="0" w:space="0" w:color="auto"/>
        <w:bottom w:val="none" w:sz="0" w:space="0" w:color="auto"/>
        <w:right w:val="none" w:sz="0" w:space="0" w:color="auto"/>
      </w:divBdr>
    </w:div>
    <w:div w:id="1222055750">
      <w:bodyDiv w:val="1"/>
      <w:marLeft w:val="0"/>
      <w:marRight w:val="0"/>
      <w:marTop w:val="0"/>
      <w:marBottom w:val="0"/>
      <w:divBdr>
        <w:top w:val="none" w:sz="0" w:space="0" w:color="auto"/>
        <w:left w:val="none" w:sz="0" w:space="0" w:color="auto"/>
        <w:bottom w:val="none" w:sz="0" w:space="0" w:color="auto"/>
        <w:right w:val="none" w:sz="0" w:space="0" w:color="auto"/>
      </w:divBdr>
    </w:div>
    <w:div w:id="1224758524">
      <w:bodyDiv w:val="1"/>
      <w:marLeft w:val="0"/>
      <w:marRight w:val="0"/>
      <w:marTop w:val="0"/>
      <w:marBottom w:val="0"/>
      <w:divBdr>
        <w:top w:val="none" w:sz="0" w:space="0" w:color="auto"/>
        <w:left w:val="none" w:sz="0" w:space="0" w:color="auto"/>
        <w:bottom w:val="none" w:sz="0" w:space="0" w:color="auto"/>
        <w:right w:val="none" w:sz="0" w:space="0" w:color="auto"/>
      </w:divBdr>
    </w:div>
    <w:div w:id="1230846233">
      <w:bodyDiv w:val="1"/>
      <w:marLeft w:val="0"/>
      <w:marRight w:val="0"/>
      <w:marTop w:val="0"/>
      <w:marBottom w:val="0"/>
      <w:divBdr>
        <w:top w:val="none" w:sz="0" w:space="0" w:color="auto"/>
        <w:left w:val="none" w:sz="0" w:space="0" w:color="auto"/>
        <w:bottom w:val="none" w:sz="0" w:space="0" w:color="auto"/>
        <w:right w:val="none" w:sz="0" w:space="0" w:color="auto"/>
      </w:divBdr>
    </w:div>
    <w:div w:id="1241871941">
      <w:bodyDiv w:val="1"/>
      <w:marLeft w:val="0"/>
      <w:marRight w:val="0"/>
      <w:marTop w:val="0"/>
      <w:marBottom w:val="0"/>
      <w:divBdr>
        <w:top w:val="none" w:sz="0" w:space="0" w:color="auto"/>
        <w:left w:val="none" w:sz="0" w:space="0" w:color="auto"/>
        <w:bottom w:val="none" w:sz="0" w:space="0" w:color="auto"/>
        <w:right w:val="none" w:sz="0" w:space="0" w:color="auto"/>
      </w:divBdr>
    </w:div>
    <w:div w:id="1246916732">
      <w:bodyDiv w:val="1"/>
      <w:marLeft w:val="0"/>
      <w:marRight w:val="0"/>
      <w:marTop w:val="0"/>
      <w:marBottom w:val="0"/>
      <w:divBdr>
        <w:top w:val="none" w:sz="0" w:space="0" w:color="auto"/>
        <w:left w:val="none" w:sz="0" w:space="0" w:color="auto"/>
        <w:bottom w:val="none" w:sz="0" w:space="0" w:color="auto"/>
        <w:right w:val="none" w:sz="0" w:space="0" w:color="auto"/>
      </w:divBdr>
    </w:div>
    <w:div w:id="1254702538">
      <w:bodyDiv w:val="1"/>
      <w:marLeft w:val="0"/>
      <w:marRight w:val="0"/>
      <w:marTop w:val="0"/>
      <w:marBottom w:val="0"/>
      <w:divBdr>
        <w:top w:val="none" w:sz="0" w:space="0" w:color="auto"/>
        <w:left w:val="none" w:sz="0" w:space="0" w:color="auto"/>
        <w:bottom w:val="none" w:sz="0" w:space="0" w:color="auto"/>
        <w:right w:val="none" w:sz="0" w:space="0" w:color="auto"/>
      </w:divBdr>
    </w:div>
    <w:div w:id="1266039140">
      <w:bodyDiv w:val="1"/>
      <w:marLeft w:val="0"/>
      <w:marRight w:val="0"/>
      <w:marTop w:val="0"/>
      <w:marBottom w:val="0"/>
      <w:divBdr>
        <w:top w:val="none" w:sz="0" w:space="0" w:color="auto"/>
        <w:left w:val="none" w:sz="0" w:space="0" w:color="auto"/>
        <w:bottom w:val="none" w:sz="0" w:space="0" w:color="auto"/>
        <w:right w:val="none" w:sz="0" w:space="0" w:color="auto"/>
      </w:divBdr>
    </w:div>
    <w:div w:id="1269195556">
      <w:bodyDiv w:val="1"/>
      <w:marLeft w:val="0"/>
      <w:marRight w:val="0"/>
      <w:marTop w:val="0"/>
      <w:marBottom w:val="0"/>
      <w:divBdr>
        <w:top w:val="none" w:sz="0" w:space="0" w:color="auto"/>
        <w:left w:val="none" w:sz="0" w:space="0" w:color="auto"/>
        <w:bottom w:val="none" w:sz="0" w:space="0" w:color="auto"/>
        <w:right w:val="none" w:sz="0" w:space="0" w:color="auto"/>
      </w:divBdr>
    </w:div>
    <w:div w:id="1282612590">
      <w:bodyDiv w:val="1"/>
      <w:marLeft w:val="0"/>
      <w:marRight w:val="0"/>
      <w:marTop w:val="0"/>
      <w:marBottom w:val="0"/>
      <w:divBdr>
        <w:top w:val="none" w:sz="0" w:space="0" w:color="auto"/>
        <w:left w:val="none" w:sz="0" w:space="0" w:color="auto"/>
        <w:bottom w:val="none" w:sz="0" w:space="0" w:color="auto"/>
        <w:right w:val="none" w:sz="0" w:space="0" w:color="auto"/>
      </w:divBdr>
    </w:div>
    <w:div w:id="1286304829">
      <w:bodyDiv w:val="1"/>
      <w:marLeft w:val="0"/>
      <w:marRight w:val="0"/>
      <w:marTop w:val="0"/>
      <w:marBottom w:val="0"/>
      <w:divBdr>
        <w:top w:val="none" w:sz="0" w:space="0" w:color="auto"/>
        <w:left w:val="none" w:sz="0" w:space="0" w:color="auto"/>
        <w:bottom w:val="none" w:sz="0" w:space="0" w:color="auto"/>
        <w:right w:val="none" w:sz="0" w:space="0" w:color="auto"/>
      </w:divBdr>
    </w:div>
    <w:div w:id="1286501340">
      <w:bodyDiv w:val="1"/>
      <w:marLeft w:val="0"/>
      <w:marRight w:val="0"/>
      <w:marTop w:val="0"/>
      <w:marBottom w:val="0"/>
      <w:divBdr>
        <w:top w:val="none" w:sz="0" w:space="0" w:color="auto"/>
        <w:left w:val="none" w:sz="0" w:space="0" w:color="auto"/>
        <w:bottom w:val="none" w:sz="0" w:space="0" w:color="auto"/>
        <w:right w:val="none" w:sz="0" w:space="0" w:color="auto"/>
      </w:divBdr>
    </w:div>
    <w:div w:id="1295793216">
      <w:bodyDiv w:val="1"/>
      <w:marLeft w:val="0"/>
      <w:marRight w:val="0"/>
      <w:marTop w:val="0"/>
      <w:marBottom w:val="0"/>
      <w:divBdr>
        <w:top w:val="none" w:sz="0" w:space="0" w:color="auto"/>
        <w:left w:val="none" w:sz="0" w:space="0" w:color="auto"/>
        <w:bottom w:val="none" w:sz="0" w:space="0" w:color="auto"/>
        <w:right w:val="none" w:sz="0" w:space="0" w:color="auto"/>
      </w:divBdr>
    </w:div>
    <w:div w:id="1300107146">
      <w:bodyDiv w:val="1"/>
      <w:marLeft w:val="0"/>
      <w:marRight w:val="0"/>
      <w:marTop w:val="0"/>
      <w:marBottom w:val="0"/>
      <w:divBdr>
        <w:top w:val="none" w:sz="0" w:space="0" w:color="auto"/>
        <w:left w:val="none" w:sz="0" w:space="0" w:color="auto"/>
        <w:bottom w:val="none" w:sz="0" w:space="0" w:color="auto"/>
        <w:right w:val="none" w:sz="0" w:space="0" w:color="auto"/>
      </w:divBdr>
    </w:div>
    <w:div w:id="1311595281">
      <w:bodyDiv w:val="1"/>
      <w:marLeft w:val="0"/>
      <w:marRight w:val="0"/>
      <w:marTop w:val="0"/>
      <w:marBottom w:val="0"/>
      <w:divBdr>
        <w:top w:val="none" w:sz="0" w:space="0" w:color="auto"/>
        <w:left w:val="none" w:sz="0" w:space="0" w:color="auto"/>
        <w:bottom w:val="none" w:sz="0" w:space="0" w:color="auto"/>
        <w:right w:val="none" w:sz="0" w:space="0" w:color="auto"/>
      </w:divBdr>
    </w:div>
    <w:div w:id="1312061527">
      <w:bodyDiv w:val="1"/>
      <w:marLeft w:val="0"/>
      <w:marRight w:val="0"/>
      <w:marTop w:val="0"/>
      <w:marBottom w:val="0"/>
      <w:divBdr>
        <w:top w:val="none" w:sz="0" w:space="0" w:color="auto"/>
        <w:left w:val="none" w:sz="0" w:space="0" w:color="auto"/>
        <w:bottom w:val="none" w:sz="0" w:space="0" w:color="auto"/>
        <w:right w:val="none" w:sz="0" w:space="0" w:color="auto"/>
      </w:divBdr>
    </w:div>
    <w:div w:id="1313676834">
      <w:bodyDiv w:val="1"/>
      <w:marLeft w:val="0"/>
      <w:marRight w:val="0"/>
      <w:marTop w:val="0"/>
      <w:marBottom w:val="0"/>
      <w:divBdr>
        <w:top w:val="none" w:sz="0" w:space="0" w:color="auto"/>
        <w:left w:val="none" w:sz="0" w:space="0" w:color="auto"/>
        <w:bottom w:val="none" w:sz="0" w:space="0" w:color="auto"/>
        <w:right w:val="none" w:sz="0" w:space="0" w:color="auto"/>
      </w:divBdr>
    </w:div>
    <w:div w:id="1315716100">
      <w:bodyDiv w:val="1"/>
      <w:marLeft w:val="0"/>
      <w:marRight w:val="0"/>
      <w:marTop w:val="0"/>
      <w:marBottom w:val="0"/>
      <w:divBdr>
        <w:top w:val="none" w:sz="0" w:space="0" w:color="auto"/>
        <w:left w:val="none" w:sz="0" w:space="0" w:color="auto"/>
        <w:bottom w:val="none" w:sz="0" w:space="0" w:color="auto"/>
        <w:right w:val="none" w:sz="0" w:space="0" w:color="auto"/>
      </w:divBdr>
    </w:div>
    <w:div w:id="1317950255">
      <w:bodyDiv w:val="1"/>
      <w:marLeft w:val="0"/>
      <w:marRight w:val="0"/>
      <w:marTop w:val="0"/>
      <w:marBottom w:val="0"/>
      <w:divBdr>
        <w:top w:val="none" w:sz="0" w:space="0" w:color="auto"/>
        <w:left w:val="none" w:sz="0" w:space="0" w:color="auto"/>
        <w:bottom w:val="none" w:sz="0" w:space="0" w:color="auto"/>
        <w:right w:val="none" w:sz="0" w:space="0" w:color="auto"/>
      </w:divBdr>
    </w:div>
    <w:div w:id="1323971996">
      <w:bodyDiv w:val="1"/>
      <w:marLeft w:val="0"/>
      <w:marRight w:val="0"/>
      <w:marTop w:val="0"/>
      <w:marBottom w:val="0"/>
      <w:divBdr>
        <w:top w:val="none" w:sz="0" w:space="0" w:color="auto"/>
        <w:left w:val="none" w:sz="0" w:space="0" w:color="auto"/>
        <w:bottom w:val="none" w:sz="0" w:space="0" w:color="auto"/>
        <w:right w:val="none" w:sz="0" w:space="0" w:color="auto"/>
      </w:divBdr>
    </w:div>
    <w:div w:id="1325935109">
      <w:bodyDiv w:val="1"/>
      <w:marLeft w:val="0"/>
      <w:marRight w:val="0"/>
      <w:marTop w:val="0"/>
      <w:marBottom w:val="0"/>
      <w:divBdr>
        <w:top w:val="none" w:sz="0" w:space="0" w:color="auto"/>
        <w:left w:val="none" w:sz="0" w:space="0" w:color="auto"/>
        <w:bottom w:val="none" w:sz="0" w:space="0" w:color="auto"/>
        <w:right w:val="none" w:sz="0" w:space="0" w:color="auto"/>
      </w:divBdr>
    </w:div>
    <w:div w:id="1332368482">
      <w:bodyDiv w:val="1"/>
      <w:marLeft w:val="0"/>
      <w:marRight w:val="0"/>
      <w:marTop w:val="0"/>
      <w:marBottom w:val="0"/>
      <w:divBdr>
        <w:top w:val="none" w:sz="0" w:space="0" w:color="auto"/>
        <w:left w:val="none" w:sz="0" w:space="0" w:color="auto"/>
        <w:bottom w:val="none" w:sz="0" w:space="0" w:color="auto"/>
        <w:right w:val="none" w:sz="0" w:space="0" w:color="auto"/>
      </w:divBdr>
    </w:div>
    <w:div w:id="1333264509">
      <w:bodyDiv w:val="1"/>
      <w:marLeft w:val="0"/>
      <w:marRight w:val="0"/>
      <w:marTop w:val="0"/>
      <w:marBottom w:val="0"/>
      <w:divBdr>
        <w:top w:val="none" w:sz="0" w:space="0" w:color="auto"/>
        <w:left w:val="none" w:sz="0" w:space="0" w:color="auto"/>
        <w:bottom w:val="none" w:sz="0" w:space="0" w:color="auto"/>
        <w:right w:val="none" w:sz="0" w:space="0" w:color="auto"/>
      </w:divBdr>
    </w:div>
    <w:div w:id="1333679839">
      <w:bodyDiv w:val="1"/>
      <w:marLeft w:val="0"/>
      <w:marRight w:val="0"/>
      <w:marTop w:val="0"/>
      <w:marBottom w:val="0"/>
      <w:divBdr>
        <w:top w:val="none" w:sz="0" w:space="0" w:color="auto"/>
        <w:left w:val="none" w:sz="0" w:space="0" w:color="auto"/>
        <w:bottom w:val="none" w:sz="0" w:space="0" w:color="auto"/>
        <w:right w:val="none" w:sz="0" w:space="0" w:color="auto"/>
      </w:divBdr>
    </w:div>
    <w:div w:id="1354772056">
      <w:bodyDiv w:val="1"/>
      <w:marLeft w:val="0"/>
      <w:marRight w:val="0"/>
      <w:marTop w:val="0"/>
      <w:marBottom w:val="0"/>
      <w:divBdr>
        <w:top w:val="none" w:sz="0" w:space="0" w:color="auto"/>
        <w:left w:val="none" w:sz="0" w:space="0" w:color="auto"/>
        <w:bottom w:val="none" w:sz="0" w:space="0" w:color="auto"/>
        <w:right w:val="none" w:sz="0" w:space="0" w:color="auto"/>
      </w:divBdr>
    </w:div>
    <w:div w:id="1364667458">
      <w:bodyDiv w:val="1"/>
      <w:marLeft w:val="0"/>
      <w:marRight w:val="0"/>
      <w:marTop w:val="0"/>
      <w:marBottom w:val="0"/>
      <w:divBdr>
        <w:top w:val="none" w:sz="0" w:space="0" w:color="auto"/>
        <w:left w:val="none" w:sz="0" w:space="0" w:color="auto"/>
        <w:bottom w:val="none" w:sz="0" w:space="0" w:color="auto"/>
        <w:right w:val="none" w:sz="0" w:space="0" w:color="auto"/>
      </w:divBdr>
    </w:div>
    <w:div w:id="1390573884">
      <w:bodyDiv w:val="1"/>
      <w:marLeft w:val="0"/>
      <w:marRight w:val="0"/>
      <w:marTop w:val="0"/>
      <w:marBottom w:val="0"/>
      <w:divBdr>
        <w:top w:val="none" w:sz="0" w:space="0" w:color="auto"/>
        <w:left w:val="none" w:sz="0" w:space="0" w:color="auto"/>
        <w:bottom w:val="none" w:sz="0" w:space="0" w:color="auto"/>
        <w:right w:val="none" w:sz="0" w:space="0" w:color="auto"/>
      </w:divBdr>
    </w:div>
    <w:div w:id="1393582623">
      <w:bodyDiv w:val="1"/>
      <w:marLeft w:val="0"/>
      <w:marRight w:val="0"/>
      <w:marTop w:val="0"/>
      <w:marBottom w:val="0"/>
      <w:divBdr>
        <w:top w:val="none" w:sz="0" w:space="0" w:color="auto"/>
        <w:left w:val="none" w:sz="0" w:space="0" w:color="auto"/>
        <w:bottom w:val="none" w:sz="0" w:space="0" w:color="auto"/>
        <w:right w:val="none" w:sz="0" w:space="0" w:color="auto"/>
      </w:divBdr>
    </w:div>
    <w:div w:id="1402872222">
      <w:bodyDiv w:val="1"/>
      <w:marLeft w:val="0"/>
      <w:marRight w:val="0"/>
      <w:marTop w:val="0"/>
      <w:marBottom w:val="0"/>
      <w:divBdr>
        <w:top w:val="none" w:sz="0" w:space="0" w:color="auto"/>
        <w:left w:val="none" w:sz="0" w:space="0" w:color="auto"/>
        <w:bottom w:val="none" w:sz="0" w:space="0" w:color="auto"/>
        <w:right w:val="none" w:sz="0" w:space="0" w:color="auto"/>
      </w:divBdr>
    </w:div>
    <w:div w:id="1408383402">
      <w:bodyDiv w:val="1"/>
      <w:marLeft w:val="0"/>
      <w:marRight w:val="0"/>
      <w:marTop w:val="0"/>
      <w:marBottom w:val="0"/>
      <w:divBdr>
        <w:top w:val="none" w:sz="0" w:space="0" w:color="auto"/>
        <w:left w:val="none" w:sz="0" w:space="0" w:color="auto"/>
        <w:bottom w:val="none" w:sz="0" w:space="0" w:color="auto"/>
        <w:right w:val="none" w:sz="0" w:space="0" w:color="auto"/>
      </w:divBdr>
    </w:div>
    <w:div w:id="1409882224">
      <w:bodyDiv w:val="1"/>
      <w:marLeft w:val="0"/>
      <w:marRight w:val="0"/>
      <w:marTop w:val="0"/>
      <w:marBottom w:val="0"/>
      <w:divBdr>
        <w:top w:val="none" w:sz="0" w:space="0" w:color="auto"/>
        <w:left w:val="none" w:sz="0" w:space="0" w:color="auto"/>
        <w:bottom w:val="none" w:sz="0" w:space="0" w:color="auto"/>
        <w:right w:val="none" w:sz="0" w:space="0" w:color="auto"/>
      </w:divBdr>
    </w:div>
    <w:div w:id="1421022479">
      <w:bodyDiv w:val="1"/>
      <w:marLeft w:val="0"/>
      <w:marRight w:val="0"/>
      <w:marTop w:val="0"/>
      <w:marBottom w:val="0"/>
      <w:divBdr>
        <w:top w:val="none" w:sz="0" w:space="0" w:color="auto"/>
        <w:left w:val="none" w:sz="0" w:space="0" w:color="auto"/>
        <w:bottom w:val="none" w:sz="0" w:space="0" w:color="auto"/>
        <w:right w:val="none" w:sz="0" w:space="0" w:color="auto"/>
      </w:divBdr>
    </w:div>
    <w:div w:id="1435830896">
      <w:bodyDiv w:val="1"/>
      <w:marLeft w:val="0"/>
      <w:marRight w:val="0"/>
      <w:marTop w:val="0"/>
      <w:marBottom w:val="0"/>
      <w:divBdr>
        <w:top w:val="none" w:sz="0" w:space="0" w:color="auto"/>
        <w:left w:val="none" w:sz="0" w:space="0" w:color="auto"/>
        <w:bottom w:val="none" w:sz="0" w:space="0" w:color="auto"/>
        <w:right w:val="none" w:sz="0" w:space="0" w:color="auto"/>
      </w:divBdr>
    </w:div>
    <w:div w:id="1440176956">
      <w:bodyDiv w:val="1"/>
      <w:marLeft w:val="0"/>
      <w:marRight w:val="0"/>
      <w:marTop w:val="0"/>
      <w:marBottom w:val="0"/>
      <w:divBdr>
        <w:top w:val="none" w:sz="0" w:space="0" w:color="auto"/>
        <w:left w:val="none" w:sz="0" w:space="0" w:color="auto"/>
        <w:bottom w:val="none" w:sz="0" w:space="0" w:color="auto"/>
        <w:right w:val="none" w:sz="0" w:space="0" w:color="auto"/>
      </w:divBdr>
    </w:div>
    <w:div w:id="1449546859">
      <w:bodyDiv w:val="1"/>
      <w:marLeft w:val="0"/>
      <w:marRight w:val="0"/>
      <w:marTop w:val="0"/>
      <w:marBottom w:val="0"/>
      <w:divBdr>
        <w:top w:val="none" w:sz="0" w:space="0" w:color="auto"/>
        <w:left w:val="none" w:sz="0" w:space="0" w:color="auto"/>
        <w:bottom w:val="none" w:sz="0" w:space="0" w:color="auto"/>
        <w:right w:val="none" w:sz="0" w:space="0" w:color="auto"/>
      </w:divBdr>
    </w:div>
    <w:div w:id="1457215426">
      <w:bodyDiv w:val="1"/>
      <w:marLeft w:val="0"/>
      <w:marRight w:val="0"/>
      <w:marTop w:val="0"/>
      <w:marBottom w:val="0"/>
      <w:divBdr>
        <w:top w:val="none" w:sz="0" w:space="0" w:color="auto"/>
        <w:left w:val="none" w:sz="0" w:space="0" w:color="auto"/>
        <w:bottom w:val="none" w:sz="0" w:space="0" w:color="auto"/>
        <w:right w:val="none" w:sz="0" w:space="0" w:color="auto"/>
      </w:divBdr>
    </w:div>
    <w:div w:id="1463301470">
      <w:bodyDiv w:val="1"/>
      <w:marLeft w:val="0"/>
      <w:marRight w:val="0"/>
      <w:marTop w:val="0"/>
      <w:marBottom w:val="0"/>
      <w:divBdr>
        <w:top w:val="none" w:sz="0" w:space="0" w:color="auto"/>
        <w:left w:val="none" w:sz="0" w:space="0" w:color="auto"/>
        <w:bottom w:val="none" w:sz="0" w:space="0" w:color="auto"/>
        <w:right w:val="none" w:sz="0" w:space="0" w:color="auto"/>
      </w:divBdr>
    </w:div>
    <w:div w:id="1490634174">
      <w:bodyDiv w:val="1"/>
      <w:marLeft w:val="0"/>
      <w:marRight w:val="0"/>
      <w:marTop w:val="0"/>
      <w:marBottom w:val="0"/>
      <w:divBdr>
        <w:top w:val="none" w:sz="0" w:space="0" w:color="auto"/>
        <w:left w:val="none" w:sz="0" w:space="0" w:color="auto"/>
        <w:bottom w:val="none" w:sz="0" w:space="0" w:color="auto"/>
        <w:right w:val="none" w:sz="0" w:space="0" w:color="auto"/>
      </w:divBdr>
    </w:div>
    <w:div w:id="1500122437">
      <w:bodyDiv w:val="1"/>
      <w:marLeft w:val="0"/>
      <w:marRight w:val="0"/>
      <w:marTop w:val="0"/>
      <w:marBottom w:val="0"/>
      <w:divBdr>
        <w:top w:val="none" w:sz="0" w:space="0" w:color="auto"/>
        <w:left w:val="none" w:sz="0" w:space="0" w:color="auto"/>
        <w:bottom w:val="none" w:sz="0" w:space="0" w:color="auto"/>
        <w:right w:val="none" w:sz="0" w:space="0" w:color="auto"/>
      </w:divBdr>
    </w:div>
    <w:div w:id="1507210744">
      <w:bodyDiv w:val="1"/>
      <w:marLeft w:val="0"/>
      <w:marRight w:val="0"/>
      <w:marTop w:val="0"/>
      <w:marBottom w:val="0"/>
      <w:divBdr>
        <w:top w:val="none" w:sz="0" w:space="0" w:color="auto"/>
        <w:left w:val="none" w:sz="0" w:space="0" w:color="auto"/>
        <w:bottom w:val="none" w:sz="0" w:space="0" w:color="auto"/>
        <w:right w:val="none" w:sz="0" w:space="0" w:color="auto"/>
      </w:divBdr>
    </w:div>
    <w:div w:id="1535925458">
      <w:bodyDiv w:val="1"/>
      <w:marLeft w:val="0"/>
      <w:marRight w:val="0"/>
      <w:marTop w:val="0"/>
      <w:marBottom w:val="0"/>
      <w:divBdr>
        <w:top w:val="none" w:sz="0" w:space="0" w:color="auto"/>
        <w:left w:val="none" w:sz="0" w:space="0" w:color="auto"/>
        <w:bottom w:val="none" w:sz="0" w:space="0" w:color="auto"/>
        <w:right w:val="none" w:sz="0" w:space="0" w:color="auto"/>
      </w:divBdr>
    </w:div>
    <w:div w:id="1543977103">
      <w:bodyDiv w:val="1"/>
      <w:marLeft w:val="0"/>
      <w:marRight w:val="0"/>
      <w:marTop w:val="0"/>
      <w:marBottom w:val="0"/>
      <w:divBdr>
        <w:top w:val="none" w:sz="0" w:space="0" w:color="auto"/>
        <w:left w:val="none" w:sz="0" w:space="0" w:color="auto"/>
        <w:bottom w:val="none" w:sz="0" w:space="0" w:color="auto"/>
        <w:right w:val="none" w:sz="0" w:space="0" w:color="auto"/>
      </w:divBdr>
    </w:div>
    <w:div w:id="1544899513">
      <w:bodyDiv w:val="1"/>
      <w:marLeft w:val="0"/>
      <w:marRight w:val="0"/>
      <w:marTop w:val="0"/>
      <w:marBottom w:val="0"/>
      <w:divBdr>
        <w:top w:val="none" w:sz="0" w:space="0" w:color="auto"/>
        <w:left w:val="none" w:sz="0" w:space="0" w:color="auto"/>
        <w:bottom w:val="none" w:sz="0" w:space="0" w:color="auto"/>
        <w:right w:val="none" w:sz="0" w:space="0" w:color="auto"/>
      </w:divBdr>
    </w:div>
    <w:div w:id="1547374074">
      <w:bodyDiv w:val="1"/>
      <w:marLeft w:val="0"/>
      <w:marRight w:val="0"/>
      <w:marTop w:val="0"/>
      <w:marBottom w:val="0"/>
      <w:divBdr>
        <w:top w:val="none" w:sz="0" w:space="0" w:color="auto"/>
        <w:left w:val="none" w:sz="0" w:space="0" w:color="auto"/>
        <w:bottom w:val="none" w:sz="0" w:space="0" w:color="auto"/>
        <w:right w:val="none" w:sz="0" w:space="0" w:color="auto"/>
      </w:divBdr>
    </w:div>
    <w:div w:id="1552958276">
      <w:bodyDiv w:val="1"/>
      <w:marLeft w:val="0"/>
      <w:marRight w:val="0"/>
      <w:marTop w:val="0"/>
      <w:marBottom w:val="0"/>
      <w:divBdr>
        <w:top w:val="none" w:sz="0" w:space="0" w:color="auto"/>
        <w:left w:val="none" w:sz="0" w:space="0" w:color="auto"/>
        <w:bottom w:val="none" w:sz="0" w:space="0" w:color="auto"/>
        <w:right w:val="none" w:sz="0" w:space="0" w:color="auto"/>
      </w:divBdr>
    </w:div>
    <w:div w:id="1560241885">
      <w:bodyDiv w:val="1"/>
      <w:marLeft w:val="0"/>
      <w:marRight w:val="0"/>
      <w:marTop w:val="0"/>
      <w:marBottom w:val="0"/>
      <w:divBdr>
        <w:top w:val="none" w:sz="0" w:space="0" w:color="auto"/>
        <w:left w:val="none" w:sz="0" w:space="0" w:color="auto"/>
        <w:bottom w:val="none" w:sz="0" w:space="0" w:color="auto"/>
        <w:right w:val="none" w:sz="0" w:space="0" w:color="auto"/>
      </w:divBdr>
    </w:div>
    <w:div w:id="1574851760">
      <w:bodyDiv w:val="1"/>
      <w:marLeft w:val="0"/>
      <w:marRight w:val="0"/>
      <w:marTop w:val="0"/>
      <w:marBottom w:val="0"/>
      <w:divBdr>
        <w:top w:val="none" w:sz="0" w:space="0" w:color="auto"/>
        <w:left w:val="none" w:sz="0" w:space="0" w:color="auto"/>
        <w:bottom w:val="none" w:sz="0" w:space="0" w:color="auto"/>
        <w:right w:val="none" w:sz="0" w:space="0" w:color="auto"/>
      </w:divBdr>
    </w:div>
    <w:div w:id="1579826810">
      <w:bodyDiv w:val="1"/>
      <w:marLeft w:val="0"/>
      <w:marRight w:val="0"/>
      <w:marTop w:val="0"/>
      <w:marBottom w:val="0"/>
      <w:divBdr>
        <w:top w:val="none" w:sz="0" w:space="0" w:color="auto"/>
        <w:left w:val="none" w:sz="0" w:space="0" w:color="auto"/>
        <w:bottom w:val="none" w:sz="0" w:space="0" w:color="auto"/>
        <w:right w:val="none" w:sz="0" w:space="0" w:color="auto"/>
      </w:divBdr>
    </w:div>
    <w:div w:id="1589928601">
      <w:bodyDiv w:val="1"/>
      <w:marLeft w:val="0"/>
      <w:marRight w:val="0"/>
      <w:marTop w:val="0"/>
      <w:marBottom w:val="0"/>
      <w:divBdr>
        <w:top w:val="none" w:sz="0" w:space="0" w:color="auto"/>
        <w:left w:val="none" w:sz="0" w:space="0" w:color="auto"/>
        <w:bottom w:val="none" w:sz="0" w:space="0" w:color="auto"/>
        <w:right w:val="none" w:sz="0" w:space="0" w:color="auto"/>
      </w:divBdr>
    </w:div>
    <w:div w:id="1596480721">
      <w:bodyDiv w:val="1"/>
      <w:marLeft w:val="0"/>
      <w:marRight w:val="0"/>
      <w:marTop w:val="0"/>
      <w:marBottom w:val="0"/>
      <w:divBdr>
        <w:top w:val="none" w:sz="0" w:space="0" w:color="auto"/>
        <w:left w:val="none" w:sz="0" w:space="0" w:color="auto"/>
        <w:bottom w:val="none" w:sz="0" w:space="0" w:color="auto"/>
        <w:right w:val="none" w:sz="0" w:space="0" w:color="auto"/>
      </w:divBdr>
    </w:div>
    <w:div w:id="1597127857">
      <w:bodyDiv w:val="1"/>
      <w:marLeft w:val="0"/>
      <w:marRight w:val="0"/>
      <w:marTop w:val="0"/>
      <w:marBottom w:val="0"/>
      <w:divBdr>
        <w:top w:val="none" w:sz="0" w:space="0" w:color="auto"/>
        <w:left w:val="none" w:sz="0" w:space="0" w:color="auto"/>
        <w:bottom w:val="none" w:sz="0" w:space="0" w:color="auto"/>
        <w:right w:val="none" w:sz="0" w:space="0" w:color="auto"/>
      </w:divBdr>
    </w:div>
    <w:div w:id="1598324449">
      <w:bodyDiv w:val="1"/>
      <w:marLeft w:val="0"/>
      <w:marRight w:val="0"/>
      <w:marTop w:val="0"/>
      <w:marBottom w:val="0"/>
      <w:divBdr>
        <w:top w:val="none" w:sz="0" w:space="0" w:color="auto"/>
        <w:left w:val="none" w:sz="0" w:space="0" w:color="auto"/>
        <w:bottom w:val="none" w:sz="0" w:space="0" w:color="auto"/>
        <w:right w:val="none" w:sz="0" w:space="0" w:color="auto"/>
      </w:divBdr>
    </w:div>
    <w:div w:id="1598445554">
      <w:bodyDiv w:val="1"/>
      <w:marLeft w:val="0"/>
      <w:marRight w:val="0"/>
      <w:marTop w:val="0"/>
      <w:marBottom w:val="0"/>
      <w:divBdr>
        <w:top w:val="none" w:sz="0" w:space="0" w:color="auto"/>
        <w:left w:val="none" w:sz="0" w:space="0" w:color="auto"/>
        <w:bottom w:val="none" w:sz="0" w:space="0" w:color="auto"/>
        <w:right w:val="none" w:sz="0" w:space="0" w:color="auto"/>
      </w:divBdr>
    </w:div>
    <w:div w:id="1606385300">
      <w:bodyDiv w:val="1"/>
      <w:marLeft w:val="0"/>
      <w:marRight w:val="0"/>
      <w:marTop w:val="0"/>
      <w:marBottom w:val="0"/>
      <w:divBdr>
        <w:top w:val="none" w:sz="0" w:space="0" w:color="auto"/>
        <w:left w:val="none" w:sz="0" w:space="0" w:color="auto"/>
        <w:bottom w:val="none" w:sz="0" w:space="0" w:color="auto"/>
        <w:right w:val="none" w:sz="0" w:space="0" w:color="auto"/>
      </w:divBdr>
    </w:div>
    <w:div w:id="1607156731">
      <w:bodyDiv w:val="1"/>
      <w:marLeft w:val="0"/>
      <w:marRight w:val="0"/>
      <w:marTop w:val="0"/>
      <w:marBottom w:val="0"/>
      <w:divBdr>
        <w:top w:val="none" w:sz="0" w:space="0" w:color="auto"/>
        <w:left w:val="none" w:sz="0" w:space="0" w:color="auto"/>
        <w:bottom w:val="none" w:sz="0" w:space="0" w:color="auto"/>
        <w:right w:val="none" w:sz="0" w:space="0" w:color="auto"/>
      </w:divBdr>
    </w:div>
    <w:div w:id="1619020286">
      <w:bodyDiv w:val="1"/>
      <w:marLeft w:val="0"/>
      <w:marRight w:val="0"/>
      <w:marTop w:val="0"/>
      <w:marBottom w:val="0"/>
      <w:divBdr>
        <w:top w:val="none" w:sz="0" w:space="0" w:color="auto"/>
        <w:left w:val="none" w:sz="0" w:space="0" w:color="auto"/>
        <w:bottom w:val="none" w:sz="0" w:space="0" w:color="auto"/>
        <w:right w:val="none" w:sz="0" w:space="0" w:color="auto"/>
      </w:divBdr>
    </w:div>
    <w:div w:id="1620139344">
      <w:bodyDiv w:val="1"/>
      <w:marLeft w:val="0"/>
      <w:marRight w:val="0"/>
      <w:marTop w:val="0"/>
      <w:marBottom w:val="0"/>
      <w:divBdr>
        <w:top w:val="none" w:sz="0" w:space="0" w:color="auto"/>
        <w:left w:val="none" w:sz="0" w:space="0" w:color="auto"/>
        <w:bottom w:val="none" w:sz="0" w:space="0" w:color="auto"/>
        <w:right w:val="none" w:sz="0" w:space="0" w:color="auto"/>
      </w:divBdr>
    </w:div>
    <w:div w:id="1623222035">
      <w:bodyDiv w:val="1"/>
      <w:marLeft w:val="0"/>
      <w:marRight w:val="0"/>
      <w:marTop w:val="0"/>
      <w:marBottom w:val="0"/>
      <w:divBdr>
        <w:top w:val="none" w:sz="0" w:space="0" w:color="auto"/>
        <w:left w:val="none" w:sz="0" w:space="0" w:color="auto"/>
        <w:bottom w:val="none" w:sz="0" w:space="0" w:color="auto"/>
        <w:right w:val="none" w:sz="0" w:space="0" w:color="auto"/>
      </w:divBdr>
    </w:div>
    <w:div w:id="1639804237">
      <w:bodyDiv w:val="1"/>
      <w:marLeft w:val="0"/>
      <w:marRight w:val="0"/>
      <w:marTop w:val="0"/>
      <w:marBottom w:val="0"/>
      <w:divBdr>
        <w:top w:val="none" w:sz="0" w:space="0" w:color="auto"/>
        <w:left w:val="none" w:sz="0" w:space="0" w:color="auto"/>
        <w:bottom w:val="none" w:sz="0" w:space="0" w:color="auto"/>
        <w:right w:val="none" w:sz="0" w:space="0" w:color="auto"/>
      </w:divBdr>
    </w:div>
    <w:div w:id="1643928603">
      <w:bodyDiv w:val="1"/>
      <w:marLeft w:val="0"/>
      <w:marRight w:val="0"/>
      <w:marTop w:val="0"/>
      <w:marBottom w:val="0"/>
      <w:divBdr>
        <w:top w:val="none" w:sz="0" w:space="0" w:color="auto"/>
        <w:left w:val="none" w:sz="0" w:space="0" w:color="auto"/>
        <w:bottom w:val="none" w:sz="0" w:space="0" w:color="auto"/>
        <w:right w:val="none" w:sz="0" w:space="0" w:color="auto"/>
      </w:divBdr>
    </w:div>
    <w:div w:id="1654487400">
      <w:bodyDiv w:val="1"/>
      <w:marLeft w:val="0"/>
      <w:marRight w:val="0"/>
      <w:marTop w:val="0"/>
      <w:marBottom w:val="0"/>
      <w:divBdr>
        <w:top w:val="none" w:sz="0" w:space="0" w:color="auto"/>
        <w:left w:val="none" w:sz="0" w:space="0" w:color="auto"/>
        <w:bottom w:val="none" w:sz="0" w:space="0" w:color="auto"/>
        <w:right w:val="none" w:sz="0" w:space="0" w:color="auto"/>
      </w:divBdr>
    </w:div>
    <w:div w:id="1662194445">
      <w:bodyDiv w:val="1"/>
      <w:marLeft w:val="0"/>
      <w:marRight w:val="0"/>
      <w:marTop w:val="0"/>
      <w:marBottom w:val="0"/>
      <w:divBdr>
        <w:top w:val="none" w:sz="0" w:space="0" w:color="auto"/>
        <w:left w:val="none" w:sz="0" w:space="0" w:color="auto"/>
        <w:bottom w:val="none" w:sz="0" w:space="0" w:color="auto"/>
        <w:right w:val="none" w:sz="0" w:space="0" w:color="auto"/>
      </w:divBdr>
    </w:div>
    <w:div w:id="1667978486">
      <w:bodyDiv w:val="1"/>
      <w:marLeft w:val="0"/>
      <w:marRight w:val="0"/>
      <w:marTop w:val="0"/>
      <w:marBottom w:val="0"/>
      <w:divBdr>
        <w:top w:val="none" w:sz="0" w:space="0" w:color="auto"/>
        <w:left w:val="none" w:sz="0" w:space="0" w:color="auto"/>
        <w:bottom w:val="none" w:sz="0" w:space="0" w:color="auto"/>
        <w:right w:val="none" w:sz="0" w:space="0" w:color="auto"/>
      </w:divBdr>
    </w:div>
    <w:div w:id="1670282757">
      <w:bodyDiv w:val="1"/>
      <w:marLeft w:val="0"/>
      <w:marRight w:val="0"/>
      <w:marTop w:val="0"/>
      <w:marBottom w:val="0"/>
      <w:divBdr>
        <w:top w:val="none" w:sz="0" w:space="0" w:color="auto"/>
        <w:left w:val="none" w:sz="0" w:space="0" w:color="auto"/>
        <w:bottom w:val="none" w:sz="0" w:space="0" w:color="auto"/>
        <w:right w:val="none" w:sz="0" w:space="0" w:color="auto"/>
      </w:divBdr>
    </w:div>
    <w:div w:id="1693409739">
      <w:bodyDiv w:val="1"/>
      <w:marLeft w:val="0"/>
      <w:marRight w:val="0"/>
      <w:marTop w:val="0"/>
      <w:marBottom w:val="0"/>
      <w:divBdr>
        <w:top w:val="none" w:sz="0" w:space="0" w:color="auto"/>
        <w:left w:val="none" w:sz="0" w:space="0" w:color="auto"/>
        <w:bottom w:val="none" w:sz="0" w:space="0" w:color="auto"/>
        <w:right w:val="none" w:sz="0" w:space="0" w:color="auto"/>
      </w:divBdr>
    </w:div>
    <w:div w:id="1713074982">
      <w:bodyDiv w:val="1"/>
      <w:marLeft w:val="0"/>
      <w:marRight w:val="0"/>
      <w:marTop w:val="0"/>
      <w:marBottom w:val="0"/>
      <w:divBdr>
        <w:top w:val="none" w:sz="0" w:space="0" w:color="auto"/>
        <w:left w:val="none" w:sz="0" w:space="0" w:color="auto"/>
        <w:bottom w:val="none" w:sz="0" w:space="0" w:color="auto"/>
        <w:right w:val="none" w:sz="0" w:space="0" w:color="auto"/>
      </w:divBdr>
    </w:div>
    <w:div w:id="1715277303">
      <w:bodyDiv w:val="1"/>
      <w:marLeft w:val="0"/>
      <w:marRight w:val="0"/>
      <w:marTop w:val="0"/>
      <w:marBottom w:val="0"/>
      <w:divBdr>
        <w:top w:val="none" w:sz="0" w:space="0" w:color="auto"/>
        <w:left w:val="none" w:sz="0" w:space="0" w:color="auto"/>
        <w:bottom w:val="none" w:sz="0" w:space="0" w:color="auto"/>
        <w:right w:val="none" w:sz="0" w:space="0" w:color="auto"/>
      </w:divBdr>
    </w:div>
    <w:div w:id="1716084201">
      <w:bodyDiv w:val="1"/>
      <w:marLeft w:val="0"/>
      <w:marRight w:val="0"/>
      <w:marTop w:val="0"/>
      <w:marBottom w:val="0"/>
      <w:divBdr>
        <w:top w:val="none" w:sz="0" w:space="0" w:color="auto"/>
        <w:left w:val="none" w:sz="0" w:space="0" w:color="auto"/>
        <w:bottom w:val="none" w:sz="0" w:space="0" w:color="auto"/>
        <w:right w:val="none" w:sz="0" w:space="0" w:color="auto"/>
      </w:divBdr>
    </w:div>
    <w:div w:id="1725448550">
      <w:bodyDiv w:val="1"/>
      <w:marLeft w:val="0"/>
      <w:marRight w:val="0"/>
      <w:marTop w:val="0"/>
      <w:marBottom w:val="0"/>
      <w:divBdr>
        <w:top w:val="none" w:sz="0" w:space="0" w:color="auto"/>
        <w:left w:val="none" w:sz="0" w:space="0" w:color="auto"/>
        <w:bottom w:val="none" w:sz="0" w:space="0" w:color="auto"/>
        <w:right w:val="none" w:sz="0" w:space="0" w:color="auto"/>
      </w:divBdr>
    </w:div>
    <w:div w:id="1730229531">
      <w:bodyDiv w:val="1"/>
      <w:marLeft w:val="0"/>
      <w:marRight w:val="0"/>
      <w:marTop w:val="0"/>
      <w:marBottom w:val="0"/>
      <w:divBdr>
        <w:top w:val="none" w:sz="0" w:space="0" w:color="auto"/>
        <w:left w:val="none" w:sz="0" w:space="0" w:color="auto"/>
        <w:bottom w:val="none" w:sz="0" w:space="0" w:color="auto"/>
        <w:right w:val="none" w:sz="0" w:space="0" w:color="auto"/>
      </w:divBdr>
    </w:div>
    <w:div w:id="1743481618">
      <w:bodyDiv w:val="1"/>
      <w:marLeft w:val="0"/>
      <w:marRight w:val="0"/>
      <w:marTop w:val="0"/>
      <w:marBottom w:val="0"/>
      <w:divBdr>
        <w:top w:val="none" w:sz="0" w:space="0" w:color="auto"/>
        <w:left w:val="none" w:sz="0" w:space="0" w:color="auto"/>
        <w:bottom w:val="none" w:sz="0" w:space="0" w:color="auto"/>
        <w:right w:val="none" w:sz="0" w:space="0" w:color="auto"/>
      </w:divBdr>
    </w:div>
    <w:div w:id="1762219886">
      <w:bodyDiv w:val="1"/>
      <w:marLeft w:val="0"/>
      <w:marRight w:val="0"/>
      <w:marTop w:val="0"/>
      <w:marBottom w:val="0"/>
      <w:divBdr>
        <w:top w:val="none" w:sz="0" w:space="0" w:color="auto"/>
        <w:left w:val="none" w:sz="0" w:space="0" w:color="auto"/>
        <w:bottom w:val="none" w:sz="0" w:space="0" w:color="auto"/>
        <w:right w:val="none" w:sz="0" w:space="0" w:color="auto"/>
      </w:divBdr>
    </w:div>
    <w:div w:id="1765104419">
      <w:bodyDiv w:val="1"/>
      <w:marLeft w:val="0"/>
      <w:marRight w:val="0"/>
      <w:marTop w:val="0"/>
      <w:marBottom w:val="0"/>
      <w:divBdr>
        <w:top w:val="none" w:sz="0" w:space="0" w:color="auto"/>
        <w:left w:val="none" w:sz="0" w:space="0" w:color="auto"/>
        <w:bottom w:val="none" w:sz="0" w:space="0" w:color="auto"/>
        <w:right w:val="none" w:sz="0" w:space="0" w:color="auto"/>
      </w:divBdr>
    </w:div>
    <w:div w:id="1765416840">
      <w:bodyDiv w:val="1"/>
      <w:marLeft w:val="0"/>
      <w:marRight w:val="0"/>
      <w:marTop w:val="0"/>
      <w:marBottom w:val="0"/>
      <w:divBdr>
        <w:top w:val="none" w:sz="0" w:space="0" w:color="auto"/>
        <w:left w:val="none" w:sz="0" w:space="0" w:color="auto"/>
        <w:bottom w:val="none" w:sz="0" w:space="0" w:color="auto"/>
        <w:right w:val="none" w:sz="0" w:space="0" w:color="auto"/>
      </w:divBdr>
    </w:div>
    <w:div w:id="1766881977">
      <w:bodyDiv w:val="1"/>
      <w:marLeft w:val="0"/>
      <w:marRight w:val="0"/>
      <w:marTop w:val="0"/>
      <w:marBottom w:val="0"/>
      <w:divBdr>
        <w:top w:val="none" w:sz="0" w:space="0" w:color="auto"/>
        <w:left w:val="none" w:sz="0" w:space="0" w:color="auto"/>
        <w:bottom w:val="none" w:sz="0" w:space="0" w:color="auto"/>
        <w:right w:val="none" w:sz="0" w:space="0" w:color="auto"/>
      </w:divBdr>
    </w:div>
    <w:div w:id="1772966283">
      <w:bodyDiv w:val="1"/>
      <w:marLeft w:val="0"/>
      <w:marRight w:val="0"/>
      <w:marTop w:val="0"/>
      <w:marBottom w:val="0"/>
      <w:divBdr>
        <w:top w:val="none" w:sz="0" w:space="0" w:color="auto"/>
        <w:left w:val="none" w:sz="0" w:space="0" w:color="auto"/>
        <w:bottom w:val="none" w:sz="0" w:space="0" w:color="auto"/>
        <w:right w:val="none" w:sz="0" w:space="0" w:color="auto"/>
      </w:divBdr>
    </w:div>
    <w:div w:id="1778599290">
      <w:bodyDiv w:val="1"/>
      <w:marLeft w:val="0"/>
      <w:marRight w:val="0"/>
      <w:marTop w:val="0"/>
      <w:marBottom w:val="0"/>
      <w:divBdr>
        <w:top w:val="none" w:sz="0" w:space="0" w:color="auto"/>
        <w:left w:val="none" w:sz="0" w:space="0" w:color="auto"/>
        <w:bottom w:val="none" w:sz="0" w:space="0" w:color="auto"/>
        <w:right w:val="none" w:sz="0" w:space="0" w:color="auto"/>
      </w:divBdr>
    </w:div>
    <w:div w:id="1782187344">
      <w:bodyDiv w:val="1"/>
      <w:marLeft w:val="0"/>
      <w:marRight w:val="0"/>
      <w:marTop w:val="0"/>
      <w:marBottom w:val="0"/>
      <w:divBdr>
        <w:top w:val="none" w:sz="0" w:space="0" w:color="auto"/>
        <w:left w:val="none" w:sz="0" w:space="0" w:color="auto"/>
        <w:bottom w:val="none" w:sz="0" w:space="0" w:color="auto"/>
        <w:right w:val="none" w:sz="0" w:space="0" w:color="auto"/>
      </w:divBdr>
    </w:div>
    <w:div w:id="1786267939">
      <w:bodyDiv w:val="1"/>
      <w:marLeft w:val="0"/>
      <w:marRight w:val="0"/>
      <w:marTop w:val="0"/>
      <w:marBottom w:val="0"/>
      <w:divBdr>
        <w:top w:val="none" w:sz="0" w:space="0" w:color="auto"/>
        <w:left w:val="none" w:sz="0" w:space="0" w:color="auto"/>
        <w:bottom w:val="none" w:sz="0" w:space="0" w:color="auto"/>
        <w:right w:val="none" w:sz="0" w:space="0" w:color="auto"/>
      </w:divBdr>
    </w:div>
    <w:div w:id="1791513764">
      <w:bodyDiv w:val="1"/>
      <w:marLeft w:val="0"/>
      <w:marRight w:val="0"/>
      <w:marTop w:val="0"/>
      <w:marBottom w:val="0"/>
      <w:divBdr>
        <w:top w:val="none" w:sz="0" w:space="0" w:color="auto"/>
        <w:left w:val="none" w:sz="0" w:space="0" w:color="auto"/>
        <w:bottom w:val="none" w:sz="0" w:space="0" w:color="auto"/>
        <w:right w:val="none" w:sz="0" w:space="0" w:color="auto"/>
      </w:divBdr>
    </w:div>
    <w:div w:id="1792741976">
      <w:bodyDiv w:val="1"/>
      <w:marLeft w:val="0"/>
      <w:marRight w:val="0"/>
      <w:marTop w:val="0"/>
      <w:marBottom w:val="0"/>
      <w:divBdr>
        <w:top w:val="none" w:sz="0" w:space="0" w:color="auto"/>
        <w:left w:val="none" w:sz="0" w:space="0" w:color="auto"/>
        <w:bottom w:val="none" w:sz="0" w:space="0" w:color="auto"/>
        <w:right w:val="none" w:sz="0" w:space="0" w:color="auto"/>
      </w:divBdr>
    </w:div>
    <w:div w:id="1798524409">
      <w:bodyDiv w:val="1"/>
      <w:marLeft w:val="0"/>
      <w:marRight w:val="0"/>
      <w:marTop w:val="0"/>
      <w:marBottom w:val="0"/>
      <w:divBdr>
        <w:top w:val="none" w:sz="0" w:space="0" w:color="auto"/>
        <w:left w:val="none" w:sz="0" w:space="0" w:color="auto"/>
        <w:bottom w:val="none" w:sz="0" w:space="0" w:color="auto"/>
        <w:right w:val="none" w:sz="0" w:space="0" w:color="auto"/>
      </w:divBdr>
    </w:div>
    <w:div w:id="1846826586">
      <w:bodyDiv w:val="1"/>
      <w:marLeft w:val="0"/>
      <w:marRight w:val="0"/>
      <w:marTop w:val="0"/>
      <w:marBottom w:val="0"/>
      <w:divBdr>
        <w:top w:val="none" w:sz="0" w:space="0" w:color="auto"/>
        <w:left w:val="none" w:sz="0" w:space="0" w:color="auto"/>
        <w:bottom w:val="none" w:sz="0" w:space="0" w:color="auto"/>
        <w:right w:val="none" w:sz="0" w:space="0" w:color="auto"/>
      </w:divBdr>
    </w:div>
    <w:div w:id="1847937465">
      <w:bodyDiv w:val="1"/>
      <w:marLeft w:val="0"/>
      <w:marRight w:val="0"/>
      <w:marTop w:val="0"/>
      <w:marBottom w:val="0"/>
      <w:divBdr>
        <w:top w:val="none" w:sz="0" w:space="0" w:color="auto"/>
        <w:left w:val="none" w:sz="0" w:space="0" w:color="auto"/>
        <w:bottom w:val="none" w:sz="0" w:space="0" w:color="auto"/>
        <w:right w:val="none" w:sz="0" w:space="0" w:color="auto"/>
      </w:divBdr>
    </w:div>
    <w:div w:id="1883129140">
      <w:bodyDiv w:val="1"/>
      <w:marLeft w:val="0"/>
      <w:marRight w:val="0"/>
      <w:marTop w:val="0"/>
      <w:marBottom w:val="0"/>
      <w:divBdr>
        <w:top w:val="none" w:sz="0" w:space="0" w:color="auto"/>
        <w:left w:val="none" w:sz="0" w:space="0" w:color="auto"/>
        <w:bottom w:val="none" w:sz="0" w:space="0" w:color="auto"/>
        <w:right w:val="none" w:sz="0" w:space="0" w:color="auto"/>
      </w:divBdr>
    </w:div>
    <w:div w:id="1894387224">
      <w:bodyDiv w:val="1"/>
      <w:marLeft w:val="0"/>
      <w:marRight w:val="0"/>
      <w:marTop w:val="0"/>
      <w:marBottom w:val="0"/>
      <w:divBdr>
        <w:top w:val="none" w:sz="0" w:space="0" w:color="auto"/>
        <w:left w:val="none" w:sz="0" w:space="0" w:color="auto"/>
        <w:bottom w:val="none" w:sz="0" w:space="0" w:color="auto"/>
        <w:right w:val="none" w:sz="0" w:space="0" w:color="auto"/>
      </w:divBdr>
    </w:div>
    <w:div w:id="1903707889">
      <w:bodyDiv w:val="1"/>
      <w:marLeft w:val="0"/>
      <w:marRight w:val="0"/>
      <w:marTop w:val="0"/>
      <w:marBottom w:val="0"/>
      <w:divBdr>
        <w:top w:val="none" w:sz="0" w:space="0" w:color="auto"/>
        <w:left w:val="none" w:sz="0" w:space="0" w:color="auto"/>
        <w:bottom w:val="none" w:sz="0" w:space="0" w:color="auto"/>
        <w:right w:val="none" w:sz="0" w:space="0" w:color="auto"/>
      </w:divBdr>
    </w:div>
    <w:div w:id="1904826123">
      <w:bodyDiv w:val="1"/>
      <w:marLeft w:val="0"/>
      <w:marRight w:val="0"/>
      <w:marTop w:val="0"/>
      <w:marBottom w:val="0"/>
      <w:divBdr>
        <w:top w:val="none" w:sz="0" w:space="0" w:color="auto"/>
        <w:left w:val="none" w:sz="0" w:space="0" w:color="auto"/>
        <w:bottom w:val="none" w:sz="0" w:space="0" w:color="auto"/>
        <w:right w:val="none" w:sz="0" w:space="0" w:color="auto"/>
      </w:divBdr>
    </w:div>
    <w:div w:id="1907183672">
      <w:bodyDiv w:val="1"/>
      <w:marLeft w:val="0"/>
      <w:marRight w:val="0"/>
      <w:marTop w:val="0"/>
      <w:marBottom w:val="0"/>
      <w:divBdr>
        <w:top w:val="none" w:sz="0" w:space="0" w:color="auto"/>
        <w:left w:val="none" w:sz="0" w:space="0" w:color="auto"/>
        <w:bottom w:val="none" w:sz="0" w:space="0" w:color="auto"/>
        <w:right w:val="none" w:sz="0" w:space="0" w:color="auto"/>
      </w:divBdr>
    </w:div>
    <w:div w:id="1956129659">
      <w:bodyDiv w:val="1"/>
      <w:marLeft w:val="0"/>
      <w:marRight w:val="0"/>
      <w:marTop w:val="0"/>
      <w:marBottom w:val="0"/>
      <w:divBdr>
        <w:top w:val="none" w:sz="0" w:space="0" w:color="auto"/>
        <w:left w:val="none" w:sz="0" w:space="0" w:color="auto"/>
        <w:bottom w:val="none" w:sz="0" w:space="0" w:color="auto"/>
        <w:right w:val="none" w:sz="0" w:space="0" w:color="auto"/>
      </w:divBdr>
    </w:div>
    <w:div w:id="1958366163">
      <w:bodyDiv w:val="1"/>
      <w:marLeft w:val="0"/>
      <w:marRight w:val="0"/>
      <w:marTop w:val="0"/>
      <w:marBottom w:val="0"/>
      <w:divBdr>
        <w:top w:val="none" w:sz="0" w:space="0" w:color="auto"/>
        <w:left w:val="none" w:sz="0" w:space="0" w:color="auto"/>
        <w:bottom w:val="none" w:sz="0" w:space="0" w:color="auto"/>
        <w:right w:val="none" w:sz="0" w:space="0" w:color="auto"/>
      </w:divBdr>
    </w:div>
    <w:div w:id="1966740187">
      <w:bodyDiv w:val="1"/>
      <w:marLeft w:val="0"/>
      <w:marRight w:val="0"/>
      <w:marTop w:val="0"/>
      <w:marBottom w:val="0"/>
      <w:divBdr>
        <w:top w:val="none" w:sz="0" w:space="0" w:color="auto"/>
        <w:left w:val="none" w:sz="0" w:space="0" w:color="auto"/>
        <w:bottom w:val="none" w:sz="0" w:space="0" w:color="auto"/>
        <w:right w:val="none" w:sz="0" w:space="0" w:color="auto"/>
      </w:divBdr>
    </w:div>
    <w:div w:id="1966891448">
      <w:bodyDiv w:val="1"/>
      <w:marLeft w:val="0"/>
      <w:marRight w:val="0"/>
      <w:marTop w:val="0"/>
      <w:marBottom w:val="0"/>
      <w:divBdr>
        <w:top w:val="none" w:sz="0" w:space="0" w:color="auto"/>
        <w:left w:val="none" w:sz="0" w:space="0" w:color="auto"/>
        <w:bottom w:val="none" w:sz="0" w:space="0" w:color="auto"/>
        <w:right w:val="none" w:sz="0" w:space="0" w:color="auto"/>
      </w:divBdr>
    </w:div>
    <w:div w:id="1977753783">
      <w:bodyDiv w:val="1"/>
      <w:marLeft w:val="0"/>
      <w:marRight w:val="0"/>
      <w:marTop w:val="0"/>
      <w:marBottom w:val="0"/>
      <w:divBdr>
        <w:top w:val="none" w:sz="0" w:space="0" w:color="auto"/>
        <w:left w:val="none" w:sz="0" w:space="0" w:color="auto"/>
        <w:bottom w:val="none" w:sz="0" w:space="0" w:color="auto"/>
        <w:right w:val="none" w:sz="0" w:space="0" w:color="auto"/>
      </w:divBdr>
    </w:div>
    <w:div w:id="1984117179">
      <w:bodyDiv w:val="1"/>
      <w:marLeft w:val="0"/>
      <w:marRight w:val="0"/>
      <w:marTop w:val="0"/>
      <w:marBottom w:val="0"/>
      <w:divBdr>
        <w:top w:val="none" w:sz="0" w:space="0" w:color="auto"/>
        <w:left w:val="none" w:sz="0" w:space="0" w:color="auto"/>
        <w:bottom w:val="none" w:sz="0" w:space="0" w:color="auto"/>
        <w:right w:val="none" w:sz="0" w:space="0" w:color="auto"/>
      </w:divBdr>
    </w:div>
    <w:div w:id="1985113561">
      <w:bodyDiv w:val="1"/>
      <w:marLeft w:val="0"/>
      <w:marRight w:val="0"/>
      <w:marTop w:val="0"/>
      <w:marBottom w:val="0"/>
      <w:divBdr>
        <w:top w:val="none" w:sz="0" w:space="0" w:color="auto"/>
        <w:left w:val="none" w:sz="0" w:space="0" w:color="auto"/>
        <w:bottom w:val="none" w:sz="0" w:space="0" w:color="auto"/>
        <w:right w:val="none" w:sz="0" w:space="0" w:color="auto"/>
      </w:divBdr>
    </w:div>
    <w:div w:id="1991709351">
      <w:bodyDiv w:val="1"/>
      <w:marLeft w:val="0"/>
      <w:marRight w:val="0"/>
      <w:marTop w:val="0"/>
      <w:marBottom w:val="0"/>
      <w:divBdr>
        <w:top w:val="none" w:sz="0" w:space="0" w:color="auto"/>
        <w:left w:val="none" w:sz="0" w:space="0" w:color="auto"/>
        <w:bottom w:val="none" w:sz="0" w:space="0" w:color="auto"/>
        <w:right w:val="none" w:sz="0" w:space="0" w:color="auto"/>
      </w:divBdr>
    </w:div>
    <w:div w:id="1992320411">
      <w:bodyDiv w:val="1"/>
      <w:marLeft w:val="0"/>
      <w:marRight w:val="0"/>
      <w:marTop w:val="0"/>
      <w:marBottom w:val="0"/>
      <w:divBdr>
        <w:top w:val="none" w:sz="0" w:space="0" w:color="auto"/>
        <w:left w:val="none" w:sz="0" w:space="0" w:color="auto"/>
        <w:bottom w:val="none" w:sz="0" w:space="0" w:color="auto"/>
        <w:right w:val="none" w:sz="0" w:space="0" w:color="auto"/>
      </w:divBdr>
    </w:div>
    <w:div w:id="2003921705">
      <w:bodyDiv w:val="1"/>
      <w:marLeft w:val="0"/>
      <w:marRight w:val="0"/>
      <w:marTop w:val="0"/>
      <w:marBottom w:val="0"/>
      <w:divBdr>
        <w:top w:val="none" w:sz="0" w:space="0" w:color="auto"/>
        <w:left w:val="none" w:sz="0" w:space="0" w:color="auto"/>
        <w:bottom w:val="none" w:sz="0" w:space="0" w:color="auto"/>
        <w:right w:val="none" w:sz="0" w:space="0" w:color="auto"/>
      </w:divBdr>
    </w:div>
    <w:div w:id="2034916706">
      <w:bodyDiv w:val="1"/>
      <w:marLeft w:val="0"/>
      <w:marRight w:val="0"/>
      <w:marTop w:val="0"/>
      <w:marBottom w:val="0"/>
      <w:divBdr>
        <w:top w:val="none" w:sz="0" w:space="0" w:color="auto"/>
        <w:left w:val="none" w:sz="0" w:space="0" w:color="auto"/>
        <w:bottom w:val="none" w:sz="0" w:space="0" w:color="auto"/>
        <w:right w:val="none" w:sz="0" w:space="0" w:color="auto"/>
      </w:divBdr>
    </w:div>
    <w:div w:id="2053382378">
      <w:bodyDiv w:val="1"/>
      <w:marLeft w:val="0"/>
      <w:marRight w:val="0"/>
      <w:marTop w:val="0"/>
      <w:marBottom w:val="0"/>
      <w:divBdr>
        <w:top w:val="none" w:sz="0" w:space="0" w:color="auto"/>
        <w:left w:val="none" w:sz="0" w:space="0" w:color="auto"/>
        <w:bottom w:val="none" w:sz="0" w:space="0" w:color="auto"/>
        <w:right w:val="none" w:sz="0" w:space="0" w:color="auto"/>
      </w:divBdr>
    </w:div>
    <w:div w:id="2057463228">
      <w:bodyDiv w:val="1"/>
      <w:marLeft w:val="0"/>
      <w:marRight w:val="0"/>
      <w:marTop w:val="0"/>
      <w:marBottom w:val="0"/>
      <w:divBdr>
        <w:top w:val="none" w:sz="0" w:space="0" w:color="auto"/>
        <w:left w:val="none" w:sz="0" w:space="0" w:color="auto"/>
        <w:bottom w:val="none" w:sz="0" w:space="0" w:color="auto"/>
        <w:right w:val="none" w:sz="0" w:space="0" w:color="auto"/>
      </w:divBdr>
    </w:div>
    <w:div w:id="2060200667">
      <w:bodyDiv w:val="1"/>
      <w:marLeft w:val="0"/>
      <w:marRight w:val="0"/>
      <w:marTop w:val="0"/>
      <w:marBottom w:val="0"/>
      <w:divBdr>
        <w:top w:val="none" w:sz="0" w:space="0" w:color="auto"/>
        <w:left w:val="none" w:sz="0" w:space="0" w:color="auto"/>
        <w:bottom w:val="none" w:sz="0" w:space="0" w:color="auto"/>
        <w:right w:val="none" w:sz="0" w:space="0" w:color="auto"/>
      </w:divBdr>
    </w:div>
    <w:div w:id="2062437721">
      <w:bodyDiv w:val="1"/>
      <w:marLeft w:val="0"/>
      <w:marRight w:val="0"/>
      <w:marTop w:val="0"/>
      <w:marBottom w:val="0"/>
      <w:divBdr>
        <w:top w:val="none" w:sz="0" w:space="0" w:color="auto"/>
        <w:left w:val="none" w:sz="0" w:space="0" w:color="auto"/>
        <w:bottom w:val="none" w:sz="0" w:space="0" w:color="auto"/>
        <w:right w:val="none" w:sz="0" w:space="0" w:color="auto"/>
      </w:divBdr>
    </w:div>
    <w:div w:id="2065178662">
      <w:bodyDiv w:val="1"/>
      <w:marLeft w:val="0"/>
      <w:marRight w:val="0"/>
      <w:marTop w:val="0"/>
      <w:marBottom w:val="0"/>
      <w:divBdr>
        <w:top w:val="none" w:sz="0" w:space="0" w:color="auto"/>
        <w:left w:val="none" w:sz="0" w:space="0" w:color="auto"/>
        <w:bottom w:val="none" w:sz="0" w:space="0" w:color="auto"/>
        <w:right w:val="none" w:sz="0" w:space="0" w:color="auto"/>
      </w:divBdr>
    </w:div>
    <w:div w:id="2074695627">
      <w:bodyDiv w:val="1"/>
      <w:marLeft w:val="0"/>
      <w:marRight w:val="0"/>
      <w:marTop w:val="0"/>
      <w:marBottom w:val="0"/>
      <w:divBdr>
        <w:top w:val="none" w:sz="0" w:space="0" w:color="auto"/>
        <w:left w:val="none" w:sz="0" w:space="0" w:color="auto"/>
        <w:bottom w:val="none" w:sz="0" w:space="0" w:color="auto"/>
        <w:right w:val="none" w:sz="0" w:space="0" w:color="auto"/>
      </w:divBdr>
    </w:div>
    <w:div w:id="2094692760">
      <w:bodyDiv w:val="1"/>
      <w:marLeft w:val="0"/>
      <w:marRight w:val="0"/>
      <w:marTop w:val="0"/>
      <w:marBottom w:val="0"/>
      <w:divBdr>
        <w:top w:val="none" w:sz="0" w:space="0" w:color="auto"/>
        <w:left w:val="none" w:sz="0" w:space="0" w:color="auto"/>
        <w:bottom w:val="none" w:sz="0" w:space="0" w:color="auto"/>
        <w:right w:val="none" w:sz="0" w:space="0" w:color="auto"/>
      </w:divBdr>
    </w:div>
    <w:div w:id="2104035056">
      <w:bodyDiv w:val="1"/>
      <w:marLeft w:val="0"/>
      <w:marRight w:val="0"/>
      <w:marTop w:val="0"/>
      <w:marBottom w:val="0"/>
      <w:divBdr>
        <w:top w:val="none" w:sz="0" w:space="0" w:color="auto"/>
        <w:left w:val="none" w:sz="0" w:space="0" w:color="auto"/>
        <w:bottom w:val="none" w:sz="0" w:space="0" w:color="auto"/>
        <w:right w:val="none" w:sz="0" w:space="0" w:color="auto"/>
      </w:divBdr>
    </w:div>
    <w:div w:id="2130471186">
      <w:bodyDiv w:val="1"/>
      <w:marLeft w:val="0"/>
      <w:marRight w:val="0"/>
      <w:marTop w:val="0"/>
      <w:marBottom w:val="0"/>
      <w:divBdr>
        <w:top w:val="none" w:sz="0" w:space="0" w:color="auto"/>
        <w:left w:val="none" w:sz="0" w:space="0" w:color="auto"/>
        <w:bottom w:val="none" w:sz="0" w:space="0" w:color="auto"/>
        <w:right w:val="none" w:sz="0" w:space="0" w:color="auto"/>
      </w:divBdr>
    </w:div>
    <w:div w:id="21454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F4787-E666-4C2B-8BF3-27097AB2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8143</Words>
  <Characters>44792</Characters>
  <Application>Microsoft Office Word</Application>
  <DocSecurity>0</DocSecurity>
  <Lines>373</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52830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Merlyn Masis</dc:creator>
  <cp:lastModifiedBy>Zoila Rodríguez Tencio</cp:lastModifiedBy>
  <cp:revision>2</cp:revision>
  <cp:lastPrinted>2022-01-31T17:49:00Z</cp:lastPrinted>
  <dcterms:created xsi:type="dcterms:W3CDTF">2022-11-06T21:24:00Z</dcterms:created>
  <dcterms:modified xsi:type="dcterms:W3CDTF">2022-11-06T21:24:00Z</dcterms:modified>
</cp:coreProperties>
</file>