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0F" w:rsidRPr="00ED3EDF" w:rsidRDefault="00000E4C" w:rsidP="00ED3EDF">
      <w:pPr>
        <w:tabs>
          <w:tab w:val="left" w:pos="3204"/>
        </w:tabs>
      </w:pPr>
      <w:r>
        <w:rPr>
          <w:rFonts w:cstheme="minorHAnsi"/>
          <w:b/>
          <w:noProof/>
          <w:lang w:val="es-MX" w:eastAsia="es-MX"/>
        </w:rPr>
        <w:drawing>
          <wp:anchor distT="0" distB="0" distL="114300" distR="114300" simplePos="0" relativeHeight="251659264" behindDoc="1" locked="0" layoutInCell="1" allowOverlap="1">
            <wp:simplePos x="0" y="0"/>
            <wp:positionH relativeFrom="page">
              <wp:align>left</wp:align>
            </wp:positionH>
            <wp:positionV relativeFrom="paragraph">
              <wp:posOffset>-1029970</wp:posOffset>
            </wp:positionV>
            <wp:extent cx="7925573" cy="10042634"/>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5573" cy="10042634"/>
                    </a:xfrm>
                    <a:prstGeom prst="rect">
                      <a:avLst/>
                    </a:prstGeom>
                    <a:noFill/>
                  </pic:spPr>
                </pic:pic>
              </a:graphicData>
            </a:graphic>
          </wp:anchor>
        </w:drawing>
      </w:r>
    </w:p>
    <w:p w:rsidR="00690876" w:rsidRDefault="00690876" w:rsidP="00CA1C5A">
      <w:pPr>
        <w:jc w:val="both"/>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Pr="005B550F" w:rsidRDefault="000A712E" w:rsidP="00690876">
      <w:pPr>
        <w:jc w:val="center"/>
        <w:rPr>
          <w:rFonts w:ascii="Arial" w:hAnsi="Arial" w:cs="Arial"/>
          <w:b/>
          <w:sz w:val="36"/>
          <w:szCs w:val="36"/>
        </w:rPr>
      </w:pPr>
      <w:r w:rsidRPr="005B550F">
        <w:rPr>
          <w:rFonts w:ascii="Arial" w:hAnsi="Arial" w:cs="Arial"/>
          <w:b/>
          <w:sz w:val="36"/>
          <w:szCs w:val="36"/>
        </w:rPr>
        <w:t>FIDEICOMISO 544 FONAFIFO/BNCR</w:t>
      </w:r>
    </w:p>
    <w:p w:rsidR="00000E4C" w:rsidRPr="005B550F" w:rsidRDefault="00000E4C" w:rsidP="00690876">
      <w:pPr>
        <w:jc w:val="center"/>
        <w:rPr>
          <w:rFonts w:ascii="Arial" w:hAnsi="Arial" w:cs="Arial"/>
          <w:sz w:val="36"/>
          <w:szCs w:val="36"/>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A712E" w:rsidP="00690876">
      <w:pPr>
        <w:jc w:val="center"/>
        <w:rPr>
          <w:rFonts w:ascii="Arial" w:hAnsi="Arial" w:cs="Arial"/>
          <w:sz w:val="22"/>
          <w:szCs w:val="22"/>
        </w:rPr>
      </w:pPr>
      <w:r w:rsidRPr="008C39C8">
        <w:rPr>
          <w:rFonts w:ascii="Monotype Corsiva" w:hAnsi="Monotype Corsiva"/>
          <w:b/>
          <w:i/>
          <w:noProof/>
          <w:sz w:val="56"/>
          <w:szCs w:val="56"/>
          <w:lang w:val="es-MX" w:eastAsia="es-MX"/>
        </w:rPr>
        <w:drawing>
          <wp:inline distT="0" distB="0" distL="0" distR="0">
            <wp:extent cx="2145432" cy="962025"/>
            <wp:effectExtent l="19050" t="0" r="7218" b="0"/>
            <wp:docPr id="5" name="Picture 9" descr="C:\Users\amighty\AppData\Local\Microsoft\Windows\Temporary Internet Files\Content.Outlook\R742Z742\logo fonafi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ghty\AppData\Local\Microsoft\Windows\Temporary Internet Files\Content.Outlook\R742Z742\logo fonafifo (2).jpg"/>
                    <pic:cNvPicPr>
                      <a:picLocks noChangeAspect="1" noChangeArrowheads="1"/>
                    </pic:cNvPicPr>
                  </pic:nvPicPr>
                  <pic:blipFill>
                    <a:blip r:embed="rId9" cstate="print"/>
                    <a:srcRect/>
                    <a:stretch>
                      <a:fillRect/>
                    </a:stretch>
                  </pic:blipFill>
                  <pic:spPr bwMode="auto">
                    <a:xfrm>
                      <a:off x="0" y="0"/>
                      <a:ext cx="2147319" cy="962871"/>
                    </a:xfrm>
                    <a:prstGeom prst="rect">
                      <a:avLst/>
                    </a:prstGeom>
                    <a:noFill/>
                    <a:ln w="9525">
                      <a:noFill/>
                      <a:miter lim="800000"/>
                      <a:headEnd/>
                      <a:tailEnd/>
                    </a:ln>
                  </pic:spPr>
                </pic:pic>
              </a:graphicData>
            </a:graphic>
          </wp:inline>
        </w:drawing>
      </w: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A712E" w:rsidRDefault="000A712E" w:rsidP="000A712E">
      <w:pPr>
        <w:jc w:val="center"/>
        <w:rPr>
          <w:rFonts w:ascii="Monotype Corsiva" w:hAnsi="Monotype Corsiva"/>
          <w:b/>
          <w:i/>
          <w:noProof/>
          <w:sz w:val="56"/>
          <w:szCs w:val="56"/>
          <w:lang w:val="es-MX"/>
        </w:rPr>
      </w:pPr>
    </w:p>
    <w:p w:rsidR="000A712E" w:rsidRPr="005B550F" w:rsidRDefault="000A712E" w:rsidP="000A712E">
      <w:pPr>
        <w:jc w:val="center"/>
        <w:rPr>
          <w:rFonts w:ascii="Arial" w:hAnsi="Arial" w:cs="Arial"/>
          <w:b/>
          <w:noProof/>
          <w:sz w:val="36"/>
          <w:szCs w:val="36"/>
          <w:lang w:val="es-MX"/>
        </w:rPr>
      </w:pPr>
      <w:r w:rsidRPr="005B550F">
        <w:rPr>
          <w:rFonts w:ascii="Arial" w:hAnsi="Arial" w:cs="Arial"/>
          <w:b/>
          <w:noProof/>
          <w:sz w:val="36"/>
          <w:szCs w:val="36"/>
          <w:lang w:val="es-MX"/>
        </w:rPr>
        <w:t>Informe Evaluación Presupuestaria</w:t>
      </w:r>
    </w:p>
    <w:p w:rsidR="00000E4C" w:rsidRPr="005B550F" w:rsidRDefault="00000E4C" w:rsidP="00690876">
      <w:pPr>
        <w:jc w:val="center"/>
        <w:rPr>
          <w:rFonts w:ascii="Arial" w:hAnsi="Arial" w:cs="Arial"/>
          <w:sz w:val="36"/>
          <w:szCs w:val="36"/>
        </w:rPr>
      </w:pPr>
    </w:p>
    <w:p w:rsidR="00000E4C" w:rsidRPr="005B550F" w:rsidRDefault="00000E4C" w:rsidP="00690876">
      <w:pPr>
        <w:jc w:val="center"/>
        <w:rPr>
          <w:rFonts w:ascii="Arial" w:hAnsi="Arial" w:cs="Arial"/>
          <w:sz w:val="36"/>
          <w:szCs w:val="36"/>
        </w:rPr>
      </w:pPr>
    </w:p>
    <w:p w:rsidR="000A712E" w:rsidRDefault="003A5CAF" w:rsidP="000A712E">
      <w:pPr>
        <w:jc w:val="center"/>
        <w:rPr>
          <w:rFonts w:ascii="Arial" w:hAnsi="Arial" w:cs="Arial"/>
          <w:b/>
          <w:noProof/>
          <w:sz w:val="36"/>
          <w:szCs w:val="36"/>
          <w:lang w:val="es-MX"/>
        </w:rPr>
      </w:pPr>
      <w:r>
        <w:rPr>
          <w:rFonts w:ascii="Arial" w:hAnsi="Arial" w:cs="Arial"/>
          <w:b/>
          <w:noProof/>
          <w:sz w:val="36"/>
          <w:szCs w:val="36"/>
          <w:lang w:val="es-MX"/>
        </w:rPr>
        <w:t>I</w:t>
      </w:r>
      <w:r w:rsidR="00931022">
        <w:rPr>
          <w:rFonts w:ascii="Arial" w:hAnsi="Arial" w:cs="Arial"/>
          <w:b/>
          <w:noProof/>
          <w:sz w:val="36"/>
          <w:szCs w:val="36"/>
          <w:lang w:val="es-MX"/>
        </w:rPr>
        <w:t>I</w:t>
      </w:r>
      <w:r w:rsidR="00806B92" w:rsidRPr="005B550F">
        <w:rPr>
          <w:rFonts w:ascii="Arial" w:hAnsi="Arial" w:cs="Arial"/>
          <w:b/>
          <w:noProof/>
          <w:sz w:val="36"/>
          <w:szCs w:val="36"/>
          <w:lang w:val="es-MX"/>
        </w:rPr>
        <w:t xml:space="preserve"> Semestre, </w:t>
      </w:r>
      <w:r w:rsidR="00EC2BE0" w:rsidRPr="005B550F">
        <w:rPr>
          <w:rFonts w:ascii="Arial" w:hAnsi="Arial" w:cs="Arial"/>
          <w:b/>
          <w:noProof/>
          <w:sz w:val="36"/>
          <w:szCs w:val="36"/>
          <w:lang w:val="es-MX"/>
        </w:rPr>
        <w:t>201</w:t>
      </w:r>
      <w:r w:rsidR="00500069">
        <w:rPr>
          <w:rFonts w:ascii="Arial" w:hAnsi="Arial" w:cs="Arial"/>
          <w:b/>
          <w:noProof/>
          <w:sz w:val="36"/>
          <w:szCs w:val="36"/>
          <w:lang w:val="es-MX"/>
        </w:rPr>
        <w:t>9</w:t>
      </w:r>
    </w:p>
    <w:p w:rsidR="009B4B6C" w:rsidRDefault="009B4B6C" w:rsidP="000A712E">
      <w:pPr>
        <w:jc w:val="center"/>
        <w:rPr>
          <w:rFonts w:ascii="Arial" w:hAnsi="Arial" w:cs="Arial"/>
          <w:b/>
          <w:noProof/>
          <w:sz w:val="36"/>
          <w:szCs w:val="36"/>
          <w:lang w:val="es-MX"/>
        </w:rPr>
      </w:pPr>
    </w:p>
    <w:p w:rsidR="009B4B6C" w:rsidRPr="005B550F" w:rsidRDefault="009B4B6C" w:rsidP="000A712E">
      <w:pPr>
        <w:jc w:val="center"/>
        <w:rPr>
          <w:rFonts w:ascii="Arial" w:hAnsi="Arial" w:cs="Arial"/>
          <w:b/>
          <w:noProof/>
          <w:sz w:val="36"/>
          <w:szCs w:val="36"/>
          <w:lang w:val="es-MX"/>
        </w:rPr>
      </w:pPr>
    </w:p>
    <w:p w:rsidR="000A712E" w:rsidRPr="005B550F" w:rsidRDefault="000A712E" w:rsidP="000A712E">
      <w:pPr>
        <w:jc w:val="center"/>
        <w:rPr>
          <w:rFonts w:ascii="Arial" w:hAnsi="Arial" w:cs="Arial"/>
          <w:b/>
          <w:noProof/>
          <w:sz w:val="36"/>
          <w:szCs w:val="36"/>
          <w:lang w:val="es-MX"/>
        </w:rPr>
      </w:pPr>
    </w:p>
    <w:p w:rsidR="000A712E" w:rsidRPr="005B550F" w:rsidRDefault="003A5CAF" w:rsidP="000A712E">
      <w:pPr>
        <w:jc w:val="center"/>
        <w:rPr>
          <w:rFonts w:ascii="Arial" w:hAnsi="Arial" w:cs="Arial"/>
          <w:b/>
          <w:noProof/>
          <w:sz w:val="36"/>
          <w:szCs w:val="36"/>
          <w:lang w:val="es-MX"/>
        </w:rPr>
      </w:pPr>
      <w:r>
        <w:rPr>
          <w:rFonts w:ascii="Arial" w:hAnsi="Arial" w:cs="Arial"/>
          <w:b/>
          <w:noProof/>
          <w:sz w:val="36"/>
          <w:szCs w:val="36"/>
          <w:lang w:val="es-MX"/>
        </w:rPr>
        <w:t>Febrero</w:t>
      </w:r>
      <w:r w:rsidR="000A712E" w:rsidRPr="005B550F">
        <w:rPr>
          <w:rFonts w:ascii="Arial" w:hAnsi="Arial" w:cs="Arial"/>
          <w:b/>
          <w:noProof/>
          <w:sz w:val="36"/>
          <w:szCs w:val="36"/>
          <w:lang w:val="es-MX"/>
        </w:rPr>
        <w:t>,</w:t>
      </w:r>
      <w:r w:rsidR="00931022">
        <w:rPr>
          <w:rFonts w:ascii="Arial" w:hAnsi="Arial" w:cs="Arial"/>
          <w:b/>
          <w:noProof/>
          <w:sz w:val="36"/>
          <w:szCs w:val="36"/>
          <w:lang w:val="es-MX"/>
        </w:rPr>
        <w:t xml:space="preserve"> </w:t>
      </w:r>
      <w:r w:rsidR="00315DD2" w:rsidRPr="005B550F">
        <w:rPr>
          <w:rFonts w:ascii="Arial" w:hAnsi="Arial" w:cs="Arial"/>
          <w:b/>
          <w:noProof/>
          <w:sz w:val="36"/>
          <w:szCs w:val="36"/>
          <w:lang w:val="es-MX"/>
        </w:rPr>
        <w:t>20</w:t>
      </w:r>
      <w:r>
        <w:rPr>
          <w:rFonts w:ascii="Arial" w:hAnsi="Arial" w:cs="Arial"/>
          <w:b/>
          <w:noProof/>
          <w:sz w:val="36"/>
          <w:szCs w:val="36"/>
          <w:lang w:val="es-MX"/>
        </w:rPr>
        <w:t>20</w:t>
      </w:r>
    </w:p>
    <w:p w:rsidR="00000E4C" w:rsidRPr="005B550F" w:rsidRDefault="00000E4C" w:rsidP="00690876">
      <w:pPr>
        <w:jc w:val="center"/>
        <w:rPr>
          <w:rFonts w:ascii="Arial" w:hAnsi="Arial" w:cs="Arial"/>
          <w:sz w:val="36"/>
          <w:szCs w:val="36"/>
        </w:rPr>
      </w:pPr>
    </w:p>
    <w:p w:rsidR="00000E4C" w:rsidRPr="005F4810"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F93A8F" w:rsidRDefault="00D32C8E">
      <w:pPr>
        <w:pStyle w:val="TtuloTDC"/>
        <w:rPr>
          <w:rFonts w:ascii="Arial" w:hAnsi="Arial" w:cs="Arial"/>
          <w:sz w:val="22"/>
          <w:szCs w:val="22"/>
        </w:rPr>
      </w:pPr>
      <w:r>
        <w:rPr>
          <w:rFonts w:ascii="Arial" w:hAnsi="Arial" w:cs="Arial"/>
          <w:sz w:val="22"/>
          <w:szCs w:val="22"/>
        </w:rPr>
        <w:lastRenderedPageBreak/>
        <w:tab/>
      </w:r>
    </w:p>
    <w:sdt>
      <w:sdtPr>
        <w:rPr>
          <w:lang w:val="es-ES"/>
        </w:rPr>
        <w:id w:val="-1440219553"/>
        <w:docPartObj>
          <w:docPartGallery w:val="Table of Contents"/>
          <w:docPartUnique/>
        </w:docPartObj>
      </w:sdtPr>
      <w:sdtEndPr>
        <w:rPr>
          <w:b/>
          <w:bCs/>
        </w:rPr>
      </w:sdtEndPr>
      <w:sdtContent>
        <w:p w:rsidR="00F93A8F" w:rsidRPr="005B550F" w:rsidRDefault="00F93A8F" w:rsidP="00F93A8F">
          <w:pPr>
            <w:tabs>
              <w:tab w:val="left" w:pos="4575"/>
            </w:tabs>
            <w:rPr>
              <w:rFonts w:asciiTheme="minorHAnsi" w:hAnsiTheme="minorHAnsi" w:cstheme="minorHAnsi"/>
              <w:b/>
              <w:sz w:val="24"/>
              <w:szCs w:val="24"/>
            </w:rPr>
          </w:pPr>
          <w:r w:rsidRPr="005B550F">
            <w:rPr>
              <w:rFonts w:asciiTheme="minorHAnsi" w:hAnsiTheme="minorHAnsi" w:cstheme="minorHAnsi"/>
              <w:b/>
              <w:sz w:val="24"/>
              <w:szCs w:val="24"/>
              <w:lang w:val="es-ES"/>
            </w:rPr>
            <w:t>Tabla de contenido</w:t>
          </w:r>
        </w:p>
        <w:p w:rsidR="00826350" w:rsidRDefault="00430559">
          <w:pPr>
            <w:pStyle w:val="TDC1"/>
            <w:tabs>
              <w:tab w:val="left" w:pos="400"/>
              <w:tab w:val="right" w:leader="dot" w:pos="9658"/>
            </w:tabs>
            <w:rPr>
              <w:rFonts w:asciiTheme="minorHAnsi" w:eastAsiaTheme="minorEastAsia" w:hAnsiTheme="minorHAnsi" w:cstheme="minorBidi"/>
              <w:noProof/>
              <w:sz w:val="22"/>
              <w:szCs w:val="22"/>
              <w:lang w:val="es-MX" w:eastAsia="es-MX"/>
            </w:rPr>
          </w:pPr>
          <w:r>
            <w:fldChar w:fldCharType="begin"/>
          </w:r>
          <w:r w:rsidR="00F93A8F">
            <w:instrText xml:space="preserve"> TOC \o "1-3" \h \z \u </w:instrText>
          </w:r>
          <w:r>
            <w:fldChar w:fldCharType="separate"/>
          </w:r>
          <w:hyperlink w:anchor="_Toc32593414" w:history="1">
            <w:r w:rsidR="00826350" w:rsidRPr="00E00A38">
              <w:rPr>
                <w:rStyle w:val="Hipervnculo"/>
                <w:rFonts w:ascii="Arial" w:hAnsi="Arial" w:cs="Arial"/>
                <w:b/>
                <w:noProof/>
              </w:rPr>
              <w:t>I.</w:t>
            </w:r>
            <w:r w:rsidR="00826350">
              <w:rPr>
                <w:rFonts w:asciiTheme="minorHAnsi" w:eastAsiaTheme="minorEastAsia" w:hAnsiTheme="minorHAnsi" w:cstheme="minorBidi"/>
                <w:noProof/>
                <w:sz w:val="22"/>
                <w:szCs w:val="22"/>
                <w:lang w:val="es-MX" w:eastAsia="es-MX"/>
              </w:rPr>
              <w:tab/>
            </w:r>
            <w:r w:rsidR="00826350" w:rsidRPr="00E00A38">
              <w:rPr>
                <w:rStyle w:val="Hipervnculo"/>
                <w:rFonts w:ascii="Arial" w:hAnsi="Arial" w:cs="Arial"/>
                <w:b/>
                <w:noProof/>
              </w:rPr>
              <w:t>Análisis del comportamiento de la Ejecución de los Ingresos</w:t>
            </w:r>
            <w:r w:rsidR="00F37A9C">
              <w:rPr>
                <w:rStyle w:val="Hipervnculo"/>
                <w:rFonts w:ascii="Arial" w:hAnsi="Arial" w:cs="Arial"/>
                <w:b/>
                <w:noProof/>
              </w:rPr>
              <w:t>……………………………</w:t>
            </w:r>
            <w:r w:rsidR="00826350">
              <w:rPr>
                <w:noProof/>
                <w:webHidden/>
              </w:rPr>
              <w:fldChar w:fldCharType="begin"/>
            </w:r>
            <w:r w:rsidR="00826350">
              <w:rPr>
                <w:noProof/>
                <w:webHidden/>
              </w:rPr>
              <w:instrText xml:space="preserve"> PAGEREF _Toc32593414 \h </w:instrText>
            </w:r>
            <w:r w:rsidR="00826350">
              <w:rPr>
                <w:noProof/>
                <w:webHidden/>
              </w:rPr>
            </w:r>
            <w:r w:rsidR="00826350">
              <w:rPr>
                <w:noProof/>
                <w:webHidden/>
              </w:rPr>
              <w:fldChar w:fldCharType="separate"/>
            </w:r>
            <w:r w:rsidR="007D4E87">
              <w:rPr>
                <w:noProof/>
                <w:webHidden/>
              </w:rPr>
              <w:t>3</w:t>
            </w:r>
            <w:r w:rsidR="00826350">
              <w:rPr>
                <w:noProof/>
                <w:webHidden/>
              </w:rPr>
              <w:fldChar w:fldCharType="end"/>
            </w:r>
          </w:hyperlink>
        </w:p>
        <w:p w:rsidR="00826350" w:rsidRDefault="00826350">
          <w:pPr>
            <w:pStyle w:val="TDC2"/>
            <w:rPr>
              <w:rFonts w:asciiTheme="minorHAnsi" w:eastAsiaTheme="minorEastAsia" w:hAnsiTheme="minorHAnsi" w:cstheme="minorBidi"/>
              <w:bCs w:val="0"/>
              <w:lang w:val="es-MX" w:eastAsia="es-MX"/>
            </w:rPr>
          </w:pPr>
          <w:hyperlink w:anchor="_Toc32593415" w:history="1">
            <w:r w:rsidRPr="00E00A38">
              <w:rPr>
                <w:rStyle w:val="Hipervnculo"/>
              </w:rPr>
              <w:t>1. A.   Comentarios sobre los Ingresos</w:t>
            </w:r>
            <w:r>
              <w:rPr>
                <w:webHidden/>
              </w:rPr>
              <w:tab/>
            </w:r>
            <w:r>
              <w:rPr>
                <w:webHidden/>
              </w:rPr>
              <w:fldChar w:fldCharType="begin"/>
            </w:r>
            <w:r>
              <w:rPr>
                <w:webHidden/>
              </w:rPr>
              <w:instrText xml:space="preserve"> PAGEREF _Toc32593415 \h </w:instrText>
            </w:r>
            <w:r>
              <w:rPr>
                <w:webHidden/>
              </w:rPr>
            </w:r>
            <w:r>
              <w:rPr>
                <w:webHidden/>
              </w:rPr>
              <w:fldChar w:fldCharType="separate"/>
            </w:r>
            <w:r w:rsidR="007D4E87">
              <w:rPr>
                <w:webHidden/>
              </w:rPr>
              <w:t>4</w:t>
            </w:r>
            <w:r>
              <w:rPr>
                <w:webHidden/>
              </w:rPr>
              <w:fldChar w:fldCharType="end"/>
            </w:r>
          </w:hyperlink>
        </w:p>
        <w:p w:rsidR="00826350" w:rsidRDefault="00826350">
          <w:pPr>
            <w:pStyle w:val="TDC2"/>
            <w:tabs>
              <w:tab w:val="left" w:pos="660"/>
            </w:tabs>
            <w:rPr>
              <w:rFonts w:asciiTheme="minorHAnsi" w:eastAsiaTheme="minorEastAsia" w:hAnsiTheme="minorHAnsi" w:cstheme="minorBidi"/>
              <w:bCs w:val="0"/>
              <w:lang w:val="es-MX" w:eastAsia="es-MX"/>
            </w:rPr>
          </w:pPr>
          <w:hyperlink w:anchor="_Toc32593416" w:history="1">
            <w:r w:rsidRPr="00E00A38">
              <w:rPr>
                <w:rStyle w:val="Hipervnculo"/>
              </w:rPr>
              <w:t>1.</w:t>
            </w:r>
            <w:r>
              <w:rPr>
                <w:rFonts w:asciiTheme="minorHAnsi" w:eastAsiaTheme="minorEastAsia" w:hAnsiTheme="minorHAnsi" w:cstheme="minorBidi"/>
                <w:bCs w:val="0"/>
                <w:lang w:val="es-MX" w:eastAsia="es-MX"/>
              </w:rPr>
              <w:tab/>
            </w:r>
            <w:r w:rsidRPr="00E00A38">
              <w:rPr>
                <w:rStyle w:val="Hipervnculo"/>
              </w:rPr>
              <w:t>B Limitaciones</w:t>
            </w:r>
            <w:r>
              <w:rPr>
                <w:webHidden/>
              </w:rPr>
              <w:tab/>
            </w:r>
            <w:r>
              <w:rPr>
                <w:webHidden/>
              </w:rPr>
              <w:fldChar w:fldCharType="begin"/>
            </w:r>
            <w:r>
              <w:rPr>
                <w:webHidden/>
              </w:rPr>
              <w:instrText xml:space="preserve"> PAGEREF _Toc32593416 \h </w:instrText>
            </w:r>
            <w:r>
              <w:rPr>
                <w:webHidden/>
              </w:rPr>
            </w:r>
            <w:r>
              <w:rPr>
                <w:webHidden/>
              </w:rPr>
              <w:fldChar w:fldCharType="separate"/>
            </w:r>
            <w:r w:rsidR="007D4E87">
              <w:rPr>
                <w:webHidden/>
              </w:rPr>
              <w:t>6</w:t>
            </w:r>
            <w:r>
              <w:rPr>
                <w:webHidden/>
              </w:rPr>
              <w:fldChar w:fldCharType="end"/>
            </w:r>
          </w:hyperlink>
        </w:p>
        <w:p w:rsidR="00826350" w:rsidRDefault="00826350">
          <w:pPr>
            <w:pStyle w:val="TDC1"/>
            <w:tabs>
              <w:tab w:val="left" w:pos="400"/>
              <w:tab w:val="right" w:leader="dot" w:pos="9658"/>
            </w:tabs>
            <w:rPr>
              <w:rFonts w:asciiTheme="minorHAnsi" w:eastAsiaTheme="minorEastAsia" w:hAnsiTheme="minorHAnsi" w:cstheme="minorBidi"/>
              <w:noProof/>
              <w:sz w:val="22"/>
              <w:szCs w:val="22"/>
              <w:lang w:val="es-MX" w:eastAsia="es-MX"/>
            </w:rPr>
          </w:pPr>
          <w:hyperlink w:anchor="_Toc32593417" w:history="1">
            <w:r w:rsidRPr="00E00A38">
              <w:rPr>
                <w:rStyle w:val="Hipervnculo"/>
                <w:rFonts w:ascii="Arial" w:hAnsi="Arial" w:cs="Arial"/>
                <w:b/>
                <w:noProof/>
              </w:rPr>
              <w:t>II.</w:t>
            </w:r>
            <w:r>
              <w:rPr>
                <w:rFonts w:asciiTheme="minorHAnsi" w:eastAsiaTheme="minorEastAsia" w:hAnsiTheme="minorHAnsi" w:cstheme="minorBidi"/>
                <w:noProof/>
                <w:sz w:val="22"/>
                <w:szCs w:val="22"/>
                <w:lang w:val="es-MX" w:eastAsia="es-MX"/>
              </w:rPr>
              <w:tab/>
            </w:r>
            <w:r w:rsidRPr="00E00A38">
              <w:rPr>
                <w:rStyle w:val="Hipervnculo"/>
                <w:rFonts w:ascii="Arial" w:hAnsi="Arial" w:cs="Arial"/>
                <w:b/>
                <w:noProof/>
              </w:rPr>
              <w:t>Análisis del comportamiento de la ejecución de los Egresos</w:t>
            </w:r>
            <w:r w:rsidR="00F37A9C">
              <w:rPr>
                <w:rStyle w:val="Hipervnculo"/>
                <w:rFonts w:ascii="Arial" w:hAnsi="Arial" w:cs="Arial"/>
                <w:b/>
                <w:noProof/>
              </w:rPr>
              <w:t>……………………………..</w:t>
            </w:r>
            <w:r>
              <w:rPr>
                <w:noProof/>
                <w:webHidden/>
              </w:rPr>
              <w:fldChar w:fldCharType="begin"/>
            </w:r>
            <w:r>
              <w:rPr>
                <w:noProof/>
                <w:webHidden/>
              </w:rPr>
              <w:instrText xml:space="preserve"> PAGEREF _Toc32593417 \h </w:instrText>
            </w:r>
            <w:r>
              <w:rPr>
                <w:noProof/>
                <w:webHidden/>
              </w:rPr>
            </w:r>
            <w:r>
              <w:rPr>
                <w:noProof/>
                <w:webHidden/>
              </w:rPr>
              <w:fldChar w:fldCharType="separate"/>
            </w:r>
            <w:r w:rsidR="007D4E87">
              <w:rPr>
                <w:noProof/>
                <w:webHidden/>
              </w:rPr>
              <w:t>7</w:t>
            </w:r>
            <w:r>
              <w:rPr>
                <w:noProof/>
                <w:webHidden/>
              </w:rPr>
              <w:fldChar w:fldCharType="end"/>
            </w:r>
          </w:hyperlink>
        </w:p>
        <w:p w:rsidR="00826350" w:rsidRDefault="00826350">
          <w:pPr>
            <w:pStyle w:val="TDC2"/>
            <w:rPr>
              <w:rFonts w:asciiTheme="minorHAnsi" w:eastAsiaTheme="minorEastAsia" w:hAnsiTheme="minorHAnsi" w:cstheme="minorBidi"/>
              <w:bCs w:val="0"/>
              <w:lang w:val="es-MX" w:eastAsia="es-MX"/>
            </w:rPr>
          </w:pPr>
          <w:hyperlink w:anchor="_Toc32593418" w:history="1">
            <w:r w:rsidRPr="00E00A38">
              <w:rPr>
                <w:rStyle w:val="Hipervnculo"/>
              </w:rPr>
              <w:t>2. A. Comentarios sobre la Ejecución de los Egresos</w:t>
            </w:r>
            <w:r>
              <w:rPr>
                <w:webHidden/>
              </w:rPr>
              <w:tab/>
            </w:r>
            <w:r>
              <w:rPr>
                <w:webHidden/>
              </w:rPr>
              <w:fldChar w:fldCharType="begin"/>
            </w:r>
            <w:r>
              <w:rPr>
                <w:webHidden/>
              </w:rPr>
              <w:instrText xml:space="preserve"> PAGEREF _Toc32593418 \h </w:instrText>
            </w:r>
            <w:r>
              <w:rPr>
                <w:webHidden/>
              </w:rPr>
            </w:r>
            <w:r>
              <w:rPr>
                <w:webHidden/>
              </w:rPr>
              <w:fldChar w:fldCharType="separate"/>
            </w:r>
            <w:r w:rsidR="007D4E87">
              <w:rPr>
                <w:webHidden/>
              </w:rPr>
              <w:t>9</w:t>
            </w:r>
            <w:r>
              <w:rPr>
                <w:webHidden/>
              </w:rPr>
              <w:fldChar w:fldCharType="end"/>
            </w:r>
          </w:hyperlink>
        </w:p>
        <w:p w:rsidR="00826350" w:rsidRDefault="00826350">
          <w:pPr>
            <w:pStyle w:val="TDC2"/>
            <w:rPr>
              <w:rFonts w:asciiTheme="minorHAnsi" w:eastAsiaTheme="minorEastAsia" w:hAnsiTheme="minorHAnsi" w:cstheme="minorBidi"/>
              <w:bCs w:val="0"/>
              <w:lang w:val="es-MX" w:eastAsia="es-MX"/>
            </w:rPr>
          </w:pPr>
          <w:hyperlink w:anchor="_Toc32593419" w:history="1">
            <w:r w:rsidRPr="00E00A38">
              <w:rPr>
                <w:rStyle w:val="Hipervnculo"/>
              </w:rPr>
              <w:t>2. B Limitaciones</w:t>
            </w:r>
            <w:r>
              <w:rPr>
                <w:webHidden/>
              </w:rPr>
              <w:tab/>
            </w:r>
            <w:r>
              <w:rPr>
                <w:webHidden/>
              </w:rPr>
              <w:fldChar w:fldCharType="begin"/>
            </w:r>
            <w:r>
              <w:rPr>
                <w:webHidden/>
              </w:rPr>
              <w:instrText xml:space="preserve"> PAGEREF _Toc32593419 \h </w:instrText>
            </w:r>
            <w:r>
              <w:rPr>
                <w:webHidden/>
              </w:rPr>
            </w:r>
            <w:r>
              <w:rPr>
                <w:webHidden/>
              </w:rPr>
              <w:fldChar w:fldCharType="separate"/>
            </w:r>
            <w:r w:rsidR="007D4E87">
              <w:rPr>
                <w:webHidden/>
              </w:rPr>
              <w:t>10</w:t>
            </w:r>
            <w:r>
              <w:rPr>
                <w:webHidden/>
              </w:rPr>
              <w:fldChar w:fldCharType="end"/>
            </w:r>
          </w:hyperlink>
        </w:p>
        <w:p w:rsidR="00826350" w:rsidRDefault="00826350">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32593420" w:history="1">
            <w:r w:rsidRPr="00E00A38">
              <w:rPr>
                <w:rStyle w:val="Hipervnculo"/>
                <w:rFonts w:ascii="Arial" w:hAnsi="Arial" w:cs="Arial"/>
                <w:b/>
                <w:noProof/>
              </w:rPr>
              <w:t>III.</w:t>
            </w:r>
            <w:r>
              <w:rPr>
                <w:rFonts w:asciiTheme="minorHAnsi" w:eastAsiaTheme="minorEastAsia" w:hAnsiTheme="minorHAnsi" w:cstheme="minorBidi"/>
                <w:noProof/>
                <w:sz w:val="22"/>
                <w:szCs w:val="22"/>
                <w:lang w:val="es-MX" w:eastAsia="es-MX"/>
              </w:rPr>
              <w:tab/>
            </w:r>
            <w:r w:rsidRPr="00E00A38">
              <w:rPr>
                <w:rStyle w:val="Hipervnculo"/>
                <w:rFonts w:ascii="Arial" w:hAnsi="Arial" w:cs="Arial"/>
                <w:b/>
                <w:noProof/>
              </w:rPr>
              <w:t>Liquidación y resultados</w:t>
            </w:r>
            <w:r w:rsidR="00F37A9C">
              <w:rPr>
                <w:rStyle w:val="Hipervnculo"/>
                <w:rFonts w:ascii="Arial" w:hAnsi="Arial" w:cs="Arial"/>
                <w:b/>
                <w:noProof/>
              </w:rPr>
              <w:t>………………………………………………………………….</w:t>
            </w:r>
            <w:r w:rsidR="00F37A9C">
              <w:rPr>
                <w:noProof/>
                <w:webHidden/>
              </w:rPr>
              <w:t>…</w:t>
            </w:r>
            <w:r>
              <w:rPr>
                <w:noProof/>
                <w:webHidden/>
              </w:rPr>
              <w:fldChar w:fldCharType="begin"/>
            </w:r>
            <w:r>
              <w:rPr>
                <w:noProof/>
                <w:webHidden/>
              </w:rPr>
              <w:instrText xml:space="preserve"> PAGEREF _Toc32593420 \h </w:instrText>
            </w:r>
            <w:r>
              <w:rPr>
                <w:noProof/>
                <w:webHidden/>
              </w:rPr>
            </w:r>
            <w:r>
              <w:rPr>
                <w:noProof/>
                <w:webHidden/>
              </w:rPr>
              <w:fldChar w:fldCharType="separate"/>
            </w:r>
            <w:r w:rsidR="007D4E87">
              <w:rPr>
                <w:noProof/>
                <w:webHidden/>
              </w:rPr>
              <w:t>11</w:t>
            </w:r>
            <w:r>
              <w:rPr>
                <w:noProof/>
                <w:webHidden/>
              </w:rPr>
              <w:fldChar w:fldCharType="end"/>
            </w:r>
          </w:hyperlink>
        </w:p>
        <w:p w:rsidR="00826350" w:rsidRDefault="00826350">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32593421" w:history="1">
            <w:r w:rsidRPr="00E00A38">
              <w:rPr>
                <w:rStyle w:val="Hipervnculo"/>
                <w:rFonts w:ascii="Arial" w:hAnsi="Arial" w:cs="Arial"/>
                <w:b/>
                <w:noProof/>
              </w:rPr>
              <w:t>IV.</w:t>
            </w:r>
            <w:r>
              <w:rPr>
                <w:rFonts w:asciiTheme="minorHAnsi" w:eastAsiaTheme="minorEastAsia" w:hAnsiTheme="minorHAnsi" w:cstheme="minorBidi"/>
                <w:noProof/>
                <w:sz w:val="22"/>
                <w:szCs w:val="22"/>
                <w:lang w:val="es-MX" w:eastAsia="es-MX"/>
              </w:rPr>
              <w:tab/>
            </w:r>
            <w:r w:rsidRPr="00E00A38">
              <w:rPr>
                <w:rStyle w:val="Hipervnculo"/>
                <w:rFonts w:ascii="Arial" w:hAnsi="Arial" w:cs="Arial"/>
                <w:b/>
                <w:noProof/>
              </w:rPr>
              <w:t>Análisis del Avance de los Objetivos y Metas</w:t>
            </w:r>
            <w:r w:rsidR="00F37A9C">
              <w:rPr>
                <w:rStyle w:val="Hipervnculo"/>
                <w:rFonts w:ascii="Arial" w:hAnsi="Arial" w:cs="Arial"/>
                <w:b/>
                <w:noProof/>
              </w:rPr>
              <w:t>…………………………………………..</w:t>
            </w:r>
            <w:r>
              <w:rPr>
                <w:noProof/>
                <w:webHidden/>
              </w:rPr>
              <w:fldChar w:fldCharType="begin"/>
            </w:r>
            <w:r>
              <w:rPr>
                <w:noProof/>
                <w:webHidden/>
              </w:rPr>
              <w:instrText xml:space="preserve"> PAGEREF _Toc32593421 \h </w:instrText>
            </w:r>
            <w:r>
              <w:rPr>
                <w:noProof/>
                <w:webHidden/>
              </w:rPr>
            </w:r>
            <w:r>
              <w:rPr>
                <w:noProof/>
                <w:webHidden/>
              </w:rPr>
              <w:fldChar w:fldCharType="separate"/>
            </w:r>
            <w:r w:rsidR="007D4E87">
              <w:rPr>
                <w:noProof/>
                <w:webHidden/>
              </w:rPr>
              <w:t>12</w:t>
            </w:r>
            <w:r>
              <w:rPr>
                <w:noProof/>
                <w:webHidden/>
              </w:rPr>
              <w:fldChar w:fldCharType="end"/>
            </w:r>
          </w:hyperlink>
        </w:p>
        <w:p w:rsidR="00826350" w:rsidRDefault="00826350">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32593422" w:history="1">
            <w:r w:rsidRPr="00E00A38">
              <w:rPr>
                <w:rStyle w:val="Hipervnculo"/>
                <w:rFonts w:ascii="Arial" w:hAnsi="Arial" w:cs="Arial"/>
                <w:b/>
                <w:noProof/>
              </w:rPr>
              <w:t>V.</w:t>
            </w:r>
            <w:r>
              <w:rPr>
                <w:rFonts w:asciiTheme="minorHAnsi" w:eastAsiaTheme="minorEastAsia" w:hAnsiTheme="minorHAnsi" w:cstheme="minorBidi"/>
                <w:noProof/>
                <w:sz w:val="22"/>
                <w:szCs w:val="22"/>
                <w:lang w:val="es-MX" w:eastAsia="es-MX"/>
              </w:rPr>
              <w:tab/>
            </w:r>
            <w:r w:rsidRPr="00E00A38">
              <w:rPr>
                <w:rStyle w:val="Hipervnculo"/>
                <w:rFonts w:ascii="Arial" w:hAnsi="Arial" w:cs="Arial"/>
                <w:b/>
                <w:noProof/>
              </w:rPr>
              <w:t>Situación Económica Financiera</w:t>
            </w:r>
            <w:r w:rsidR="00F37A9C">
              <w:rPr>
                <w:rStyle w:val="Hipervnculo"/>
                <w:rFonts w:ascii="Arial" w:hAnsi="Arial" w:cs="Arial"/>
                <w:b/>
                <w:noProof/>
              </w:rPr>
              <w:t>…………………………………………………………..</w:t>
            </w:r>
            <w:r>
              <w:rPr>
                <w:noProof/>
                <w:webHidden/>
              </w:rPr>
              <w:fldChar w:fldCharType="begin"/>
            </w:r>
            <w:r>
              <w:rPr>
                <w:noProof/>
                <w:webHidden/>
              </w:rPr>
              <w:instrText xml:space="preserve"> PAGEREF _Toc32593422 \h </w:instrText>
            </w:r>
            <w:r>
              <w:rPr>
                <w:noProof/>
                <w:webHidden/>
              </w:rPr>
            </w:r>
            <w:r>
              <w:rPr>
                <w:noProof/>
                <w:webHidden/>
              </w:rPr>
              <w:fldChar w:fldCharType="separate"/>
            </w:r>
            <w:r w:rsidR="007D4E87">
              <w:rPr>
                <w:noProof/>
                <w:webHidden/>
              </w:rPr>
              <w:t>14</w:t>
            </w:r>
            <w:r>
              <w:rPr>
                <w:noProof/>
                <w:webHidden/>
              </w:rPr>
              <w:fldChar w:fldCharType="end"/>
            </w:r>
          </w:hyperlink>
        </w:p>
        <w:p w:rsidR="00826350" w:rsidRDefault="00826350">
          <w:pPr>
            <w:pStyle w:val="TDC2"/>
            <w:tabs>
              <w:tab w:val="left" w:pos="660"/>
            </w:tabs>
            <w:rPr>
              <w:rFonts w:asciiTheme="minorHAnsi" w:eastAsiaTheme="minorEastAsia" w:hAnsiTheme="minorHAnsi" w:cstheme="minorBidi"/>
              <w:bCs w:val="0"/>
              <w:lang w:val="es-MX" w:eastAsia="es-MX"/>
            </w:rPr>
          </w:pPr>
          <w:hyperlink w:anchor="_Toc32593423" w:history="1">
            <w:r w:rsidRPr="00E00A38">
              <w:rPr>
                <w:rStyle w:val="Hipervnculo"/>
                <w:b/>
              </w:rPr>
              <w:t>a.</w:t>
            </w:r>
            <w:r>
              <w:rPr>
                <w:rFonts w:asciiTheme="minorHAnsi" w:eastAsiaTheme="minorEastAsia" w:hAnsiTheme="minorHAnsi" w:cstheme="minorBidi"/>
                <w:bCs w:val="0"/>
                <w:lang w:val="es-MX" w:eastAsia="es-MX"/>
              </w:rPr>
              <w:tab/>
            </w:r>
            <w:r w:rsidRPr="00E00A38">
              <w:rPr>
                <w:rStyle w:val="Hipervnculo"/>
                <w:b/>
              </w:rPr>
              <w:t>Balance de Situación Financiera</w:t>
            </w:r>
            <w:r>
              <w:rPr>
                <w:webHidden/>
              </w:rPr>
              <w:tab/>
            </w:r>
            <w:r>
              <w:rPr>
                <w:webHidden/>
              </w:rPr>
              <w:fldChar w:fldCharType="begin"/>
            </w:r>
            <w:r>
              <w:rPr>
                <w:webHidden/>
              </w:rPr>
              <w:instrText xml:space="preserve"> PAGEREF _Toc32593423 \h </w:instrText>
            </w:r>
            <w:r>
              <w:rPr>
                <w:webHidden/>
              </w:rPr>
            </w:r>
            <w:r>
              <w:rPr>
                <w:webHidden/>
              </w:rPr>
              <w:fldChar w:fldCharType="separate"/>
            </w:r>
            <w:r w:rsidR="007D4E87">
              <w:rPr>
                <w:webHidden/>
              </w:rPr>
              <w:t>15</w:t>
            </w:r>
            <w:r>
              <w:rPr>
                <w:webHidden/>
              </w:rPr>
              <w:fldChar w:fldCharType="end"/>
            </w:r>
          </w:hyperlink>
        </w:p>
        <w:p w:rsidR="00826350" w:rsidRDefault="00826350">
          <w:pPr>
            <w:pStyle w:val="TDC2"/>
            <w:tabs>
              <w:tab w:val="left" w:pos="660"/>
            </w:tabs>
            <w:rPr>
              <w:rFonts w:asciiTheme="minorHAnsi" w:eastAsiaTheme="minorEastAsia" w:hAnsiTheme="minorHAnsi" w:cstheme="minorBidi"/>
              <w:bCs w:val="0"/>
              <w:lang w:val="es-MX" w:eastAsia="es-MX"/>
            </w:rPr>
          </w:pPr>
          <w:hyperlink w:anchor="_Toc32593424" w:history="1">
            <w:r w:rsidRPr="00E00A38">
              <w:rPr>
                <w:rStyle w:val="Hipervnculo"/>
                <w:b/>
              </w:rPr>
              <w:t>b.</w:t>
            </w:r>
            <w:r>
              <w:rPr>
                <w:rFonts w:asciiTheme="minorHAnsi" w:eastAsiaTheme="minorEastAsia" w:hAnsiTheme="minorHAnsi" w:cstheme="minorBidi"/>
                <w:bCs w:val="0"/>
                <w:lang w:val="es-MX" w:eastAsia="es-MX"/>
              </w:rPr>
              <w:tab/>
            </w:r>
            <w:r w:rsidRPr="00E00A38">
              <w:rPr>
                <w:rStyle w:val="Hipervnculo"/>
                <w:b/>
              </w:rPr>
              <w:t>Estado de Resultados</w:t>
            </w:r>
            <w:r>
              <w:rPr>
                <w:webHidden/>
              </w:rPr>
              <w:tab/>
            </w:r>
            <w:r>
              <w:rPr>
                <w:webHidden/>
              </w:rPr>
              <w:fldChar w:fldCharType="begin"/>
            </w:r>
            <w:r>
              <w:rPr>
                <w:webHidden/>
              </w:rPr>
              <w:instrText xml:space="preserve"> PAGEREF _Toc32593424 \h </w:instrText>
            </w:r>
            <w:r>
              <w:rPr>
                <w:webHidden/>
              </w:rPr>
            </w:r>
            <w:r>
              <w:rPr>
                <w:webHidden/>
              </w:rPr>
              <w:fldChar w:fldCharType="separate"/>
            </w:r>
            <w:r w:rsidR="007D4E87">
              <w:rPr>
                <w:webHidden/>
              </w:rPr>
              <w:t>18</w:t>
            </w:r>
            <w:r>
              <w:rPr>
                <w:webHidden/>
              </w:rPr>
              <w:fldChar w:fldCharType="end"/>
            </w:r>
          </w:hyperlink>
        </w:p>
        <w:p w:rsidR="00826350" w:rsidRDefault="00826350">
          <w:pPr>
            <w:pStyle w:val="TDC2"/>
            <w:tabs>
              <w:tab w:val="left" w:pos="660"/>
            </w:tabs>
            <w:rPr>
              <w:rFonts w:asciiTheme="minorHAnsi" w:eastAsiaTheme="minorEastAsia" w:hAnsiTheme="minorHAnsi" w:cstheme="minorBidi"/>
              <w:bCs w:val="0"/>
              <w:lang w:val="es-MX" w:eastAsia="es-MX"/>
            </w:rPr>
          </w:pPr>
          <w:hyperlink w:anchor="_Toc32593425" w:history="1">
            <w:r w:rsidRPr="00E00A38">
              <w:rPr>
                <w:rStyle w:val="Hipervnculo"/>
                <w:b/>
                <w:lang w:val="es-ES_tradnl"/>
              </w:rPr>
              <w:t>c.</w:t>
            </w:r>
            <w:r>
              <w:rPr>
                <w:rFonts w:asciiTheme="minorHAnsi" w:eastAsiaTheme="minorEastAsia" w:hAnsiTheme="minorHAnsi" w:cstheme="minorBidi"/>
                <w:bCs w:val="0"/>
                <w:lang w:val="es-MX" w:eastAsia="es-MX"/>
              </w:rPr>
              <w:tab/>
            </w:r>
            <w:r w:rsidRPr="00E00A38">
              <w:rPr>
                <w:rStyle w:val="Hipervnculo"/>
                <w:b/>
              </w:rPr>
              <w:t>Análisis Horizontal</w:t>
            </w:r>
            <w:r>
              <w:rPr>
                <w:webHidden/>
              </w:rPr>
              <w:tab/>
            </w:r>
            <w:r>
              <w:rPr>
                <w:webHidden/>
              </w:rPr>
              <w:fldChar w:fldCharType="begin"/>
            </w:r>
            <w:r>
              <w:rPr>
                <w:webHidden/>
              </w:rPr>
              <w:instrText xml:space="preserve"> PAGEREF _Toc32593425 \h </w:instrText>
            </w:r>
            <w:r>
              <w:rPr>
                <w:webHidden/>
              </w:rPr>
            </w:r>
            <w:r>
              <w:rPr>
                <w:webHidden/>
              </w:rPr>
              <w:fldChar w:fldCharType="separate"/>
            </w:r>
            <w:r w:rsidR="007D4E87">
              <w:rPr>
                <w:webHidden/>
              </w:rPr>
              <w:t>26</w:t>
            </w:r>
            <w:r>
              <w:rPr>
                <w:webHidden/>
              </w:rPr>
              <w:fldChar w:fldCharType="end"/>
            </w:r>
          </w:hyperlink>
        </w:p>
        <w:p w:rsidR="00826350" w:rsidRDefault="00826350">
          <w:pPr>
            <w:pStyle w:val="TDC2"/>
            <w:tabs>
              <w:tab w:val="left" w:pos="660"/>
            </w:tabs>
            <w:rPr>
              <w:rFonts w:asciiTheme="minorHAnsi" w:eastAsiaTheme="minorEastAsia" w:hAnsiTheme="minorHAnsi" w:cstheme="minorBidi"/>
              <w:bCs w:val="0"/>
              <w:lang w:val="es-MX" w:eastAsia="es-MX"/>
            </w:rPr>
          </w:pPr>
          <w:hyperlink w:anchor="_Toc32593426" w:history="1">
            <w:r w:rsidRPr="00E00A38">
              <w:rPr>
                <w:rStyle w:val="Hipervnculo"/>
                <w:b/>
                <w:lang w:val="es-ES_tradnl"/>
              </w:rPr>
              <w:t>d.</w:t>
            </w:r>
            <w:r>
              <w:rPr>
                <w:rFonts w:asciiTheme="minorHAnsi" w:eastAsiaTheme="minorEastAsia" w:hAnsiTheme="minorHAnsi" w:cstheme="minorBidi"/>
                <w:bCs w:val="0"/>
                <w:lang w:val="es-MX" w:eastAsia="es-MX"/>
              </w:rPr>
              <w:tab/>
            </w:r>
            <w:r w:rsidRPr="00E00A38">
              <w:rPr>
                <w:rStyle w:val="Hipervnculo"/>
                <w:b/>
              </w:rPr>
              <w:t>Análisis Vertical</w:t>
            </w:r>
            <w:r>
              <w:rPr>
                <w:webHidden/>
              </w:rPr>
              <w:tab/>
            </w:r>
            <w:r>
              <w:rPr>
                <w:webHidden/>
              </w:rPr>
              <w:fldChar w:fldCharType="begin"/>
            </w:r>
            <w:r>
              <w:rPr>
                <w:webHidden/>
              </w:rPr>
              <w:instrText xml:space="preserve"> PAGEREF _Toc32593426 \h </w:instrText>
            </w:r>
            <w:r>
              <w:rPr>
                <w:webHidden/>
              </w:rPr>
            </w:r>
            <w:r>
              <w:rPr>
                <w:webHidden/>
              </w:rPr>
              <w:fldChar w:fldCharType="separate"/>
            </w:r>
            <w:r w:rsidR="007D4E87">
              <w:rPr>
                <w:webHidden/>
              </w:rPr>
              <w:t>30</w:t>
            </w:r>
            <w:r>
              <w:rPr>
                <w:webHidden/>
              </w:rPr>
              <w:fldChar w:fldCharType="end"/>
            </w:r>
          </w:hyperlink>
        </w:p>
        <w:p w:rsidR="00826350" w:rsidRDefault="00826350">
          <w:pPr>
            <w:pStyle w:val="TDC1"/>
            <w:tabs>
              <w:tab w:val="left" w:pos="660"/>
              <w:tab w:val="right" w:leader="dot" w:pos="9658"/>
            </w:tabs>
            <w:rPr>
              <w:rFonts w:asciiTheme="minorHAnsi" w:eastAsiaTheme="minorEastAsia" w:hAnsiTheme="minorHAnsi" w:cstheme="minorBidi"/>
              <w:noProof/>
              <w:sz w:val="22"/>
              <w:szCs w:val="22"/>
              <w:lang w:val="es-MX" w:eastAsia="es-MX"/>
            </w:rPr>
          </w:pPr>
          <w:hyperlink w:anchor="_Toc32593427" w:history="1">
            <w:r w:rsidRPr="00E00A38">
              <w:rPr>
                <w:rStyle w:val="Hipervnculo"/>
                <w:rFonts w:ascii="Arial" w:hAnsi="Arial" w:cs="Arial"/>
                <w:b/>
                <w:noProof/>
              </w:rPr>
              <w:t>VI.</w:t>
            </w:r>
            <w:r>
              <w:rPr>
                <w:rFonts w:asciiTheme="minorHAnsi" w:eastAsiaTheme="minorEastAsia" w:hAnsiTheme="minorHAnsi" w:cstheme="minorBidi"/>
                <w:noProof/>
                <w:sz w:val="22"/>
                <w:szCs w:val="22"/>
                <w:lang w:val="es-MX" w:eastAsia="es-MX"/>
              </w:rPr>
              <w:tab/>
            </w:r>
            <w:r w:rsidRPr="00E00A38">
              <w:rPr>
                <w:rStyle w:val="Hipervnculo"/>
                <w:rFonts w:ascii="Arial" w:hAnsi="Arial" w:cs="Arial"/>
                <w:b/>
                <w:noProof/>
              </w:rPr>
              <w:t>Medidas Correctivas y Acciones de Mejora</w:t>
            </w:r>
            <w:r w:rsidR="00F37A9C">
              <w:rPr>
                <w:rStyle w:val="Hipervnculo"/>
                <w:rFonts w:ascii="Arial" w:hAnsi="Arial" w:cs="Arial"/>
                <w:b/>
                <w:noProof/>
              </w:rPr>
              <w:t>……………………………………………..</w:t>
            </w:r>
            <w:r>
              <w:rPr>
                <w:noProof/>
                <w:webHidden/>
              </w:rPr>
              <w:fldChar w:fldCharType="begin"/>
            </w:r>
            <w:r>
              <w:rPr>
                <w:noProof/>
                <w:webHidden/>
              </w:rPr>
              <w:instrText xml:space="preserve"> PAGEREF _Toc32593427 \h </w:instrText>
            </w:r>
            <w:r>
              <w:rPr>
                <w:noProof/>
                <w:webHidden/>
              </w:rPr>
            </w:r>
            <w:r>
              <w:rPr>
                <w:noProof/>
                <w:webHidden/>
              </w:rPr>
              <w:fldChar w:fldCharType="separate"/>
            </w:r>
            <w:r w:rsidR="007D4E87">
              <w:rPr>
                <w:noProof/>
                <w:webHidden/>
              </w:rPr>
              <w:t>33</w:t>
            </w:r>
            <w:r>
              <w:rPr>
                <w:noProof/>
                <w:webHidden/>
              </w:rPr>
              <w:fldChar w:fldCharType="end"/>
            </w:r>
          </w:hyperlink>
        </w:p>
        <w:p w:rsidR="00F93A8F" w:rsidRDefault="00430559">
          <w:r>
            <w:rPr>
              <w:b/>
              <w:bCs/>
              <w:lang w:val="es-ES"/>
            </w:rPr>
            <w:fldChar w:fldCharType="end"/>
          </w:r>
        </w:p>
      </w:sdtContent>
    </w:sdt>
    <w:p w:rsidR="00D32C8E" w:rsidRDefault="00D32C8E" w:rsidP="00D32C8E">
      <w:pPr>
        <w:tabs>
          <w:tab w:val="left" w:pos="6990"/>
        </w:tabs>
      </w:pPr>
      <w:r>
        <w:tab/>
      </w:r>
    </w:p>
    <w:p w:rsidR="00D32C8E" w:rsidRDefault="00D32C8E" w:rsidP="00D32C8E">
      <w:pPr>
        <w:jc w:val="center"/>
        <w:rPr>
          <w:rFonts w:ascii="Arial" w:hAnsi="Arial" w:cs="Arial"/>
          <w:b/>
        </w:rPr>
      </w:pPr>
    </w:p>
    <w:p w:rsidR="00D32C8E" w:rsidRDefault="00D32C8E" w:rsidP="00D32C8E">
      <w:pPr>
        <w:jc w:val="center"/>
        <w:rPr>
          <w:rFonts w:ascii="Arial" w:hAnsi="Arial" w:cs="Arial"/>
          <w:b/>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000E4C" w:rsidRDefault="00000E4C" w:rsidP="00690876">
      <w:pPr>
        <w:jc w:val="center"/>
        <w:rPr>
          <w:rFonts w:ascii="Arial" w:hAnsi="Arial" w:cs="Arial"/>
          <w:sz w:val="22"/>
          <w:szCs w:val="22"/>
        </w:rPr>
      </w:pPr>
    </w:p>
    <w:p w:rsidR="00690876" w:rsidRDefault="00690876" w:rsidP="00690876">
      <w:pPr>
        <w:jc w:val="center"/>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rsidP="00CA1C5A">
      <w:pPr>
        <w:jc w:val="both"/>
        <w:rPr>
          <w:rFonts w:ascii="Arial" w:hAnsi="Arial" w:cs="Arial"/>
          <w:sz w:val="22"/>
          <w:szCs w:val="22"/>
        </w:rPr>
      </w:pPr>
    </w:p>
    <w:p w:rsidR="00690876" w:rsidRDefault="00690876">
      <w:pPr>
        <w:rPr>
          <w:rFonts w:ascii="Arial" w:hAnsi="Arial" w:cs="Arial"/>
          <w:sz w:val="22"/>
          <w:szCs w:val="22"/>
        </w:rPr>
      </w:pPr>
      <w:r>
        <w:rPr>
          <w:rFonts w:ascii="Arial" w:hAnsi="Arial" w:cs="Arial"/>
          <w:sz w:val="22"/>
          <w:szCs w:val="22"/>
        </w:rPr>
        <w:br w:type="page"/>
      </w:r>
    </w:p>
    <w:p w:rsidR="005246F8" w:rsidRDefault="005246F8" w:rsidP="00CA1C5A">
      <w:pPr>
        <w:jc w:val="both"/>
        <w:rPr>
          <w:rFonts w:ascii="Arial" w:hAnsi="Arial" w:cs="Arial"/>
          <w:sz w:val="22"/>
          <w:szCs w:val="22"/>
        </w:rPr>
      </w:pPr>
    </w:p>
    <w:p w:rsidR="005246F8" w:rsidRDefault="005246F8" w:rsidP="00CA1C5A">
      <w:pPr>
        <w:jc w:val="both"/>
        <w:rPr>
          <w:rFonts w:ascii="Arial" w:hAnsi="Arial" w:cs="Arial"/>
          <w:sz w:val="22"/>
          <w:szCs w:val="22"/>
        </w:rPr>
      </w:pPr>
    </w:p>
    <w:p w:rsidR="00982A07" w:rsidRPr="003C4767" w:rsidRDefault="00363C86" w:rsidP="00CA1C5A">
      <w:pPr>
        <w:jc w:val="both"/>
        <w:rPr>
          <w:rFonts w:ascii="Arial" w:hAnsi="Arial" w:cs="Arial"/>
          <w:sz w:val="22"/>
          <w:szCs w:val="22"/>
        </w:rPr>
      </w:pPr>
      <w:r w:rsidRPr="003C4767">
        <w:rPr>
          <w:rFonts w:ascii="Arial" w:hAnsi="Arial" w:cs="Arial"/>
          <w:sz w:val="22"/>
          <w:szCs w:val="22"/>
        </w:rPr>
        <w:t>De conformidad con lo establecido en la Normas Técnicas sobre Presupuesto Público</w:t>
      </w:r>
      <w:r w:rsidR="0037284D">
        <w:rPr>
          <w:rFonts w:ascii="Arial" w:hAnsi="Arial" w:cs="Arial"/>
          <w:sz w:val="22"/>
          <w:szCs w:val="22"/>
        </w:rPr>
        <w:t xml:space="preserve"> </w:t>
      </w:r>
      <w:r w:rsidRPr="003C4767">
        <w:rPr>
          <w:rFonts w:ascii="Arial" w:hAnsi="Arial" w:cs="Arial"/>
          <w:sz w:val="22"/>
          <w:szCs w:val="22"/>
        </w:rPr>
        <w:t xml:space="preserve">N-1-2012-DC-DFOE, emitidas por medio de Resolución R-DC-024-2012 del Despacho del Contralor, a </w:t>
      </w:r>
      <w:r w:rsidR="00F5686F" w:rsidRPr="003C4767">
        <w:rPr>
          <w:rFonts w:ascii="Arial" w:hAnsi="Arial" w:cs="Arial"/>
          <w:sz w:val="22"/>
          <w:szCs w:val="22"/>
        </w:rPr>
        <w:t>continuación,</w:t>
      </w:r>
      <w:r w:rsidRPr="003C4767">
        <w:rPr>
          <w:rFonts w:ascii="Arial" w:hAnsi="Arial" w:cs="Arial"/>
          <w:sz w:val="22"/>
          <w:szCs w:val="22"/>
        </w:rPr>
        <w:t xml:space="preserve"> se presenta </w:t>
      </w:r>
      <w:r w:rsidR="00982A07" w:rsidRPr="003C4767">
        <w:rPr>
          <w:rFonts w:ascii="Arial" w:hAnsi="Arial" w:cs="Arial"/>
          <w:sz w:val="22"/>
          <w:szCs w:val="22"/>
        </w:rPr>
        <w:t>el</w:t>
      </w:r>
      <w:r w:rsidR="00931022">
        <w:rPr>
          <w:rFonts w:ascii="Arial" w:hAnsi="Arial" w:cs="Arial"/>
          <w:sz w:val="22"/>
          <w:szCs w:val="22"/>
        </w:rPr>
        <w:t xml:space="preserve"> segundo</w:t>
      </w:r>
      <w:r w:rsidR="00982A07" w:rsidRPr="003C4767">
        <w:rPr>
          <w:rFonts w:ascii="Arial" w:hAnsi="Arial" w:cs="Arial"/>
          <w:sz w:val="22"/>
          <w:szCs w:val="22"/>
        </w:rPr>
        <w:t xml:space="preserve"> </w:t>
      </w:r>
      <w:r w:rsidR="00410DA6" w:rsidRPr="003C4767">
        <w:rPr>
          <w:rFonts w:ascii="Arial" w:hAnsi="Arial" w:cs="Arial"/>
          <w:sz w:val="22"/>
          <w:szCs w:val="22"/>
        </w:rPr>
        <w:t>i</w:t>
      </w:r>
      <w:r w:rsidR="00982A07" w:rsidRPr="003C4767">
        <w:rPr>
          <w:rFonts w:ascii="Arial" w:hAnsi="Arial" w:cs="Arial"/>
          <w:sz w:val="22"/>
          <w:szCs w:val="22"/>
        </w:rPr>
        <w:t xml:space="preserve">nforme </w:t>
      </w:r>
      <w:r w:rsidR="00410DA6" w:rsidRPr="003C4767">
        <w:rPr>
          <w:rFonts w:ascii="Arial" w:hAnsi="Arial" w:cs="Arial"/>
          <w:sz w:val="22"/>
          <w:szCs w:val="22"/>
        </w:rPr>
        <w:t>s</w:t>
      </w:r>
      <w:r w:rsidR="00982A07" w:rsidRPr="003C4767">
        <w:rPr>
          <w:rFonts w:ascii="Arial" w:hAnsi="Arial" w:cs="Arial"/>
          <w:sz w:val="22"/>
          <w:szCs w:val="22"/>
        </w:rPr>
        <w:t xml:space="preserve">emestral de </w:t>
      </w:r>
      <w:r w:rsidR="00410DA6" w:rsidRPr="003C4767">
        <w:rPr>
          <w:rFonts w:ascii="Arial" w:hAnsi="Arial" w:cs="Arial"/>
          <w:sz w:val="22"/>
          <w:szCs w:val="22"/>
        </w:rPr>
        <w:t>e</w:t>
      </w:r>
      <w:r w:rsidR="00982A07" w:rsidRPr="003C4767">
        <w:rPr>
          <w:rFonts w:ascii="Arial" w:hAnsi="Arial" w:cs="Arial"/>
          <w:sz w:val="22"/>
          <w:szCs w:val="22"/>
        </w:rPr>
        <w:t xml:space="preserve">valuación </w:t>
      </w:r>
      <w:r w:rsidR="00410DA6" w:rsidRPr="003C4767">
        <w:rPr>
          <w:rFonts w:ascii="Arial" w:hAnsi="Arial" w:cs="Arial"/>
          <w:sz w:val="22"/>
          <w:szCs w:val="22"/>
        </w:rPr>
        <w:t>p</w:t>
      </w:r>
      <w:r w:rsidR="00982A07" w:rsidRPr="003C4767">
        <w:rPr>
          <w:rFonts w:ascii="Arial" w:hAnsi="Arial" w:cs="Arial"/>
          <w:sz w:val="22"/>
          <w:szCs w:val="22"/>
        </w:rPr>
        <w:t>resupuestaria del Fideicomiso 544 FONAFIFO/BNCR.</w:t>
      </w:r>
    </w:p>
    <w:p w:rsidR="00363C86" w:rsidRPr="00DA0673" w:rsidRDefault="00363C86" w:rsidP="00DA0673">
      <w:pPr>
        <w:pStyle w:val="Ttulo1"/>
      </w:pPr>
    </w:p>
    <w:p w:rsidR="00982A07" w:rsidRPr="00DA0673" w:rsidRDefault="00982A07" w:rsidP="009B4919">
      <w:pPr>
        <w:pStyle w:val="Ttulo1"/>
        <w:numPr>
          <w:ilvl w:val="0"/>
          <w:numId w:val="42"/>
        </w:numPr>
        <w:rPr>
          <w:rFonts w:ascii="Arial" w:hAnsi="Arial" w:cs="Arial"/>
          <w:b/>
        </w:rPr>
      </w:pPr>
      <w:bookmarkStart w:id="0" w:name="_Toc32593414"/>
      <w:r w:rsidRPr="00DA0673">
        <w:rPr>
          <w:rFonts w:ascii="Arial" w:hAnsi="Arial" w:cs="Arial"/>
          <w:b/>
        </w:rPr>
        <w:t>Análisis del comportamiento de la Ejecución de los Ingresos</w:t>
      </w:r>
      <w:bookmarkEnd w:id="0"/>
    </w:p>
    <w:p w:rsidR="0097675E" w:rsidRPr="003C4767" w:rsidRDefault="0097675E" w:rsidP="0097675E">
      <w:pPr>
        <w:pStyle w:val="Prrafodelista"/>
        <w:ind w:left="1080"/>
        <w:contextualSpacing/>
        <w:jc w:val="both"/>
        <w:rPr>
          <w:rFonts w:ascii="Arial" w:hAnsi="Arial" w:cs="Arial"/>
          <w:b/>
        </w:rPr>
      </w:pPr>
    </w:p>
    <w:p w:rsidR="0097675E" w:rsidRPr="003C4767" w:rsidRDefault="0097675E" w:rsidP="00A13C3D">
      <w:pPr>
        <w:pStyle w:val="Prrafodelista"/>
        <w:spacing w:after="0" w:line="240" w:lineRule="auto"/>
        <w:ind w:left="1080"/>
        <w:jc w:val="center"/>
        <w:rPr>
          <w:rFonts w:ascii="Arial" w:hAnsi="Arial" w:cs="Arial"/>
          <w:b/>
          <w:lang w:val="es-MX"/>
        </w:rPr>
      </w:pPr>
      <w:r w:rsidRPr="003C4767">
        <w:rPr>
          <w:rFonts w:ascii="Arial" w:hAnsi="Arial" w:cs="Arial"/>
          <w:b/>
          <w:lang w:val="es-MX"/>
        </w:rPr>
        <w:t>FIDEICOMISO 544 FONAFIFO/BNCR</w:t>
      </w:r>
    </w:p>
    <w:p w:rsidR="0097675E" w:rsidRPr="003C4767" w:rsidRDefault="0097675E" w:rsidP="00A13C3D">
      <w:pPr>
        <w:pStyle w:val="Prrafodelista"/>
        <w:spacing w:after="0" w:line="240" w:lineRule="auto"/>
        <w:ind w:left="1080"/>
        <w:jc w:val="center"/>
        <w:rPr>
          <w:rFonts w:ascii="Arial" w:hAnsi="Arial" w:cs="Arial"/>
          <w:b/>
          <w:lang w:val="es-MX"/>
        </w:rPr>
      </w:pPr>
      <w:r w:rsidRPr="003C4767">
        <w:rPr>
          <w:rFonts w:ascii="Arial" w:hAnsi="Arial" w:cs="Arial"/>
          <w:b/>
          <w:lang w:val="es-MX"/>
        </w:rPr>
        <w:t>Ejecución Presupuestaria de Ingresos</w:t>
      </w:r>
    </w:p>
    <w:p w:rsidR="00CC51DD" w:rsidRDefault="0097675E" w:rsidP="00CC51DD">
      <w:pPr>
        <w:pStyle w:val="Prrafodelista"/>
        <w:spacing w:after="0" w:line="240" w:lineRule="auto"/>
        <w:ind w:left="1080"/>
        <w:jc w:val="center"/>
        <w:rPr>
          <w:rFonts w:ascii="Arial" w:hAnsi="Arial" w:cs="Arial"/>
          <w:b/>
          <w:lang w:val="es-MX"/>
        </w:rPr>
      </w:pPr>
      <w:r w:rsidRPr="003C4767">
        <w:rPr>
          <w:rFonts w:ascii="Arial" w:hAnsi="Arial" w:cs="Arial"/>
          <w:b/>
          <w:lang w:val="es-MX"/>
        </w:rPr>
        <w:t xml:space="preserve">Al </w:t>
      </w:r>
      <w:r w:rsidR="00CC51DD">
        <w:rPr>
          <w:rFonts w:ascii="Arial" w:hAnsi="Arial" w:cs="Arial"/>
          <w:b/>
          <w:lang w:val="es-MX"/>
        </w:rPr>
        <w:t>3</w:t>
      </w:r>
      <w:r w:rsidR="003A5CAF">
        <w:rPr>
          <w:rFonts w:ascii="Arial" w:hAnsi="Arial" w:cs="Arial"/>
          <w:b/>
          <w:lang w:val="es-MX"/>
        </w:rPr>
        <w:t>1</w:t>
      </w:r>
      <w:r w:rsidR="00CC51DD">
        <w:rPr>
          <w:rFonts w:ascii="Arial" w:hAnsi="Arial" w:cs="Arial"/>
          <w:b/>
          <w:lang w:val="es-MX"/>
        </w:rPr>
        <w:t xml:space="preserve"> de </w:t>
      </w:r>
      <w:r w:rsidR="003A5CAF">
        <w:rPr>
          <w:rFonts w:ascii="Arial" w:hAnsi="Arial" w:cs="Arial"/>
          <w:b/>
          <w:lang w:val="es-MX"/>
        </w:rPr>
        <w:t>diciembre</w:t>
      </w:r>
      <w:r w:rsidR="00CC51DD">
        <w:rPr>
          <w:rFonts w:ascii="Arial" w:hAnsi="Arial" w:cs="Arial"/>
          <w:b/>
          <w:lang w:val="es-MX"/>
        </w:rPr>
        <w:t xml:space="preserve"> del 2019</w:t>
      </w:r>
    </w:p>
    <w:p w:rsidR="003A5CAF" w:rsidRDefault="003A5CAF" w:rsidP="00CC51DD">
      <w:pPr>
        <w:pStyle w:val="Prrafodelista"/>
        <w:spacing w:after="0" w:line="240" w:lineRule="auto"/>
        <w:ind w:left="1080"/>
        <w:jc w:val="center"/>
        <w:rPr>
          <w:rFonts w:ascii="Arial" w:hAnsi="Arial" w:cs="Arial"/>
          <w:b/>
          <w:lang w:val="es-MX"/>
        </w:rPr>
      </w:pPr>
    </w:p>
    <w:tbl>
      <w:tblPr>
        <w:tblW w:w="0" w:type="auto"/>
        <w:tblInd w:w="-436" w:type="dxa"/>
        <w:tblCellMar>
          <w:left w:w="70" w:type="dxa"/>
          <w:right w:w="70" w:type="dxa"/>
        </w:tblCellMar>
        <w:tblLook w:val="04A0" w:firstRow="1" w:lastRow="0" w:firstColumn="1" w:lastColumn="0" w:noHBand="0" w:noVBand="1"/>
      </w:tblPr>
      <w:tblGrid>
        <w:gridCol w:w="2281"/>
        <w:gridCol w:w="4201"/>
        <w:gridCol w:w="1467"/>
        <w:gridCol w:w="1381"/>
        <w:gridCol w:w="847"/>
      </w:tblGrid>
      <w:tr w:rsidR="003A5CAF" w:rsidRPr="00DE136A" w:rsidTr="003A5CAF">
        <w:trPr>
          <w:trHeight w:val="359"/>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hAnsi="Arial" w:cs="Arial"/>
                <w:b/>
                <w:sz w:val="12"/>
                <w:szCs w:val="12"/>
              </w:rPr>
              <w:t>(EXPRESADA EN COLONES)</w:t>
            </w:r>
            <w:bookmarkStart w:id="1" w:name="RANGE!A6:J39"/>
            <w:r w:rsidRPr="00DE136A">
              <w:rPr>
                <w:rFonts w:ascii="Arial" w:eastAsia="Times New Roman" w:hAnsi="Arial" w:cs="Arial"/>
                <w:b/>
                <w:bCs/>
                <w:color w:val="FFFFFF"/>
                <w:sz w:val="12"/>
                <w:szCs w:val="12"/>
                <w:lang w:val="es-MX" w:eastAsia="es-MX"/>
              </w:rPr>
              <w:t>CODIGO</w:t>
            </w:r>
            <w:bookmarkEnd w:id="1"/>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INGRESOS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Presupuesto Aprobado</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Total Ingresos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 Ejecución</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INGRESOS CORRIENTES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2.524.046.035</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1.556.680.169</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62%</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INGRESOS NO TRIBUTARIOS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333.031.844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275.226.511</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83%</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VENTA DE BIENES Y SERVICIOS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68.024.992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47%</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1.3.1.1.00.00.0.0.000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 xml:space="preserve">VENTA DE BIENES    </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1.3.1.1.09.00.0.0.000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VENTA DE OTROS BIENES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14.750.000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1.3.1.2.00.00.0.0.000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VENTA DE SERVICIOS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53.274.992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37%</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1.3.1.2.09.00.0.0.000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OTROS SERVICIOS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53.274.992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37%</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1.3.1.2.09.09.0.0.000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VENTA DE OTROS SERVICIOS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145.739.150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53.274.992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37%</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INGRESOS DE LA PROPIEDAD</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186.292.694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193.331.002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104%</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1.3.2.3.00.00.0.0.000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RENTA DE ACTIVOS FINANACIERO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186.292.694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193.331.002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104%</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1.3.2.3.02.00.0.0.000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INTERESES Y COMISIONES SOBRE PRESTAMOS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181.292.694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186.611.508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103%</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1.3.2.3.02.07.0.0.000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INTERESES SOBRE PRESTAMOS AL SECTOR PRIVADO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181.292.694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186.611.508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103%</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1.3.2.3.03.00.0.0.000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OTRAS RENTAS DE ACTIVOS FINANCIEROS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6.719.494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134%</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1.3.2.3.03.04.0.0.000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DIFERENCIAS POR TIPO DE CAMBIO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6.719.494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134%</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1.3.3.0.00.00.0.0.000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MULTAS, SANCIONES, REMATES Y COMISOS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434.375</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87%</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1.3.3.1.00.00.0.0.000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MULTAS Y SANCIONES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434.375</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87%</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1.3.3.1.09.00.0.0.000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OTRAS MULTAS Y SANCIONES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434.375</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87%</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1.3.4.0.00.00.0.0.000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INTERESES MORATORIOS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1.577.381</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1.3.4.9.00.00.0.0.000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OTROS INTERESES MORATORIOS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1.577.381</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315%</w:t>
            </w:r>
          </w:p>
        </w:tc>
      </w:tr>
      <w:tr w:rsidR="003A5CAF" w:rsidRPr="00DE136A" w:rsidTr="003A5CAF">
        <w:trPr>
          <w:trHeight w:val="17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1.3.9.0.00.00.0.0.000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OTROS INGRESOS NO TRIBUTARIOS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11.858.760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0%</w:t>
            </w:r>
          </w:p>
        </w:tc>
      </w:tr>
      <w:tr w:rsidR="003A5CAF" w:rsidRPr="00DE136A" w:rsidTr="003A5CAF">
        <w:trPr>
          <w:trHeight w:val="18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1.3.9.1.00.00.0.0.000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REINTEGRO Y DEVOLUCIONES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11.858.760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0%</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TRANSFERENCIAS CORRIENTES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2.191.014.191</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1.281.453.658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58%</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1.4.1.0.00.00.0.0.000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TRANSFERENCIAS CORRIENTES DEL SECTOR PUBLICO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599.120.000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490.694.398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82%</w:t>
            </w:r>
          </w:p>
        </w:tc>
      </w:tr>
      <w:tr w:rsidR="003A5CAF" w:rsidRPr="00DE136A" w:rsidTr="003A5CAF">
        <w:trPr>
          <w:trHeight w:val="203"/>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1.4.1.2.00.00.0.0.000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599.120.000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490.694.398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82%</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1.4.3.0.00.00.0.0.000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TRANSFERENCIAS CORRIENTES DEL SECTOR EXTERNO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1.591.894.191</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790.759.260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50%</w:t>
            </w:r>
          </w:p>
        </w:tc>
      </w:tr>
      <w:tr w:rsidR="003A5CAF" w:rsidRPr="00DE136A" w:rsidTr="003A5CAF">
        <w:trPr>
          <w:trHeight w:val="203"/>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1.4.3.1.00.00.0.0.000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TRANSFRENCIAS CORRIENTES DE ORGANISMOS INTERNACIONALES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1.591.894.191</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790.759.260</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50%</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2.0.0.0.00.00.0.0.000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INGRESOS DE CAPITAL</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373.622.608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2.3.0.0.00.00.0.0.000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color w:val="000000"/>
                <w:sz w:val="12"/>
                <w:szCs w:val="12"/>
                <w:lang w:val="es-MX" w:eastAsia="es-MX"/>
              </w:rPr>
            </w:pPr>
            <w:r w:rsidRPr="00DE136A">
              <w:rPr>
                <w:rFonts w:ascii="Arial" w:eastAsia="Times New Roman" w:hAnsi="Arial" w:cs="Arial"/>
                <w:b/>
                <w:bCs/>
                <w:color w:val="000000"/>
                <w:sz w:val="12"/>
                <w:szCs w:val="12"/>
                <w:lang w:val="es-MX" w:eastAsia="es-MX"/>
              </w:rPr>
              <w:t>RECUPERACION DE PRESTAMOS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373.622.608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118%</w:t>
            </w:r>
          </w:p>
        </w:tc>
      </w:tr>
      <w:tr w:rsidR="003A5CAF" w:rsidRPr="00DE136A" w:rsidTr="003A5CAF">
        <w:trPr>
          <w:trHeight w:val="203"/>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color w:val="000000"/>
                <w:sz w:val="12"/>
                <w:szCs w:val="12"/>
                <w:lang w:val="es-MX" w:eastAsia="es-MX"/>
              </w:rPr>
            </w:pPr>
            <w:r w:rsidRPr="00DE136A">
              <w:rPr>
                <w:rFonts w:ascii="Arial" w:eastAsia="Times New Roman" w:hAnsi="Arial" w:cs="Arial"/>
                <w:color w:val="000000"/>
                <w:sz w:val="12"/>
                <w:szCs w:val="12"/>
                <w:lang w:val="es-MX" w:eastAsia="es-MX"/>
              </w:rPr>
              <w:t>2.3.2.0.00.00.0.0.000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color w:val="000000"/>
                <w:sz w:val="12"/>
                <w:szCs w:val="12"/>
                <w:lang w:val="es-MX" w:eastAsia="es-MX"/>
              </w:rPr>
            </w:pPr>
            <w:r w:rsidRPr="00DE136A">
              <w:rPr>
                <w:rFonts w:ascii="Arial" w:eastAsia="Times New Roman" w:hAnsi="Arial" w:cs="Arial"/>
                <w:color w:val="000000"/>
                <w:sz w:val="12"/>
                <w:szCs w:val="12"/>
                <w:lang w:val="es-MX" w:eastAsia="es-MX"/>
              </w:rPr>
              <w:t>RECUPERACION DE PRESTAMOS AL SECTOR PRIVADO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315.436.132</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373.622.608</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118%</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3.0.0.0.00.00.0.0.000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FINANCIAMIENTO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1.241.904.414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222%</w:t>
            </w:r>
          </w:p>
        </w:tc>
      </w:tr>
      <w:tr w:rsidR="003A5CAF" w:rsidRPr="00DE136A" w:rsidTr="003A5CAF">
        <w:trPr>
          <w:trHeight w:val="194"/>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3.3.0.0.00.00.0.0.000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RECURSOS DE VIGENCIAS ANTERIORES</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1.241.904.414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b/>
                <w:bCs/>
                <w:sz w:val="12"/>
                <w:szCs w:val="12"/>
                <w:lang w:val="es-MX" w:eastAsia="es-MX"/>
              </w:rPr>
            </w:pPr>
            <w:r w:rsidRPr="00DE136A">
              <w:rPr>
                <w:rFonts w:ascii="Arial" w:eastAsia="Times New Roman" w:hAnsi="Arial" w:cs="Arial"/>
                <w:b/>
                <w:bCs/>
                <w:sz w:val="12"/>
                <w:szCs w:val="12"/>
                <w:lang w:val="es-MX" w:eastAsia="es-MX"/>
              </w:rPr>
              <w:t>222%</w:t>
            </w:r>
          </w:p>
        </w:tc>
      </w:tr>
      <w:tr w:rsidR="003A5CAF" w:rsidRPr="00DE136A" w:rsidTr="003A5CAF">
        <w:trPr>
          <w:trHeight w:val="213"/>
        </w:trPr>
        <w:tc>
          <w:tcPr>
            <w:tcW w:w="0" w:type="auto"/>
            <w:tcBorders>
              <w:top w:val="nil"/>
              <w:left w:val="single" w:sz="8" w:space="0" w:color="auto"/>
              <w:bottom w:val="nil"/>
              <w:right w:val="nil"/>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3.3.2.0.00.00.0.0.000</w:t>
            </w:r>
          </w:p>
        </w:tc>
        <w:tc>
          <w:tcPr>
            <w:tcW w:w="0" w:type="auto"/>
            <w:tcBorders>
              <w:top w:val="nil"/>
              <w:left w:val="single" w:sz="8" w:space="0" w:color="auto"/>
              <w:bottom w:val="nil"/>
              <w:right w:val="single" w:sz="8" w:space="0" w:color="auto"/>
            </w:tcBorders>
            <w:shd w:val="clear" w:color="000000" w:fill="FFFFFF"/>
            <w:noWrap/>
            <w:vAlign w:val="bottom"/>
            <w:hideMark/>
          </w:tcPr>
          <w:p w:rsidR="003A5CAF" w:rsidRPr="00DE136A" w:rsidRDefault="003A5CAF" w:rsidP="00AF45C3">
            <w:pPr>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SUPERAVIT ESPECIFICO</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558.334.956</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1.241.904.414</w:t>
            </w:r>
          </w:p>
        </w:tc>
        <w:tc>
          <w:tcPr>
            <w:tcW w:w="0" w:type="auto"/>
            <w:tcBorders>
              <w:top w:val="nil"/>
              <w:left w:val="nil"/>
              <w:bottom w:val="nil"/>
              <w:right w:val="single" w:sz="8" w:space="0" w:color="auto"/>
            </w:tcBorders>
            <w:shd w:val="clear" w:color="000000" w:fill="FFFFFF"/>
            <w:noWrap/>
            <w:vAlign w:val="bottom"/>
            <w:hideMark/>
          </w:tcPr>
          <w:p w:rsidR="003A5CAF" w:rsidRPr="00DE136A" w:rsidRDefault="003A5CAF" w:rsidP="00AF45C3">
            <w:pPr>
              <w:jc w:val="right"/>
              <w:rPr>
                <w:rFonts w:ascii="Arial" w:eastAsia="Times New Roman" w:hAnsi="Arial" w:cs="Arial"/>
                <w:sz w:val="12"/>
                <w:szCs w:val="12"/>
                <w:lang w:val="es-MX" w:eastAsia="es-MX"/>
              </w:rPr>
            </w:pPr>
            <w:r w:rsidRPr="00DE136A">
              <w:rPr>
                <w:rFonts w:ascii="Arial" w:eastAsia="Times New Roman" w:hAnsi="Arial" w:cs="Arial"/>
                <w:sz w:val="12"/>
                <w:szCs w:val="12"/>
                <w:lang w:val="es-MX" w:eastAsia="es-MX"/>
              </w:rPr>
              <w:t>222%</w:t>
            </w:r>
          </w:p>
        </w:tc>
      </w:tr>
      <w:tr w:rsidR="003A5CAF" w:rsidRPr="00DE136A" w:rsidTr="003A5CAF">
        <w:trPr>
          <w:trHeight w:val="203"/>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 </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3A5CAF" w:rsidRPr="00DE136A" w:rsidRDefault="003A5CAF" w:rsidP="00AF45C3">
            <w:pPr>
              <w:jc w:val="center"/>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TOTAL INGRESOS</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3A5CAF" w:rsidRPr="00DE136A" w:rsidRDefault="003A5CAF" w:rsidP="00AF45C3">
            <w:pPr>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3.397.817.123</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3A5CAF" w:rsidRPr="00DE136A" w:rsidRDefault="003A5CAF" w:rsidP="00AF45C3">
            <w:pPr>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3.172.207.191</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3A5CAF" w:rsidRPr="00DE136A" w:rsidRDefault="003A5CAF" w:rsidP="00AF45C3">
            <w:pPr>
              <w:jc w:val="right"/>
              <w:rPr>
                <w:rFonts w:ascii="Arial" w:eastAsia="Times New Roman" w:hAnsi="Arial" w:cs="Arial"/>
                <w:b/>
                <w:bCs/>
                <w:color w:val="FFFFFF"/>
                <w:sz w:val="12"/>
                <w:szCs w:val="12"/>
                <w:lang w:val="es-MX" w:eastAsia="es-MX"/>
              </w:rPr>
            </w:pPr>
            <w:r w:rsidRPr="00DE136A">
              <w:rPr>
                <w:rFonts w:ascii="Arial" w:eastAsia="Times New Roman" w:hAnsi="Arial" w:cs="Arial"/>
                <w:b/>
                <w:bCs/>
                <w:color w:val="FFFFFF"/>
                <w:sz w:val="12"/>
                <w:szCs w:val="12"/>
                <w:lang w:val="es-MX" w:eastAsia="es-MX"/>
              </w:rPr>
              <w:t>93%</w:t>
            </w:r>
          </w:p>
        </w:tc>
      </w:tr>
    </w:tbl>
    <w:p w:rsidR="00CC51DD" w:rsidRDefault="00CC51DD" w:rsidP="00982A07">
      <w:pPr>
        <w:ind w:right="-318"/>
        <w:rPr>
          <w:rFonts w:ascii="Arial" w:hAnsi="Arial" w:cs="Arial"/>
          <w:b/>
          <w:sz w:val="22"/>
          <w:szCs w:val="22"/>
          <w:u w:val="single"/>
        </w:rPr>
      </w:pPr>
    </w:p>
    <w:p w:rsidR="003A5CAF" w:rsidRDefault="003A5CAF" w:rsidP="00982A07">
      <w:pPr>
        <w:ind w:right="-318"/>
        <w:rPr>
          <w:rFonts w:ascii="Arial" w:hAnsi="Arial" w:cs="Arial"/>
          <w:b/>
          <w:sz w:val="22"/>
          <w:szCs w:val="22"/>
          <w:u w:val="single"/>
        </w:rPr>
      </w:pPr>
    </w:p>
    <w:p w:rsidR="003A5CAF" w:rsidRDefault="003A5CAF" w:rsidP="00982A07">
      <w:pPr>
        <w:ind w:right="-318"/>
        <w:rPr>
          <w:rFonts w:ascii="Arial" w:hAnsi="Arial" w:cs="Arial"/>
          <w:b/>
          <w:sz w:val="22"/>
          <w:szCs w:val="22"/>
          <w:u w:val="single"/>
        </w:rPr>
      </w:pPr>
    </w:p>
    <w:p w:rsidR="003A5CAF" w:rsidRDefault="003A5CAF" w:rsidP="00982A07">
      <w:pPr>
        <w:ind w:right="-318"/>
        <w:rPr>
          <w:rFonts w:ascii="Arial" w:hAnsi="Arial" w:cs="Arial"/>
          <w:b/>
          <w:sz w:val="22"/>
          <w:szCs w:val="22"/>
          <w:u w:val="single"/>
        </w:rPr>
      </w:pPr>
    </w:p>
    <w:p w:rsidR="003A5CAF" w:rsidRDefault="003A5CAF" w:rsidP="00982A07">
      <w:pPr>
        <w:ind w:right="-318"/>
        <w:rPr>
          <w:rFonts w:ascii="Arial" w:hAnsi="Arial" w:cs="Arial"/>
          <w:b/>
          <w:sz w:val="22"/>
          <w:szCs w:val="22"/>
          <w:u w:val="single"/>
        </w:rPr>
      </w:pPr>
    </w:p>
    <w:p w:rsidR="003A5CAF" w:rsidRDefault="003A5CAF" w:rsidP="00982A07">
      <w:pPr>
        <w:ind w:right="-318"/>
        <w:rPr>
          <w:rFonts w:ascii="Arial" w:hAnsi="Arial" w:cs="Arial"/>
          <w:b/>
          <w:sz w:val="22"/>
          <w:szCs w:val="22"/>
          <w:u w:val="single"/>
        </w:rPr>
      </w:pPr>
    </w:p>
    <w:p w:rsidR="003A5CAF" w:rsidRDefault="003A5CAF" w:rsidP="00982A07">
      <w:pPr>
        <w:ind w:right="-318"/>
        <w:rPr>
          <w:rFonts w:ascii="Arial" w:hAnsi="Arial" w:cs="Arial"/>
          <w:b/>
          <w:sz w:val="22"/>
          <w:szCs w:val="22"/>
          <w:u w:val="single"/>
        </w:rPr>
      </w:pPr>
    </w:p>
    <w:p w:rsidR="00826350" w:rsidRDefault="00826350" w:rsidP="00982A07">
      <w:pPr>
        <w:ind w:right="-318"/>
        <w:rPr>
          <w:rFonts w:ascii="Arial" w:hAnsi="Arial" w:cs="Arial"/>
          <w:b/>
          <w:sz w:val="22"/>
          <w:szCs w:val="22"/>
          <w:u w:val="single"/>
        </w:rPr>
      </w:pPr>
    </w:p>
    <w:p w:rsidR="00826350" w:rsidRDefault="00826350" w:rsidP="00982A07">
      <w:pPr>
        <w:ind w:right="-318"/>
        <w:rPr>
          <w:rFonts w:ascii="Arial" w:hAnsi="Arial" w:cs="Arial"/>
          <w:b/>
          <w:sz w:val="22"/>
          <w:szCs w:val="22"/>
          <w:u w:val="single"/>
        </w:rPr>
      </w:pPr>
    </w:p>
    <w:p w:rsidR="00973E73" w:rsidRDefault="00973E73" w:rsidP="00982A07">
      <w:pPr>
        <w:ind w:right="-318"/>
        <w:rPr>
          <w:rFonts w:ascii="Arial" w:hAnsi="Arial" w:cs="Arial"/>
          <w:b/>
          <w:sz w:val="22"/>
          <w:szCs w:val="22"/>
          <w:u w:val="single"/>
        </w:rPr>
      </w:pPr>
    </w:p>
    <w:p w:rsidR="00875B4D" w:rsidRDefault="00875B4D" w:rsidP="00982A07">
      <w:pPr>
        <w:ind w:right="-318"/>
        <w:rPr>
          <w:rFonts w:ascii="Arial" w:hAnsi="Arial" w:cs="Arial"/>
          <w:b/>
          <w:sz w:val="22"/>
          <w:szCs w:val="22"/>
          <w:u w:val="single"/>
        </w:rPr>
      </w:pPr>
    </w:p>
    <w:p w:rsidR="00875B4D" w:rsidRPr="00767C7C" w:rsidRDefault="00875B4D" w:rsidP="00982A07">
      <w:pPr>
        <w:ind w:right="-318"/>
        <w:rPr>
          <w:rFonts w:ascii="Arial" w:hAnsi="Arial" w:cs="Arial"/>
          <w:b/>
          <w:sz w:val="22"/>
          <w:szCs w:val="22"/>
          <w:u w:val="single"/>
        </w:rPr>
      </w:pPr>
    </w:p>
    <w:p w:rsidR="00982A07" w:rsidRPr="00767C7C" w:rsidRDefault="00982A07" w:rsidP="00113B19">
      <w:pPr>
        <w:pStyle w:val="Subttulo"/>
        <w:outlineLvl w:val="1"/>
      </w:pPr>
      <w:bookmarkStart w:id="2" w:name="_Toc32593415"/>
      <w:r w:rsidRPr="00767C7C">
        <w:t>1. A</w:t>
      </w:r>
      <w:r w:rsidRPr="00767C7C">
        <w:rPr>
          <w:rFonts w:ascii="Arial" w:hAnsi="Arial" w:cs="Arial"/>
          <w:sz w:val="22"/>
          <w:szCs w:val="22"/>
        </w:rPr>
        <w:t>.   Comentarios sobre los Ingresos</w:t>
      </w:r>
      <w:bookmarkEnd w:id="2"/>
      <w:r w:rsidRPr="00767C7C">
        <w:t xml:space="preserve"> </w:t>
      </w:r>
    </w:p>
    <w:p w:rsidR="00982A07" w:rsidRPr="00767C7C" w:rsidRDefault="00982A07" w:rsidP="00233BD6">
      <w:pPr>
        <w:ind w:right="-318"/>
        <w:rPr>
          <w:rFonts w:ascii="Arial" w:hAnsi="Arial" w:cs="Arial"/>
          <w:sz w:val="22"/>
          <w:szCs w:val="22"/>
        </w:rPr>
      </w:pPr>
    </w:p>
    <w:p w:rsidR="007A5100" w:rsidRPr="00017EDF" w:rsidRDefault="00017EDF" w:rsidP="00233BD6">
      <w:pPr>
        <w:ind w:right="596"/>
        <w:jc w:val="both"/>
        <w:rPr>
          <w:rFonts w:ascii="Arial" w:hAnsi="Arial" w:cs="Arial"/>
          <w:sz w:val="24"/>
          <w:szCs w:val="24"/>
        </w:rPr>
      </w:pPr>
      <w:r w:rsidRPr="00017EDF">
        <w:rPr>
          <w:rFonts w:ascii="Arial" w:hAnsi="Arial" w:cs="Arial"/>
          <w:sz w:val="24"/>
          <w:szCs w:val="24"/>
        </w:rPr>
        <w:t xml:space="preserve">La institución presupuestó ingresos por la suma de </w:t>
      </w:r>
      <w:r w:rsidRPr="00017EDF">
        <w:rPr>
          <w:rFonts w:ascii="Arial" w:hAnsi="Arial" w:cs="Arial"/>
          <w:b/>
          <w:sz w:val="24"/>
          <w:szCs w:val="24"/>
        </w:rPr>
        <w:t xml:space="preserve">¢3.397.817.123 </w:t>
      </w:r>
      <w:r w:rsidRPr="00017EDF">
        <w:rPr>
          <w:rFonts w:ascii="Arial" w:hAnsi="Arial" w:cs="Arial"/>
          <w:sz w:val="24"/>
          <w:szCs w:val="24"/>
        </w:rPr>
        <w:t xml:space="preserve">de los cuales al 31 de diciembre del 2019 se percibió la suma total de </w:t>
      </w:r>
      <w:r w:rsidRPr="00017EDF">
        <w:rPr>
          <w:rFonts w:ascii="Arial" w:hAnsi="Arial" w:cs="Arial"/>
          <w:b/>
          <w:sz w:val="24"/>
          <w:szCs w:val="24"/>
        </w:rPr>
        <w:t xml:space="preserve">¢2.488.637.733 </w:t>
      </w:r>
      <w:r w:rsidRPr="00017EDF">
        <w:rPr>
          <w:rFonts w:ascii="Arial" w:hAnsi="Arial" w:cs="Arial"/>
          <w:sz w:val="24"/>
          <w:szCs w:val="24"/>
        </w:rPr>
        <w:t>(lo cual no incluye los ingresos por superávit acumulado no presupuestado), lo que equivale a una ejecución del 73</w:t>
      </w:r>
      <w:r w:rsidRPr="00017EDF">
        <w:rPr>
          <w:rFonts w:ascii="Arial" w:hAnsi="Arial" w:cs="Arial"/>
          <w:b/>
          <w:sz w:val="24"/>
          <w:szCs w:val="24"/>
        </w:rPr>
        <w:t>%.</w:t>
      </w:r>
      <w:r w:rsidRPr="00017EDF">
        <w:rPr>
          <w:rFonts w:ascii="Arial" w:hAnsi="Arial" w:cs="Arial"/>
          <w:sz w:val="24"/>
          <w:szCs w:val="24"/>
        </w:rPr>
        <w:t xml:space="preserve"> A continuación, se detalla algunos aspectos importantes de los ingresos percibidos</w:t>
      </w:r>
    </w:p>
    <w:p w:rsidR="007A5100" w:rsidRPr="00767C7C" w:rsidRDefault="007A5100" w:rsidP="00233BD6">
      <w:pPr>
        <w:ind w:right="596"/>
        <w:jc w:val="both"/>
        <w:rPr>
          <w:rFonts w:ascii="Arial" w:hAnsi="Arial" w:cs="Arial"/>
          <w:b/>
          <w:sz w:val="22"/>
          <w:szCs w:val="22"/>
        </w:rPr>
      </w:pPr>
    </w:p>
    <w:p w:rsidR="00A437A8" w:rsidRPr="006661BD" w:rsidRDefault="007A5100" w:rsidP="006661BD">
      <w:pPr>
        <w:ind w:right="596"/>
        <w:jc w:val="both"/>
        <w:rPr>
          <w:rFonts w:ascii="Arial" w:hAnsi="Arial" w:cs="Arial"/>
          <w:b/>
          <w:sz w:val="22"/>
          <w:szCs w:val="22"/>
        </w:rPr>
      </w:pPr>
      <w:r w:rsidRPr="00767C7C">
        <w:rPr>
          <w:rFonts w:ascii="Arial" w:hAnsi="Arial" w:cs="Arial"/>
          <w:b/>
          <w:sz w:val="22"/>
          <w:szCs w:val="22"/>
        </w:rPr>
        <w:t xml:space="preserve">1.3.0.0.00.00.0.0.000 Ingresos no tributarios </w:t>
      </w:r>
    </w:p>
    <w:p w:rsidR="007A5100" w:rsidRDefault="007A5100" w:rsidP="00233BD6">
      <w:pPr>
        <w:ind w:right="596"/>
        <w:jc w:val="both"/>
        <w:rPr>
          <w:rFonts w:ascii="Arial" w:hAnsi="Arial" w:cs="Arial"/>
          <w:b/>
          <w:sz w:val="22"/>
          <w:szCs w:val="22"/>
        </w:rPr>
      </w:pPr>
      <w:r w:rsidRPr="00767C7C">
        <w:rPr>
          <w:rFonts w:ascii="Arial" w:hAnsi="Arial" w:cs="Arial"/>
          <w:b/>
          <w:sz w:val="22"/>
          <w:szCs w:val="22"/>
        </w:rPr>
        <w:t>1.3.1.0.00.00.0.0.000 Venta de Bienes y Servicios</w:t>
      </w:r>
    </w:p>
    <w:p w:rsidR="006661BD" w:rsidRPr="00767C7C" w:rsidRDefault="006661BD" w:rsidP="00233BD6">
      <w:pPr>
        <w:ind w:right="596"/>
        <w:jc w:val="both"/>
        <w:rPr>
          <w:rFonts w:ascii="Arial" w:hAnsi="Arial" w:cs="Arial"/>
          <w:b/>
          <w:sz w:val="22"/>
          <w:szCs w:val="22"/>
        </w:rPr>
      </w:pPr>
    </w:p>
    <w:p w:rsidR="007A5100" w:rsidRPr="003139EE" w:rsidRDefault="00017EDF" w:rsidP="003139EE">
      <w:pPr>
        <w:ind w:right="29"/>
        <w:jc w:val="both"/>
        <w:rPr>
          <w:rFonts w:ascii="Arial" w:hAnsi="Arial" w:cs="Arial"/>
          <w:sz w:val="24"/>
          <w:szCs w:val="24"/>
        </w:rPr>
      </w:pPr>
      <w:r w:rsidRPr="00017EDF">
        <w:rPr>
          <w:rFonts w:ascii="Arial" w:hAnsi="Arial" w:cs="Arial"/>
          <w:sz w:val="24"/>
          <w:szCs w:val="24"/>
        </w:rPr>
        <w:t>En cumplimiento al contrato de Fideicomiso y a los inciso d) y i) del artículo 47 de la Ley Forestal 7575, en esta sub</w:t>
      </w:r>
      <w:r w:rsidR="00213288">
        <w:rPr>
          <w:rFonts w:ascii="Arial" w:hAnsi="Arial" w:cs="Arial"/>
          <w:sz w:val="24"/>
          <w:szCs w:val="24"/>
        </w:rPr>
        <w:t xml:space="preserve"> </w:t>
      </w:r>
      <w:r w:rsidRPr="00017EDF">
        <w:rPr>
          <w:rFonts w:ascii="Arial" w:hAnsi="Arial" w:cs="Arial"/>
          <w:sz w:val="24"/>
          <w:szCs w:val="24"/>
        </w:rPr>
        <w:t xml:space="preserve">partida se presupuestó la suma de </w:t>
      </w:r>
      <w:r w:rsidRPr="00017EDF">
        <w:rPr>
          <w:rFonts w:ascii="Arial" w:hAnsi="Arial" w:cs="Arial"/>
          <w:b/>
          <w:sz w:val="24"/>
          <w:szCs w:val="24"/>
        </w:rPr>
        <w:t xml:space="preserve">¢145.739.150 </w:t>
      </w:r>
      <w:r w:rsidRPr="00017EDF">
        <w:rPr>
          <w:rFonts w:ascii="Arial" w:hAnsi="Arial" w:cs="Arial"/>
          <w:sz w:val="24"/>
          <w:szCs w:val="24"/>
        </w:rPr>
        <w:t>de los cuales</w:t>
      </w:r>
      <w:r w:rsidRPr="00017EDF">
        <w:rPr>
          <w:rFonts w:ascii="Arial" w:hAnsi="Arial" w:cs="Arial"/>
          <w:b/>
          <w:sz w:val="24"/>
          <w:szCs w:val="24"/>
        </w:rPr>
        <w:t xml:space="preserve"> </w:t>
      </w:r>
      <w:r w:rsidRPr="00017EDF">
        <w:rPr>
          <w:rFonts w:ascii="Arial" w:hAnsi="Arial" w:cs="Arial"/>
          <w:sz w:val="24"/>
          <w:szCs w:val="24"/>
        </w:rPr>
        <w:t xml:space="preserve">al 31 de diciembre del 2019 ingresó la suma total de </w:t>
      </w:r>
      <w:r w:rsidRPr="00017EDF">
        <w:rPr>
          <w:rFonts w:ascii="Arial" w:hAnsi="Arial" w:cs="Arial"/>
          <w:b/>
          <w:sz w:val="24"/>
          <w:szCs w:val="24"/>
        </w:rPr>
        <w:t>¢53.274.992</w:t>
      </w:r>
      <w:r w:rsidRPr="00017EDF">
        <w:rPr>
          <w:rFonts w:ascii="Arial" w:hAnsi="Arial" w:cs="Arial"/>
          <w:sz w:val="24"/>
          <w:szCs w:val="24"/>
        </w:rPr>
        <w:t xml:space="preserve"> equivalentes a un 37% de ejecución, del total recibido en el segundo semestre ingresaron ¢35.447.122</w:t>
      </w:r>
      <w:r w:rsidR="003139EE" w:rsidRPr="00017EDF">
        <w:rPr>
          <w:rFonts w:ascii="Arial" w:hAnsi="Arial" w:cs="Arial"/>
          <w:sz w:val="24"/>
          <w:szCs w:val="24"/>
        </w:rPr>
        <w:t>.</w:t>
      </w:r>
      <w:r w:rsidR="003139EE" w:rsidRPr="003139EE">
        <w:rPr>
          <w:rFonts w:ascii="Arial" w:hAnsi="Arial" w:cs="Arial"/>
          <w:sz w:val="24"/>
          <w:szCs w:val="24"/>
        </w:rPr>
        <w:t xml:space="preserve"> Estos son recursos adicionales provenientes del convenio de compra venta de servicios ambientales suscrito con la Compañía Nacional de Fuerza y Luz y con el Consorcio Nacional de Empresas de Electrificación de Costa Rica R.L (CONELECTRICA), adicionalmente incluye los ingresos provenientes de las afectaciones realizadas a los contratos por pago de servicios ambientales</w:t>
      </w:r>
      <w:r w:rsidR="009C21EC" w:rsidRPr="003139EE">
        <w:rPr>
          <w:rFonts w:ascii="Arial" w:hAnsi="Arial" w:cs="Arial"/>
          <w:sz w:val="24"/>
          <w:szCs w:val="24"/>
        </w:rPr>
        <w:t xml:space="preserve"> </w:t>
      </w:r>
    </w:p>
    <w:p w:rsidR="007A5100" w:rsidRPr="00767C7C" w:rsidRDefault="007A5100" w:rsidP="00233BD6">
      <w:pPr>
        <w:ind w:right="596"/>
        <w:jc w:val="both"/>
        <w:rPr>
          <w:rFonts w:ascii="Arial" w:hAnsi="Arial" w:cs="Arial"/>
          <w:b/>
          <w:sz w:val="22"/>
          <w:szCs w:val="22"/>
          <w:highlight w:val="yellow"/>
        </w:rPr>
      </w:pPr>
    </w:p>
    <w:p w:rsidR="00BA2766" w:rsidRDefault="00BA2766" w:rsidP="006661BD">
      <w:pPr>
        <w:rPr>
          <w:rFonts w:ascii="Arial" w:hAnsi="Arial" w:cs="Arial"/>
          <w:sz w:val="22"/>
          <w:szCs w:val="22"/>
        </w:rPr>
      </w:pPr>
    </w:p>
    <w:p w:rsidR="00BA2766" w:rsidRPr="00BA2766" w:rsidRDefault="00BA2766" w:rsidP="00BA2766">
      <w:pPr>
        <w:rPr>
          <w:rFonts w:ascii="Arial" w:hAnsi="Arial" w:cs="Arial"/>
          <w:b/>
          <w:sz w:val="22"/>
          <w:szCs w:val="22"/>
        </w:rPr>
      </w:pPr>
      <w:r w:rsidRPr="00BA2766">
        <w:rPr>
          <w:rFonts w:ascii="Arial" w:hAnsi="Arial" w:cs="Arial"/>
          <w:b/>
          <w:sz w:val="22"/>
          <w:szCs w:val="22"/>
        </w:rPr>
        <w:t xml:space="preserve">1.3.2.0.00.00.0.0.000 Ingresos de la propiedad </w:t>
      </w:r>
    </w:p>
    <w:p w:rsidR="00BA2766" w:rsidRPr="00BA2766" w:rsidRDefault="00BA2766" w:rsidP="00BA2766">
      <w:pPr>
        <w:rPr>
          <w:rFonts w:ascii="Arial" w:hAnsi="Arial" w:cs="Arial"/>
          <w:b/>
          <w:sz w:val="22"/>
          <w:szCs w:val="22"/>
        </w:rPr>
      </w:pPr>
      <w:r w:rsidRPr="00BA2766">
        <w:rPr>
          <w:rFonts w:ascii="Arial" w:hAnsi="Arial" w:cs="Arial"/>
          <w:b/>
          <w:sz w:val="22"/>
          <w:szCs w:val="22"/>
        </w:rPr>
        <w:t>1.3.2.3.02.07.0.0.000 Intereses y comisiones sobre préstamos al sector privado</w:t>
      </w:r>
    </w:p>
    <w:p w:rsidR="00BA2766" w:rsidRPr="00BA2766" w:rsidRDefault="00BA2766" w:rsidP="00BA2766">
      <w:pPr>
        <w:rPr>
          <w:rFonts w:ascii="Arial" w:hAnsi="Arial" w:cs="Arial"/>
          <w:b/>
          <w:color w:val="FF0000"/>
          <w:sz w:val="22"/>
          <w:szCs w:val="22"/>
        </w:rPr>
      </w:pPr>
    </w:p>
    <w:p w:rsidR="00F730B0" w:rsidRPr="00F730B0" w:rsidRDefault="00F730B0" w:rsidP="00F730B0">
      <w:pPr>
        <w:jc w:val="both"/>
        <w:rPr>
          <w:rFonts w:ascii="Arial" w:hAnsi="Arial" w:cs="Arial"/>
          <w:sz w:val="24"/>
          <w:szCs w:val="24"/>
        </w:rPr>
      </w:pPr>
      <w:r w:rsidRPr="00F730B0">
        <w:rPr>
          <w:rFonts w:ascii="Arial" w:hAnsi="Arial" w:cs="Arial"/>
          <w:sz w:val="24"/>
          <w:szCs w:val="24"/>
        </w:rPr>
        <w:t>En esta sub</w:t>
      </w:r>
      <w:r w:rsidR="00213288">
        <w:rPr>
          <w:rFonts w:ascii="Arial" w:hAnsi="Arial" w:cs="Arial"/>
          <w:sz w:val="24"/>
          <w:szCs w:val="24"/>
        </w:rPr>
        <w:t xml:space="preserve"> </w:t>
      </w:r>
      <w:r w:rsidRPr="00F730B0">
        <w:rPr>
          <w:rFonts w:ascii="Arial" w:hAnsi="Arial" w:cs="Arial"/>
          <w:sz w:val="24"/>
          <w:szCs w:val="24"/>
        </w:rPr>
        <w:t xml:space="preserve">partida se presupuestó la suma de </w:t>
      </w:r>
      <w:r w:rsidRPr="00F730B0">
        <w:rPr>
          <w:rFonts w:ascii="Arial" w:hAnsi="Arial" w:cs="Arial"/>
          <w:b/>
          <w:sz w:val="24"/>
          <w:szCs w:val="24"/>
        </w:rPr>
        <w:t>¢181.292.694</w:t>
      </w:r>
      <w:r w:rsidRPr="00F730B0">
        <w:rPr>
          <w:rFonts w:ascii="Arial" w:hAnsi="Arial" w:cs="Arial"/>
          <w:sz w:val="24"/>
          <w:szCs w:val="24"/>
        </w:rPr>
        <w:t xml:space="preserve">, durante el segundo semestre 2019 se percibieron recursos por la suma de </w:t>
      </w:r>
      <w:r w:rsidRPr="00F730B0">
        <w:rPr>
          <w:rFonts w:ascii="Arial" w:hAnsi="Arial" w:cs="Arial"/>
          <w:b/>
          <w:sz w:val="24"/>
          <w:szCs w:val="24"/>
        </w:rPr>
        <w:t xml:space="preserve">¢98.940.939 </w:t>
      </w:r>
      <w:r w:rsidRPr="00F730B0">
        <w:rPr>
          <w:rFonts w:ascii="Arial" w:hAnsi="Arial" w:cs="Arial"/>
          <w:sz w:val="24"/>
          <w:szCs w:val="24"/>
        </w:rPr>
        <w:t>en total en este rubro se recibieron recursos por la suma de</w:t>
      </w:r>
      <w:r w:rsidRPr="00F730B0">
        <w:rPr>
          <w:rFonts w:ascii="Arial" w:hAnsi="Arial" w:cs="Arial"/>
          <w:b/>
          <w:sz w:val="24"/>
          <w:szCs w:val="24"/>
        </w:rPr>
        <w:t xml:space="preserve"> ¢186.611.508 </w:t>
      </w:r>
      <w:r w:rsidRPr="00F730B0">
        <w:rPr>
          <w:rFonts w:ascii="Arial" w:hAnsi="Arial" w:cs="Arial"/>
          <w:sz w:val="24"/>
          <w:szCs w:val="24"/>
        </w:rPr>
        <w:t>equivalente a una ejecución del 103%. Estos recursos corresponden a intereses generados por la cartera de crédito.</w:t>
      </w:r>
    </w:p>
    <w:p w:rsidR="00BA2766" w:rsidRDefault="00BA2766" w:rsidP="006661BD">
      <w:pPr>
        <w:rPr>
          <w:rFonts w:ascii="Arial" w:hAnsi="Arial" w:cs="Arial"/>
          <w:sz w:val="24"/>
          <w:szCs w:val="24"/>
        </w:rPr>
      </w:pPr>
    </w:p>
    <w:p w:rsidR="006661BD" w:rsidRPr="00281A36" w:rsidRDefault="006661BD" w:rsidP="006661BD">
      <w:pPr>
        <w:rPr>
          <w:rFonts w:ascii="Arial" w:hAnsi="Arial" w:cs="Arial"/>
          <w:b/>
          <w:sz w:val="22"/>
          <w:szCs w:val="22"/>
        </w:rPr>
      </w:pPr>
      <w:r w:rsidRPr="00281A36">
        <w:rPr>
          <w:rFonts w:ascii="Arial" w:hAnsi="Arial" w:cs="Arial"/>
          <w:b/>
          <w:sz w:val="22"/>
          <w:szCs w:val="22"/>
        </w:rPr>
        <w:t>1.3.2.3.03.00.0.0.000 Otras Rentas de Activos Financieros</w:t>
      </w:r>
    </w:p>
    <w:p w:rsidR="00210DDB" w:rsidRPr="00210DDB" w:rsidRDefault="00210DDB" w:rsidP="00210DDB">
      <w:pPr>
        <w:rPr>
          <w:rFonts w:ascii="Arial" w:hAnsi="Arial" w:cs="Arial"/>
          <w:b/>
          <w:sz w:val="24"/>
          <w:szCs w:val="24"/>
        </w:rPr>
      </w:pPr>
      <w:r w:rsidRPr="00210DDB">
        <w:rPr>
          <w:rFonts w:ascii="Arial" w:hAnsi="Arial" w:cs="Arial"/>
          <w:b/>
          <w:sz w:val="24"/>
          <w:szCs w:val="24"/>
        </w:rPr>
        <w:t>1.3.2.3.03.04.0.0.000 Diferencias por tipo de cambio</w:t>
      </w:r>
    </w:p>
    <w:p w:rsidR="00210DDB" w:rsidRPr="00210DDB" w:rsidRDefault="00210DDB" w:rsidP="00210DDB">
      <w:pPr>
        <w:rPr>
          <w:rFonts w:ascii="Arial" w:hAnsi="Arial" w:cs="Arial"/>
          <w:sz w:val="24"/>
          <w:szCs w:val="24"/>
        </w:rPr>
      </w:pPr>
    </w:p>
    <w:p w:rsidR="00210DDB" w:rsidRPr="00213288" w:rsidRDefault="00213288" w:rsidP="00210DDB">
      <w:pPr>
        <w:jc w:val="both"/>
        <w:rPr>
          <w:rFonts w:ascii="Arial" w:eastAsia="Times New Roman" w:hAnsi="Arial" w:cs="Arial"/>
          <w:sz w:val="24"/>
          <w:szCs w:val="24"/>
          <w:lang w:eastAsia="es-CR"/>
        </w:rPr>
      </w:pPr>
      <w:r w:rsidRPr="00213288">
        <w:rPr>
          <w:rFonts w:ascii="Arial" w:hAnsi="Arial" w:cs="Arial"/>
          <w:sz w:val="24"/>
          <w:szCs w:val="24"/>
        </w:rPr>
        <w:t>En esta sub</w:t>
      </w:r>
      <w:r>
        <w:rPr>
          <w:rFonts w:ascii="Arial" w:hAnsi="Arial" w:cs="Arial"/>
          <w:sz w:val="24"/>
          <w:szCs w:val="24"/>
        </w:rPr>
        <w:t xml:space="preserve"> </w:t>
      </w:r>
      <w:r w:rsidRPr="00213288">
        <w:rPr>
          <w:rFonts w:ascii="Arial" w:hAnsi="Arial" w:cs="Arial"/>
          <w:sz w:val="24"/>
          <w:szCs w:val="24"/>
        </w:rPr>
        <w:t xml:space="preserve">partida se presupuestó la suma de </w:t>
      </w:r>
      <w:r w:rsidRPr="00213288">
        <w:rPr>
          <w:rFonts w:ascii="Arial" w:hAnsi="Arial" w:cs="Arial"/>
          <w:b/>
          <w:sz w:val="24"/>
          <w:szCs w:val="24"/>
        </w:rPr>
        <w:t>¢5.000.000</w:t>
      </w:r>
      <w:r w:rsidRPr="00213288">
        <w:rPr>
          <w:rFonts w:ascii="Arial" w:hAnsi="Arial" w:cs="Arial"/>
          <w:sz w:val="24"/>
          <w:szCs w:val="24"/>
        </w:rPr>
        <w:t xml:space="preserve">, de los cuales al segundo semestre del periodo 2019, se captaron recursos por la suma de </w:t>
      </w:r>
      <w:r w:rsidRPr="00213288">
        <w:rPr>
          <w:rFonts w:ascii="Arial" w:hAnsi="Arial" w:cs="Arial"/>
          <w:b/>
          <w:sz w:val="24"/>
          <w:szCs w:val="24"/>
        </w:rPr>
        <w:t>¢4.856.427</w:t>
      </w:r>
      <w:r w:rsidRPr="00213288">
        <w:rPr>
          <w:rFonts w:ascii="Arial" w:hAnsi="Arial" w:cs="Arial"/>
          <w:sz w:val="24"/>
          <w:szCs w:val="24"/>
        </w:rPr>
        <w:t>, estos ingresos se originan a través de las fluctuaciones positivas por tipo de cambio presentadas durante el período</w:t>
      </w:r>
      <w:r w:rsidR="00210DDB" w:rsidRPr="00213288">
        <w:rPr>
          <w:rFonts w:ascii="Arial" w:hAnsi="Arial" w:cs="Arial"/>
          <w:b/>
          <w:sz w:val="24"/>
          <w:szCs w:val="24"/>
        </w:rPr>
        <w:t>.</w:t>
      </w:r>
    </w:p>
    <w:p w:rsidR="0034269E" w:rsidRPr="00281A36" w:rsidRDefault="0034269E" w:rsidP="00233BD6">
      <w:pPr>
        <w:ind w:right="596"/>
        <w:jc w:val="both"/>
        <w:rPr>
          <w:rFonts w:ascii="Arial" w:hAnsi="Arial" w:cs="Arial"/>
          <w:sz w:val="24"/>
          <w:szCs w:val="22"/>
          <w:highlight w:val="yellow"/>
        </w:rPr>
      </w:pP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 xml:space="preserve">1.3.3.1.00.00.0.0.000 Multas y sanciones </w:t>
      </w: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1.3.3.1.09.00.0.0.000 Otras multas</w:t>
      </w:r>
    </w:p>
    <w:p w:rsidR="007A5100" w:rsidRPr="00210DDB" w:rsidRDefault="007A5100" w:rsidP="00233BD6">
      <w:pPr>
        <w:ind w:right="596"/>
        <w:jc w:val="both"/>
        <w:rPr>
          <w:rFonts w:ascii="Arial" w:hAnsi="Arial" w:cs="Arial"/>
          <w:sz w:val="24"/>
          <w:szCs w:val="24"/>
        </w:rPr>
      </w:pPr>
    </w:p>
    <w:p w:rsidR="00213288" w:rsidRPr="00213288" w:rsidRDefault="00213288" w:rsidP="00213288">
      <w:pPr>
        <w:jc w:val="both"/>
        <w:rPr>
          <w:rFonts w:ascii="Arial" w:hAnsi="Arial" w:cs="Arial"/>
          <w:sz w:val="24"/>
          <w:szCs w:val="24"/>
        </w:rPr>
      </w:pPr>
      <w:r w:rsidRPr="00213288">
        <w:rPr>
          <w:rFonts w:ascii="Arial" w:hAnsi="Arial" w:cs="Arial"/>
          <w:sz w:val="24"/>
          <w:szCs w:val="24"/>
        </w:rPr>
        <w:t>En esta sub</w:t>
      </w:r>
      <w:r>
        <w:rPr>
          <w:rFonts w:ascii="Arial" w:hAnsi="Arial" w:cs="Arial"/>
          <w:sz w:val="24"/>
          <w:szCs w:val="24"/>
        </w:rPr>
        <w:t xml:space="preserve"> </w:t>
      </w:r>
      <w:r w:rsidRPr="00213288">
        <w:rPr>
          <w:rFonts w:ascii="Arial" w:hAnsi="Arial" w:cs="Arial"/>
          <w:sz w:val="24"/>
          <w:szCs w:val="24"/>
        </w:rPr>
        <w:t xml:space="preserve">partida se presupuestó la suma de </w:t>
      </w:r>
      <w:r w:rsidRPr="00213288">
        <w:rPr>
          <w:rFonts w:ascii="Arial" w:hAnsi="Arial" w:cs="Arial"/>
          <w:b/>
          <w:sz w:val="24"/>
          <w:szCs w:val="24"/>
        </w:rPr>
        <w:t>¢500.000</w:t>
      </w:r>
      <w:r w:rsidRPr="00213288">
        <w:rPr>
          <w:rFonts w:ascii="Arial" w:hAnsi="Arial" w:cs="Arial"/>
          <w:sz w:val="24"/>
          <w:szCs w:val="24"/>
        </w:rPr>
        <w:t xml:space="preserve"> de los cuales durante el segundo semestre se obtuvieron ingresos por la suma de </w:t>
      </w:r>
      <w:r w:rsidRPr="00213288">
        <w:rPr>
          <w:rFonts w:ascii="Arial" w:hAnsi="Arial" w:cs="Arial"/>
          <w:b/>
          <w:sz w:val="24"/>
          <w:szCs w:val="24"/>
        </w:rPr>
        <w:t>¢274.475</w:t>
      </w:r>
      <w:r w:rsidRPr="00213288">
        <w:rPr>
          <w:rFonts w:ascii="Arial" w:hAnsi="Arial" w:cs="Arial"/>
          <w:sz w:val="24"/>
          <w:szCs w:val="24"/>
        </w:rPr>
        <w:t xml:space="preserve">, para un total durante el año de </w:t>
      </w:r>
      <w:r w:rsidRPr="00213288">
        <w:rPr>
          <w:rFonts w:ascii="Arial" w:hAnsi="Arial" w:cs="Arial"/>
          <w:b/>
          <w:sz w:val="24"/>
          <w:szCs w:val="24"/>
        </w:rPr>
        <w:t>¢434.375</w:t>
      </w:r>
      <w:r w:rsidRPr="00213288">
        <w:rPr>
          <w:rFonts w:ascii="Arial" w:hAnsi="Arial" w:cs="Arial"/>
          <w:sz w:val="24"/>
          <w:szCs w:val="24"/>
        </w:rPr>
        <w:t xml:space="preserve"> equivalente a un 87</w:t>
      </w:r>
      <w:r w:rsidRPr="00213288">
        <w:rPr>
          <w:rFonts w:ascii="Arial" w:hAnsi="Arial" w:cs="Arial"/>
          <w:b/>
          <w:sz w:val="24"/>
          <w:szCs w:val="24"/>
        </w:rPr>
        <w:t>%</w:t>
      </w:r>
      <w:r w:rsidRPr="00213288">
        <w:rPr>
          <w:rFonts w:ascii="Arial" w:hAnsi="Arial" w:cs="Arial"/>
          <w:sz w:val="24"/>
          <w:szCs w:val="24"/>
        </w:rPr>
        <w:t xml:space="preserve"> de ejecución, estos recursos corresponden a comisiones por morosidad de la cartera de crédito.</w:t>
      </w:r>
    </w:p>
    <w:p w:rsidR="00606808" w:rsidRDefault="00606808" w:rsidP="00233BD6">
      <w:pPr>
        <w:ind w:right="596"/>
        <w:jc w:val="both"/>
        <w:rPr>
          <w:rFonts w:ascii="Arial" w:hAnsi="Arial" w:cs="Arial"/>
          <w:b/>
          <w:sz w:val="22"/>
          <w:szCs w:val="22"/>
        </w:rPr>
      </w:pPr>
    </w:p>
    <w:p w:rsidR="00875B4D" w:rsidRDefault="00875B4D" w:rsidP="00233BD6">
      <w:pPr>
        <w:ind w:right="596"/>
        <w:jc w:val="both"/>
        <w:rPr>
          <w:rFonts w:ascii="Arial" w:hAnsi="Arial" w:cs="Arial"/>
          <w:b/>
          <w:sz w:val="22"/>
          <w:szCs w:val="22"/>
        </w:rPr>
      </w:pPr>
    </w:p>
    <w:p w:rsidR="00875B4D" w:rsidRDefault="00875B4D" w:rsidP="00233BD6">
      <w:pPr>
        <w:ind w:right="596"/>
        <w:jc w:val="both"/>
        <w:rPr>
          <w:rFonts w:ascii="Arial" w:hAnsi="Arial" w:cs="Arial"/>
          <w:b/>
          <w:sz w:val="22"/>
          <w:szCs w:val="22"/>
        </w:rPr>
      </w:pPr>
    </w:p>
    <w:p w:rsidR="00875B4D" w:rsidRDefault="00875B4D" w:rsidP="00233BD6">
      <w:pPr>
        <w:ind w:right="596"/>
        <w:jc w:val="both"/>
        <w:rPr>
          <w:rFonts w:ascii="Arial" w:hAnsi="Arial" w:cs="Arial"/>
          <w:b/>
          <w:sz w:val="22"/>
          <w:szCs w:val="22"/>
        </w:rPr>
      </w:pPr>
    </w:p>
    <w:p w:rsidR="007A5100" w:rsidRPr="00281A36" w:rsidRDefault="00CB2FB9" w:rsidP="00233BD6">
      <w:pPr>
        <w:ind w:right="596"/>
        <w:jc w:val="both"/>
        <w:rPr>
          <w:rFonts w:ascii="Arial" w:hAnsi="Arial" w:cs="Arial"/>
          <w:b/>
          <w:sz w:val="22"/>
          <w:szCs w:val="22"/>
        </w:rPr>
      </w:pPr>
      <w:r w:rsidRPr="00281A36">
        <w:rPr>
          <w:rFonts w:ascii="Arial" w:hAnsi="Arial" w:cs="Arial"/>
          <w:b/>
          <w:sz w:val="22"/>
          <w:szCs w:val="22"/>
        </w:rPr>
        <w:t>1.3.4.0.00.00.0.0.000 Intereses</w:t>
      </w:r>
      <w:r w:rsidR="007A5100" w:rsidRPr="00281A36">
        <w:rPr>
          <w:rFonts w:ascii="Arial" w:hAnsi="Arial" w:cs="Arial"/>
          <w:b/>
          <w:sz w:val="22"/>
          <w:szCs w:val="22"/>
        </w:rPr>
        <w:t xml:space="preserve"> Moratorios</w:t>
      </w: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1.3.4.9.00.00.0.0.000 Otros Intereses Moratorios</w:t>
      </w:r>
    </w:p>
    <w:p w:rsidR="007A5100" w:rsidRPr="00281A36" w:rsidRDefault="007A5100" w:rsidP="00233BD6">
      <w:pPr>
        <w:ind w:right="596"/>
        <w:jc w:val="both"/>
        <w:rPr>
          <w:rFonts w:ascii="Arial" w:hAnsi="Arial" w:cs="Arial"/>
          <w:b/>
          <w:sz w:val="22"/>
          <w:szCs w:val="22"/>
        </w:rPr>
      </w:pPr>
    </w:p>
    <w:p w:rsidR="00213288" w:rsidRPr="00213288" w:rsidRDefault="00213288" w:rsidP="00213288">
      <w:pPr>
        <w:jc w:val="both"/>
        <w:rPr>
          <w:rFonts w:ascii="Arial" w:eastAsia="Times New Roman" w:hAnsi="Arial" w:cs="Arial"/>
          <w:color w:val="FF0000"/>
          <w:sz w:val="24"/>
          <w:szCs w:val="24"/>
          <w:lang w:eastAsia="es-CR"/>
        </w:rPr>
      </w:pPr>
      <w:r w:rsidRPr="00213288">
        <w:rPr>
          <w:rFonts w:ascii="Arial" w:hAnsi="Arial" w:cs="Arial"/>
          <w:sz w:val="24"/>
          <w:szCs w:val="24"/>
        </w:rPr>
        <w:t>En esta sub</w:t>
      </w:r>
      <w:r>
        <w:rPr>
          <w:rFonts w:ascii="Arial" w:hAnsi="Arial" w:cs="Arial"/>
          <w:sz w:val="24"/>
          <w:szCs w:val="24"/>
        </w:rPr>
        <w:t xml:space="preserve"> </w:t>
      </w:r>
      <w:r w:rsidRPr="00213288">
        <w:rPr>
          <w:rFonts w:ascii="Arial" w:hAnsi="Arial" w:cs="Arial"/>
          <w:sz w:val="24"/>
          <w:szCs w:val="24"/>
        </w:rPr>
        <w:t xml:space="preserve">partida se presupuestó la suma de </w:t>
      </w:r>
      <w:r w:rsidRPr="00213288">
        <w:rPr>
          <w:rFonts w:ascii="Arial" w:hAnsi="Arial" w:cs="Arial"/>
          <w:b/>
          <w:sz w:val="24"/>
          <w:szCs w:val="24"/>
        </w:rPr>
        <w:t>¢500.000</w:t>
      </w:r>
      <w:r w:rsidRPr="00213288">
        <w:rPr>
          <w:rFonts w:ascii="Arial" w:hAnsi="Arial" w:cs="Arial"/>
          <w:sz w:val="24"/>
          <w:szCs w:val="24"/>
        </w:rPr>
        <w:t xml:space="preserve"> de los cuales en el segundo semestre se recibió un monto de </w:t>
      </w:r>
      <w:r w:rsidRPr="00213288">
        <w:rPr>
          <w:rFonts w:ascii="Arial" w:hAnsi="Arial" w:cs="Arial"/>
          <w:b/>
          <w:sz w:val="24"/>
          <w:szCs w:val="24"/>
        </w:rPr>
        <w:t>¢353.505</w:t>
      </w:r>
      <w:r w:rsidRPr="00213288">
        <w:rPr>
          <w:rFonts w:ascii="Arial" w:hAnsi="Arial" w:cs="Arial"/>
          <w:sz w:val="24"/>
          <w:szCs w:val="24"/>
        </w:rPr>
        <w:t xml:space="preserve">, para un total de </w:t>
      </w:r>
      <w:r w:rsidRPr="00213288">
        <w:rPr>
          <w:rFonts w:ascii="Arial" w:hAnsi="Arial" w:cs="Arial"/>
          <w:b/>
          <w:sz w:val="24"/>
          <w:szCs w:val="24"/>
        </w:rPr>
        <w:t>¢1.577.381</w:t>
      </w:r>
      <w:r w:rsidRPr="00213288">
        <w:rPr>
          <w:rFonts w:ascii="Arial" w:hAnsi="Arial" w:cs="Arial"/>
          <w:sz w:val="24"/>
          <w:szCs w:val="24"/>
        </w:rPr>
        <w:t xml:space="preserve"> equivalente a un </w:t>
      </w:r>
      <w:r w:rsidRPr="00213288">
        <w:rPr>
          <w:rFonts w:ascii="Arial" w:hAnsi="Arial" w:cs="Arial"/>
          <w:b/>
          <w:sz w:val="24"/>
          <w:szCs w:val="24"/>
        </w:rPr>
        <w:t>315%</w:t>
      </w:r>
      <w:r w:rsidRPr="00213288">
        <w:rPr>
          <w:rFonts w:ascii="Arial" w:hAnsi="Arial" w:cs="Arial"/>
          <w:sz w:val="24"/>
          <w:szCs w:val="24"/>
        </w:rPr>
        <w:t xml:space="preserve"> de ejecución, estos recursos se originan a través del cobro de intereses moratorios en la cartera de crédito.</w:t>
      </w:r>
    </w:p>
    <w:p w:rsidR="00281A36" w:rsidRPr="00210DDB" w:rsidRDefault="00281A36" w:rsidP="006661BD">
      <w:pPr>
        <w:jc w:val="both"/>
        <w:rPr>
          <w:rFonts w:ascii="Arial" w:hAnsi="Arial" w:cs="Arial"/>
          <w:sz w:val="24"/>
          <w:szCs w:val="24"/>
        </w:rPr>
      </w:pP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 xml:space="preserve">1.3.9.0.00.00.0.0.000 Otros ingresos no tributarios </w:t>
      </w:r>
    </w:p>
    <w:p w:rsidR="007A5100" w:rsidRPr="00281A36" w:rsidRDefault="007A5100" w:rsidP="00233BD6">
      <w:pPr>
        <w:ind w:right="596"/>
        <w:jc w:val="both"/>
        <w:rPr>
          <w:rFonts w:ascii="Arial" w:hAnsi="Arial" w:cs="Arial"/>
          <w:b/>
          <w:sz w:val="22"/>
          <w:szCs w:val="22"/>
        </w:rPr>
      </w:pPr>
      <w:r w:rsidRPr="00281A36">
        <w:rPr>
          <w:rFonts w:ascii="Arial" w:hAnsi="Arial" w:cs="Arial"/>
          <w:b/>
          <w:sz w:val="22"/>
          <w:szCs w:val="22"/>
        </w:rPr>
        <w:t>1.3.9.1.00.00.0.0.000 Reintegro</w:t>
      </w:r>
      <w:r w:rsidR="00A402EB">
        <w:rPr>
          <w:rFonts w:ascii="Arial" w:hAnsi="Arial" w:cs="Arial"/>
          <w:b/>
          <w:sz w:val="22"/>
          <w:szCs w:val="22"/>
        </w:rPr>
        <w:t>s y devoluciones</w:t>
      </w:r>
    </w:p>
    <w:p w:rsidR="007A5100" w:rsidRPr="00281A36" w:rsidRDefault="007A5100" w:rsidP="00233BD6">
      <w:pPr>
        <w:ind w:right="596"/>
        <w:jc w:val="both"/>
        <w:rPr>
          <w:rFonts w:ascii="Arial" w:hAnsi="Arial" w:cs="Arial"/>
          <w:sz w:val="22"/>
          <w:szCs w:val="22"/>
        </w:rPr>
      </w:pPr>
    </w:p>
    <w:p w:rsidR="00A402EB" w:rsidRPr="000B1B60" w:rsidRDefault="00A402EB" w:rsidP="00A402EB">
      <w:pPr>
        <w:jc w:val="both"/>
        <w:rPr>
          <w:rFonts w:ascii="Arial" w:hAnsi="Arial" w:cs="Arial"/>
        </w:rPr>
      </w:pPr>
      <w:r w:rsidRPr="00A402EB">
        <w:rPr>
          <w:rFonts w:ascii="Arial" w:hAnsi="Arial" w:cs="Arial"/>
          <w:sz w:val="24"/>
          <w:szCs w:val="24"/>
        </w:rPr>
        <w:t>En esta sub</w:t>
      </w:r>
      <w:r w:rsidR="001F6A8D">
        <w:rPr>
          <w:rFonts w:ascii="Arial" w:hAnsi="Arial" w:cs="Arial"/>
          <w:sz w:val="24"/>
          <w:szCs w:val="24"/>
        </w:rPr>
        <w:t xml:space="preserve"> </w:t>
      </w:r>
      <w:r w:rsidRPr="00A402EB">
        <w:rPr>
          <w:rFonts w:ascii="Arial" w:hAnsi="Arial" w:cs="Arial"/>
          <w:sz w:val="24"/>
          <w:szCs w:val="24"/>
        </w:rPr>
        <w:t>partida no se presupuestó contenido, sin embargo, durante el segundo semestre se percibió la suma de ¢4.776.933</w:t>
      </w:r>
      <w:r>
        <w:rPr>
          <w:rFonts w:ascii="Arial" w:hAnsi="Arial" w:cs="Arial"/>
          <w:sz w:val="24"/>
          <w:szCs w:val="24"/>
        </w:rPr>
        <w:t xml:space="preserve"> para un total en el año de ¢11.858.760</w:t>
      </w:r>
      <w:r w:rsidRPr="00A402EB">
        <w:rPr>
          <w:rFonts w:ascii="Arial" w:hAnsi="Arial" w:cs="Arial"/>
          <w:b/>
          <w:sz w:val="24"/>
          <w:szCs w:val="24"/>
        </w:rPr>
        <w:t xml:space="preserve">, </w:t>
      </w:r>
      <w:r w:rsidRPr="00A402EB">
        <w:rPr>
          <w:rFonts w:ascii="Arial" w:hAnsi="Arial" w:cs="Arial"/>
          <w:sz w:val="24"/>
          <w:szCs w:val="24"/>
        </w:rPr>
        <w:t>estos ingresos se originaron principalmente por el pago que realizaran los deudores, por gastos de gestiones de créditos en cobro judicial</w:t>
      </w:r>
      <w:r w:rsidRPr="009368FC">
        <w:rPr>
          <w:rFonts w:ascii="Arial" w:hAnsi="Arial" w:cs="Arial"/>
        </w:rPr>
        <w:t>.</w:t>
      </w:r>
    </w:p>
    <w:p w:rsidR="00CC6AF9" w:rsidRPr="00767C7C" w:rsidRDefault="00CC6AF9" w:rsidP="00233BD6">
      <w:pPr>
        <w:ind w:right="596"/>
        <w:jc w:val="both"/>
        <w:rPr>
          <w:rFonts w:ascii="Arial" w:hAnsi="Arial" w:cs="Arial"/>
          <w:b/>
          <w:sz w:val="22"/>
          <w:szCs w:val="22"/>
        </w:rPr>
      </w:pPr>
    </w:p>
    <w:p w:rsidR="007A5100" w:rsidRPr="00767C7C" w:rsidRDefault="007A5100" w:rsidP="00233BD6">
      <w:pPr>
        <w:ind w:right="596"/>
        <w:jc w:val="both"/>
        <w:rPr>
          <w:rFonts w:ascii="Arial" w:hAnsi="Arial" w:cs="Arial"/>
          <w:b/>
          <w:sz w:val="22"/>
          <w:szCs w:val="22"/>
        </w:rPr>
      </w:pPr>
      <w:r w:rsidRPr="00767C7C">
        <w:rPr>
          <w:rFonts w:ascii="Arial" w:hAnsi="Arial" w:cs="Arial"/>
          <w:b/>
          <w:sz w:val="22"/>
          <w:szCs w:val="22"/>
        </w:rPr>
        <w:t xml:space="preserve">1.4.0.0.00.00.0.0.000 Transferencias Corrientes </w:t>
      </w:r>
    </w:p>
    <w:p w:rsidR="00650E1D" w:rsidRPr="00650E1D" w:rsidRDefault="00650E1D" w:rsidP="00650E1D">
      <w:pPr>
        <w:rPr>
          <w:rFonts w:ascii="Arial" w:hAnsi="Arial" w:cs="Arial"/>
          <w:b/>
          <w:sz w:val="24"/>
          <w:szCs w:val="24"/>
        </w:rPr>
      </w:pPr>
      <w:r w:rsidRPr="00650E1D">
        <w:rPr>
          <w:rFonts w:ascii="Arial" w:hAnsi="Arial" w:cs="Arial"/>
          <w:b/>
          <w:sz w:val="24"/>
          <w:szCs w:val="24"/>
        </w:rPr>
        <w:t>1.4.1.2.00.00.0.0.000 Transferencias de Órganos Desconcentrados</w:t>
      </w:r>
    </w:p>
    <w:p w:rsidR="00650E1D" w:rsidRPr="00650E1D" w:rsidRDefault="00650E1D" w:rsidP="00650E1D">
      <w:pPr>
        <w:rPr>
          <w:rFonts w:ascii="Arial" w:hAnsi="Arial" w:cs="Arial"/>
          <w:b/>
          <w:sz w:val="24"/>
          <w:szCs w:val="24"/>
        </w:rPr>
      </w:pPr>
    </w:p>
    <w:p w:rsidR="00650E1D" w:rsidRPr="00650E1D" w:rsidRDefault="00650E1D" w:rsidP="00650E1D">
      <w:pPr>
        <w:jc w:val="both"/>
        <w:rPr>
          <w:rFonts w:ascii="Arial" w:hAnsi="Arial" w:cs="Arial"/>
          <w:sz w:val="24"/>
          <w:szCs w:val="24"/>
        </w:rPr>
      </w:pPr>
      <w:r w:rsidRPr="00650E1D">
        <w:rPr>
          <w:rFonts w:ascii="Arial" w:hAnsi="Arial" w:cs="Arial"/>
          <w:sz w:val="24"/>
          <w:szCs w:val="24"/>
        </w:rPr>
        <w:t>En esta sub</w:t>
      </w:r>
      <w:r w:rsidR="001F6A8D">
        <w:rPr>
          <w:rFonts w:ascii="Arial" w:hAnsi="Arial" w:cs="Arial"/>
          <w:sz w:val="24"/>
          <w:szCs w:val="24"/>
        </w:rPr>
        <w:t xml:space="preserve"> </w:t>
      </w:r>
      <w:r w:rsidRPr="00650E1D">
        <w:rPr>
          <w:rFonts w:ascii="Arial" w:hAnsi="Arial" w:cs="Arial"/>
          <w:sz w:val="24"/>
          <w:szCs w:val="24"/>
        </w:rPr>
        <w:t xml:space="preserve">partida se presupuestó la suma de </w:t>
      </w:r>
      <w:r w:rsidRPr="00650E1D">
        <w:rPr>
          <w:rFonts w:ascii="Arial" w:hAnsi="Arial" w:cs="Arial"/>
          <w:b/>
          <w:sz w:val="24"/>
          <w:szCs w:val="24"/>
        </w:rPr>
        <w:t>¢599.120.000</w:t>
      </w:r>
      <w:r w:rsidRPr="00650E1D">
        <w:rPr>
          <w:rFonts w:ascii="Arial" w:hAnsi="Arial" w:cs="Arial"/>
          <w:sz w:val="24"/>
          <w:szCs w:val="24"/>
        </w:rPr>
        <w:t xml:space="preserve">, de los cuales durante el segundo semestre se logró percibir la suma de </w:t>
      </w:r>
      <w:r w:rsidRPr="00650E1D">
        <w:rPr>
          <w:rFonts w:ascii="Arial" w:hAnsi="Arial" w:cs="Arial"/>
          <w:b/>
          <w:sz w:val="24"/>
          <w:szCs w:val="24"/>
        </w:rPr>
        <w:t>¢213.281.987</w:t>
      </w:r>
      <w:r w:rsidRPr="00650E1D">
        <w:rPr>
          <w:rFonts w:ascii="Arial" w:hAnsi="Arial" w:cs="Arial"/>
          <w:sz w:val="24"/>
          <w:szCs w:val="24"/>
        </w:rPr>
        <w:t xml:space="preserve"> para un total acumulado de ¢490.694.398 equivalente a una ejecución del </w:t>
      </w:r>
      <w:r w:rsidRPr="00650E1D">
        <w:rPr>
          <w:rFonts w:ascii="Arial" w:hAnsi="Arial" w:cs="Arial"/>
          <w:b/>
          <w:sz w:val="24"/>
          <w:szCs w:val="24"/>
        </w:rPr>
        <w:t>82%.</w:t>
      </w:r>
      <w:r w:rsidRPr="00650E1D">
        <w:rPr>
          <w:rFonts w:ascii="Arial" w:hAnsi="Arial" w:cs="Arial"/>
          <w:sz w:val="24"/>
          <w:szCs w:val="24"/>
        </w:rPr>
        <w:t xml:space="preserve"> Estos recursos corresponden a la transferencia por impuesto a la madera, según la Ley Nº 7575 “Ley Forestal”, inciso g) del artículo Nº47 y recursos que transfiere el FONAFIFO para gastos operativos en el Fideicomiso.</w:t>
      </w:r>
    </w:p>
    <w:p w:rsidR="0040716A" w:rsidRPr="00650E1D" w:rsidRDefault="0040716A" w:rsidP="0040716A">
      <w:pPr>
        <w:jc w:val="both"/>
        <w:rPr>
          <w:rFonts w:ascii="Arial" w:hAnsi="Arial" w:cs="Arial"/>
          <w:sz w:val="24"/>
          <w:szCs w:val="24"/>
        </w:rPr>
      </w:pPr>
    </w:p>
    <w:p w:rsidR="004B5634" w:rsidRDefault="004B5634" w:rsidP="0040716A">
      <w:pPr>
        <w:jc w:val="both"/>
        <w:rPr>
          <w:rFonts w:ascii="Arial" w:hAnsi="Arial" w:cs="Arial"/>
        </w:rPr>
      </w:pPr>
    </w:p>
    <w:p w:rsidR="00316B34" w:rsidRPr="00316B34" w:rsidRDefault="00316B34" w:rsidP="00316B34">
      <w:pPr>
        <w:jc w:val="both"/>
        <w:rPr>
          <w:rFonts w:ascii="Arial" w:hAnsi="Arial" w:cs="Arial"/>
          <w:b/>
          <w:sz w:val="22"/>
          <w:szCs w:val="22"/>
        </w:rPr>
      </w:pPr>
      <w:r w:rsidRPr="00316B34">
        <w:rPr>
          <w:rFonts w:ascii="Arial" w:hAnsi="Arial" w:cs="Arial"/>
          <w:b/>
          <w:sz w:val="22"/>
          <w:szCs w:val="22"/>
        </w:rPr>
        <w:t>1.4.3.0.00.00.0.0.000 Transferencias corrientes del sector externo</w:t>
      </w:r>
    </w:p>
    <w:p w:rsidR="00316B34" w:rsidRDefault="00316B34" w:rsidP="00316B34">
      <w:pPr>
        <w:jc w:val="both"/>
        <w:rPr>
          <w:rFonts w:ascii="Arial" w:hAnsi="Arial" w:cs="Arial"/>
          <w:b/>
          <w:sz w:val="22"/>
          <w:szCs w:val="22"/>
        </w:rPr>
      </w:pPr>
      <w:r w:rsidRPr="00316B34">
        <w:rPr>
          <w:rFonts w:ascii="Arial" w:hAnsi="Arial" w:cs="Arial"/>
          <w:b/>
          <w:sz w:val="22"/>
          <w:szCs w:val="22"/>
        </w:rPr>
        <w:t>1.4.3.1.00.00.0.0.000 Transferencias corrientes de órganos internacionales</w:t>
      </w:r>
    </w:p>
    <w:p w:rsidR="00B22D4F" w:rsidRDefault="00B22D4F" w:rsidP="00316B34">
      <w:pPr>
        <w:jc w:val="both"/>
        <w:rPr>
          <w:rFonts w:ascii="Arial" w:hAnsi="Arial" w:cs="Arial"/>
          <w:b/>
          <w:sz w:val="22"/>
          <w:szCs w:val="22"/>
        </w:rPr>
      </w:pPr>
    </w:p>
    <w:p w:rsidR="00147006" w:rsidRPr="00147006" w:rsidRDefault="00147006" w:rsidP="00147006">
      <w:pPr>
        <w:jc w:val="both"/>
        <w:rPr>
          <w:rFonts w:ascii="Arial" w:hAnsi="Arial" w:cs="Arial"/>
          <w:sz w:val="24"/>
          <w:szCs w:val="24"/>
        </w:rPr>
      </w:pPr>
      <w:r w:rsidRPr="00147006">
        <w:rPr>
          <w:rFonts w:ascii="Arial" w:hAnsi="Arial" w:cs="Arial"/>
          <w:sz w:val="24"/>
          <w:szCs w:val="24"/>
        </w:rPr>
        <w:t>En esta sub</w:t>
      </w:r>
      <w:r w:rsidR="001F6A8D">
        <w:rPr>
          <w:rFonts w:ascii="Arial" w:hAnsi="Arial" w:cs="Arial"/>
          <w:sz w:val="24"/>
          <w:szCs w:val="24"/>
        </w:rPr>
        <w:t xml:space="preserve"> </w:t>
      </w:r>
      <w:r w:rsidRPr="00147006">
        <w:rPr>
          <w:rFonts w:ascii="Arial" w:hAnsi="Arial" w:cs="Arial"/>
          <w:sz w:val="24"/>
          <w:szCs w:val="24"/>
        </w:rPr>
        <w:t xml:space="preserve">partida se presupuestó la suma de </w:t>
      </w:r>
      <w:r w:rsidRPr="00147006">
        <w:rPr>
          <w:rFonts w:ascii="Arial" w:hAnsi="Arial" w:cs="Arial"/>
          <w:b/>
          <w:sz w:val="24"/>
          <w:szCs w:val="24"/>
        </w:rPr>
        <w:t>¢</w:t>
      </w:r>
      <w:r w:rsidR="004B5634">
        <w:rPr>
          <w:rFonts w:ascii="Arial" w:hAnsi="Arial" w:cs="Arial"/>
          <w:b/>
          <w:sz w:val="24"/>
          <w:szCs w:val="24"/>
        </w:rPr>
        <w:t>1.591.894.191</w:t>
      </w:r>
      <w:r w:rsidRPr="00147006">
        <w:rPr>
          <w:rFonts w:ascii="Arial" w:hAnsi="Arial" w:cs="Arial"/>
          <w:sz w:val="24"/>
          <w:szCs w:val="24"/>
        </w:rPr>
        <w:t xml:space="preserve">, de los cuales </w:t>
      </w:r>
      <w:r w:rsidR="004B5634">
        <w:rPr>
          <w:rFonts w:ascii="Arial" w:hAnsi="Arial" w:cs="Arial"/>
          <w:sz w:val="24"/>
          <w:szCs w:val="24"/>
        </w:rPr>
        <w:t xml:space="preserve">en el primer semestre del 2019 </w:t>
      </w:r>
      <w:r w:rsidRPr="00147006">
        <w:rPr>
          <w:rFonts w:ascii="Arial" w:hAnsi="Arial" w:cs="Arial"/>
          <w:sz w:val="24"/>
          <w:szCs w:val="24"/>
        </w:rPr>
        <w:t xml:space="preserve">ingresó la suma total de </w:t>
      </w:r>
      <w:r w:rsidRPr="00147006">
        <w:rPr>
          <w:rFonts w:ascii="Arial" w:hAnsi="Arial" w:cs="Arial"/>
          <w:b/>
          <w:sz w:val="24"/>
          <w:szCs w:val="24"/>
        </w:rPr>
        <w:t>¢</w:t>
      </w:r>
      <w:r w:rsidR="004B5634">
        <w:rPr>
          <w:rFonts w:ascii="Arial" w:hAnsi="Arial" w:cs="Arial"/>
          <w:b/>
          <w:sz w:val="24"/>
          <w:szCs w:val="24"/>
        </w:rPr>
        <w:t>178.683.764</w:t>
      </w:r>
      <w:r w:rsidRPr="00147006">
        <w:rPr>
          <w:rFonts w:ascii="Arial" w:hAnsi="Arial" w:cs="Arial"/>
          <w:sz w:val="24"/>
          <w:szCs w:val="24"/>
        </w:rPr>
        <w:t xml:space="preserve"> lo que equivale a un</w:t>
      </w:r>
      <w:r w:rsidR="004B5634">
        <w:rPr>
          <w:rFonts w:ascii="Arial" w:hAnsi="Arial" w:cs="Arial"/>
          <w:b/>
          <w:sz w:val="24"/>
          <w:szCs w:val="24"/>
        </w:rPr>
        <w:t xml:space="preserve"> 11</w:t>
      </w:r>
      <w:r w:rsidRPr="00147006">
        <w:rPr>
          <w:rFonts w:ascii="Arial" w:hAnsi="Arial" w:cs="Arial"/>
          <w:b/>
          <w:sz w:val="24"/>
          <w:szCs w:val="24"/>
        </w:rPr>
        <w:t xml:space="preserve">% </w:t>
      </w:r>
      <w:r w:rsidRPr="00147006">
        <w:rPr>
          <w:rFonts w:ascii="Arial" w:hAnsi="Arial" w:cs="Arial"/>
          <w:sz w:val="24"/>
          <w:szCs w:val="24"/>
        </w:rPr>
        <w:t>de ejecución, estos ingresos provienen de la transferencia del tercer acuerdo de Donación entre el Fondo Nacional de Financiamiento Forestal y el Banco Internacional de Reconstrucción y Fomento.</w:t>
      </w:r>
    </w:p>
    <w:p w:rsidR="00316B34" w:rsidRPr="00316B34" w:rsidRDefault="00316B34" w:rsidP="00316B34">
      <w:pPr>
        <w:jc w:val="both"/>
        <w:rPr>
          <w:rFonts w:ascii="Arial" w:hAnsi="Arial" w:cs="Arial"/>
          <w:b/>
        </w:rPr>
      </w:pP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 xml:space="preserve">2.0.0.0.00.00.0.0.000 </w:t>
      </w:r>
      <w:r w:rsidR="00316B34" w:rsidRPr="00281A36">
        <w:rPr>
          <w:rFonts w:ascii="Arial" w:hAnsi="Arial" w:cs="Arial"/>
          <w:b/>
          <w:sz w:val="22"/>
          <w:szCs w:val="22"/>
        </w:rPr>
        <w:t>Ingresos de</w:t>
      </w:r>
      <w:r w:rsidRPr="00281A36">
        <w:rPr>
          <w:rFonts w:ascii="Arial" w:hAnsi="Arial" w:cs="Arial"/>
          <w:b/>
          <w:sz w:val="22"/>
          <w:szCs w:val="22"/>
        </w:rPr>
        <w:t xml:space="preserve"> Capital</w:t>
      </w: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2.3.2.0.00.00.0.0.000 Recuperación de Préstamos al Sector Privado</w:t>
      </w:r>
    </w:p>
    <w:p w:rsidR="007A5100" w:rsidRPr="00B22D4F" w:rsidRDefault="007A5100" w:rsidP="007A5100">
      <w:pPr>
        <w:ind w:right="596"/>
        <w:jc w:val="both"/>
        <w:rPr>
          <w:rFonts w:ascii="Arial" w:hAnsi="Arial" w:cs="Arial"/>
          <w:b/>
          <w:sz w:val="22"/>
          <w:szCs w:val="22"/>
        </w:rPr>
      </w:pPr>
    </w:p>
    <w:p w:rsidR="004456FA" w:rsidRPr="004456FA" w:rsidRDefault="004456FA" w:rsidP="004456FA">
      <w:pPr>
        <w:jc w:val="both"/>
        <w:rPr>
          <w:rFonts w:ascii="Arial" w:hAnsi="Arial" w:cs="Arial"/>
          <w:sz w:val="24"/>
          <w:szCs w:val="24"/>
        </w:rPr>
      </w:pPr>
      <w:r w:rsidRPr="004456FA">
        <w:rPr>
          <w:rFonts w:ascii="Arial" w:hAnsi="Arial" w:cs="Arial"/>
          <w:sz w:val="24"/>
          <w:szCs w:val="24"/>
        </w:rPr>
        <w:t>En esta sub</w:t>
      </w:r>
      <w:r w:rsidR="001F6A8D">
        <w:rPr>
          <w:rFonts w:ascii="Arial" w:hAnsi="Arial" w:cs="Arial"/>
          <w:sz w:val="24"/>
          <w:szCs w:val="24"/>
        </w:rPr>
        <w:t xml:space="preserve"> </w:t>
      </w:r>
      <w:r w:rsidRPr="004456FA">
        <w:rPr>
          <w:rFonts w:ascii="Arial" w:hAnsi="Arial" w:cs="Arial"/>
          <w:sz w:val="24"/>
          <w:szCs w:val="24"/>
        </w:rPr>
        <w:t xml:space="preserve">partida se presupuestó la suma de </w:t>
      </w:r>
      <w:r w:rsidRPr="004456FA">
        <w:rPr>
          <w:rFonts w:ascii="Arial" w:hAnsi="Arial" w:cs="Arial"/>
          <w:b/>
          <w:sz w:val="24"/>
          <w:szCs w:val="24"/>
        </w:rPr>
        <w:t>¢</w:t>
      </w:r>
      <w:r w:rsidR="00886DDA">
        <w:rPr>
          <w:rFonts w:ascii="Arial" w:hAnsi="Arial" w:cs="Arial"/>
          <w:b/>
          <w:sz w:val="24"/>
          <w:szCs w:val="24"/>
        </w:rPr>
        <w:t>315.436.132</w:t>
      </w:r>
      <w:r w:rsidRPr="004456FA">
        <w:rPr>
          <w:rFonts w:ascii="Arial" w:hAnsi="Arial" w:cs="Arial"/>
          <w:sz w:val="24"/>
          <w:szCs w:val="24"/>
        </w:rPr>
        <w:t xml:space="preserve"> de los cuales </w:t>
      </w:r>
      <w:r w:rsidR="00886DDA">
        <w:rPr>
          <w:rFonts w:ascii="Arial" w:hAnsi="Arial" w:cs="Arial"/>
          <w:sz w:val="24"/>
          <w:szCs w:val="24"/>
        </w:rPr>
        <w:t xml:space="preserve">en el primer semestre del 2019 </w:t>
      </w:r>
      <w:r w:rsidRPr="004456FA">
        <w:rPr>
          <w:rFonts w:ascii="Arial" w:hAnsi="Arial" w:cs="Arial"/>
          <w:sz w:val="24"/>
          <w:szCs w:val="24"/>
        </w:rPr>
        <w:t xml:space="preserve">se recibió la suma total de </w:t>
      </w:r>
      <w:r w:rsidRPr="004456FA">
        <w:rPr>
          <w:rFonts w:ascii="Arial" w:hAnsi="Arial" w:cs="Arial"/>
          <w:b/>
          <w:sz w:val="24"/>
          <w:szCs w:val="24"/>
        </w:rPr>
        <w:t>¢</w:t>
      </w:r>
      <w:r w:rsidR="00886DDA">
        <w:rPr>
          <w:rFonts w:ascii="Arial" w:hAnsi="Arial" w:cs="Arial"/>
          <w:b/>
          <w:sz w:val="24"/>
          <w:szCs w:val="24"/>
        </w:rPr>
        <w:t>148.308.937</w:t>
      </w:r>
      <w:r w:rsidRPr="004456FA">
        <w:rPr>
          <w:rFonts w:ascii="Arial" w:hAnsi="Arial" w:cs="Arial"/>
          <w:sz w:val="24"/>
          <w:szCs w:val="24"/>
        </w:rPr>
        <w:t xml:space="preserve"> equivalentes a un </w:t>
      </w:r>
      <w:r w:rsidR="00886DDA">
        <w:rPr>
          <w:rFonts w:ascii="Arial" w:hAnsi="Arial" w:cs="Arial"/>
          <w:b/>
          <w:sz w:val="24"/>
          <w:szCs w:val="24"/>
        </w:rPr>
        <w:t>47</w:t>
      </w:r>
      <w:r w:rsidRPr="004456FA">
        <w:rPr>
          <w:rFonts w:ascii="Arial" w:hAnsi="Arial" w:cs="Arial"/>
          <w:b/>
          <w:sz w:val="24"/>
          <w:szCs w:val="24"/>
        </w:rPr>
        <w:t>%</w:t>
      </w:r>
      <w:r w:rsidRPr="004456FA">
        <w:rPr>
          <w:rFonts w:ascii="Arial" w:hAnsi="Arial" w:cs="Arial"/>
          <w:sz w:val="24"/>
          <w:szCs w:val="24"/>
        </w:rPr>
        <w:t xml:space="preserve"> de ejecución, de éste monto la suma de ¢358.073.361 fue captada durante del segundo semestre. Estos ingresos corresponden a la recuperación del capital de la cartera de crédito vigente.</w:t>
      </w:r>
    </w:p>
    <w:p w:rsidR="003C4767" w:rsidRPr="00767C7C" w:rsidRDefault="003C4767" w:rsidP="007A5100">
      <w:pPr>
        <w:ind w:right="596"/>
        <w:jc w:val="both"/>
        <w:rPr>
          <w:rFonts w:ascii="Arial" w:hAnsi="Arial" w:cs="Arial"/>
          <w:b/>
          <w:sz w:val="24"/>
          <w:szCs w:val="24"/>
        </w:rPr>
      </w:pP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lastRenderedPageBreak/>
        <w:t xml:space="preserve">3.0.0.0.00.00.0.0.000 Financiamiento </w:t>
      </w:r>
    </w:p>
    <w:p w:rsidR="007A5100" w:rsidRPr="00281A36" w:rsidRDefault="007A5100" w:rsidP="007A5100">
      <w:pPr>
        <w:ind w:right="596"/>
        <w:jc w:val="both"/>
        <w:rPr>
          <w:rFonts w:ascii="Arial" w:hAnsi="Arial" w:cs="Arial"/>
          <w:b/>
          <w:sz w:val="22"/>
          <w:szCs w:val="22"/>
        </w:rPr>
      </w:pPr>
      <w:r w:rsidRPr="00281A36">
        <w:rPr>
          <w:rFonts w:ascii="Arial" w:hAnsi="Arial" w:cs="Arial"/>
          <w:b/>
          <w:sz w:val="22"/>
          <w:szCs w:val="22"/>
        </w:rPr>
        <w:t>3.3.0.0.00.00.0.0.000 Recursos de vigencias anteriores</w:t>
      </w:r>
    </w:p>
    <w:p w:rsidR="007A5100" w:rsidRPr="00281A36" w:rsidRDefault="007A5100" w:rsidP="007A5100">
      <w:pPr>
        <w:ind w:right="596"/>
        <w:jc w:val="both"/>
        <w:rPr>
          <w:rFonts w:ascii="Arial" w:hAnsi="Arial" w:cs="Arial"/>
          <w:sz w:val="22"/>
          <w:szCs w:val="22"/>
        </w:rPr>
      </w:pPr>
    </w:p>
    <w:p w:rsidR="00B22D4F" w:rsidRDefault="00B2616D" w:rsidP="00B22D4F">
      <w:pPr>
        <w:jc w:val="both"/>
        <w:rPr>
          <w:rFonts w:ascii="Arial" w:hAnsi="Arial" w:cs="Arial"/>
          <w:sz w:val="22"/>
          <w:szCs w:val="22"/>
        </w:rPr>
      </w:pPr>
      <w:r>
        <w:rPr>
          <w:rFonts w:ascii="Arial" w:hAnsi="Arial" w:cs="Arial"/>
          <w:sz w:val="24"/>
          <w:szCs w:val="24"/>
        </w:rPr>
        <w:t>En el primer semestre del 2019</w:t>
      </w:r>
      <w:r w:rsidR="00B22D4F" w:rsidRPr="00B22D4F">
        <w:rPr>
          <w:rFonts w:ascii="Arial" w:hAnsi="Arial" w:cs="Arial"/>
          <w:sz w:val="22"/>
          <w:szCs w:val="22"/>
        </w:rPr>
        <w:t xml:space="preserve"> el Fideicomiso 544 FONAFIFO/Banco Nacional presentó recursos de superávit </w:t>
      </w:r>
      <w:r w:rsidR="000C07FB" w:rsidRPr="00B22D4F">
        <w:rPr>
          <w:rFonts w:ascii="Arial" w:hAnsi="Arial" w:cs="Arial"/>
          <w:sz w:val="22"/>
          <w:szCs w:val="22"/>
        </w:rPr>
        <w:t>especí</w:t>
      </w:r>
      <w:r w:rsidR="008D6FA5">
        <w:rPr>
          <w:rFonts w:ascii="Arial" w:hAnsi="Arial" w:cs="Arial"/>
          <w:sz w:val="22"/>
          <w:szCs w:val="22"/>
        </w:rPr>
        <w:t>fico acumulado por la suma de ¢1.242.017.791.</w:t>
      </w:r>
    </w:p>
    <w:p w:rsidR="000C07FB" w:rsidRPr="00B22D4F" w:rsidRDefault="000C07FB" w:rsidP="00B22D4F">
      <w:pPr>
        <w:jc w:val="both"/>
        <w:rPr>
          <w:rFonts w:ascii="Arial" w:hAnsi="Arial" w:cs="Arial"/>
          <w:sz w:val="22"/>
          <w:szCs w:val="22"/>
        </w:rPr>
      </w:pPr>
    </w:p>
    <w:p w:rsidR="00B22D4F" w:rsidRDefault="00B22D4F" w:rsidP="00B22D4F">
      <w:pPr>
        <w:jc w:val="both"/>
        <w:rPr>
          <w:rFonts w:ascii="Arial" w:hAnsi="Arial" w:cs="Arial"/>
          <w:sz w:val="22"/>
          <w:szCs w:val="22"/>
        </w:rPr>
      </w:pPr>
      <w:r w:rsidRPr="00B22D4F">
        <w:rPr>
          <w:rFonts w:ascii="Arial" w:hAnsi="Arial" w:cs="Arial"/>
          <w:sz w:val="22"/>
          <w:szCs w:val="22"/>
        </w:rPr>
        <w:t>De los recursos antes citados, la suma de ¢</w:t>
      </w:r>
      <w:r w:rsidR="008D6FA5">
        <w:rPr>
          <w:rFonts w:ascii="Arial" w:hAnsi="Arial" w:cs="Arial"/>
          <w:sz w:val="22"/>
          <w:szCs w:val="22"/>
        </w:rPr>
        <w:t>558.334.956</w:t>
      </w:r>
      <w:r w:rsidRPr="00B22D4F">
        <w:rPr>
          <w:rFonts w:ascii="Arial" w:hAnsi="Arial" w:cs="Arial"/>
          <w:sz w:val="22"/>
          <w:szCs w:val="22"/>
        </w:rPr>
        <w:t xml:space="preserve"> fue presupuestada para el financiamiento del presente presupuesto.</w:t>
      </w:r>
    </w:p>
    <w:p w:rsidR="009C193C" w:rsidRPr="00B22D4F" w:rsidRDefault="009C193C" w:rsidP="00B22D4F">
      <w:pPr>
        <w:jc w:val="both"/>
        <w:rPr>
          <w:rFonts w:ascii="Arial" w:hAnsi="Arial" w:cs="Arial"/>
          <w:sz w:val="22"/>
          <w:szCs w:val="22"/>
        </w:rPr>
      </w:pPr>
    </w:p>
    <w:p w:rsidR="001B75F5" w:rsidRPr="006661BD" w:rsidRDefault="001B75F5" w:rsidP="007A5100">
      <w:pPr>
        <w:ind w:right="596"/>
        <w:jc w:val="both"/>
        <w:rPr>
          <w:rFonts w:ascii="Arial" w:hAnsi="Arial" w:cs="Arial"/>
          <w:sz w:val="22"/>
          <w:szCs w:val="22"/>
        </w:rPr>
      </w:pPr>
    </w:p>
    <w:p w:rsidR="00982A07" w:rsidRDefault="00982A07" w:rsidP="00D929CB">
      <w:pPr>
        <w:pStyle w:val="Subttulo"/>
        <w:numPr>
          <w:ilvl w:val="0"/>
          <w:numId w:val="44"/>
        </w:numPr>
        <w:outlineLvl w:val="1"/>
      </w:pPr>
      <w:bookmarkStart w:id="3" w:name="_Toc32593416"/>
      <w:r w:rsidRPr="000D2F9E">
        <w:t>B Limitaciones</w:t>
      </w:r>
      <w:bookmarkEnd w:id="3"/>
      <w:r w:rsidRPr="000D2F9E">
        <w:t xml:space="preserve"> </w:t>
      </w:r>
    </w:p>
    <w:p w:rsidR="00D929CB" w:rsidRPr="000D2F9E" w:rsidRDefault="00D929CB" w:rsidP="00D929CB">
      <w:pPr>
        <w:pStyle w:val="Subttulo"/>
        <w:ind w:left="371" w:firstLine="0"/>
        <w:outlineLvl w:val="1"/>
      </w:pPr>
    </w:p>
    <w:p w:rsidR="00651433" w:rsidRPr="009C193C" w:rsidRDefault="009C193C" w:rsidP="009C193C">
      <w:pPr>
        <w:jc w:val="both"/>
        <w:rPr>
          <w:rFonts w:ascii="Arial" w:hAnsi="Arial" w:cs="Arial"/>
          <w:sz w:val="24"/>
          <w:szCs w:val="24"/>
        </w:rPr>
      </w:pPr>
      <w:r w:rsidRPr="009C193C">
        <w:rPr>
          <w:rFonts w:ascii="Arial" w:hAnsi="Arial" w:cs="Arial"/>
          <w:sz w:val="24"/>
          <w:szCs w:val="24"/>
        </w:rPr>
        <w:t xml:space="preserve">Para el </w:t>
      </w:r>
      <w:r w:rsidR="001F6A8D">
        <w:rPr>
          <w:rFonts w:ascii="Arial" w:hAnsi="Arial" w:cs="Arial"/>
          <w:sz w:val="24"/>
          <w:szCs w:val="24"/>
        </w:rPr>
        <w:t>segundo</w:t>
      </w:r>
      <w:r w:rsidRPr="009C193C">
        <w:rPr>
          <w:rFonts w:ascii="Arial" w:hAnsi="Arial" w:cs="Arial"/>
          <w:sz w:val="24"/>
          <w:szCs w:val="24"/>
        </w:rPr>
        <w:t xml:space="preserve"> semestre del periodo</w:t>
      </w:r>
      <w:r>
        <w:rPr>
          <w:rFonts w:ascii="Arial" w:hAnsi="Arial" w:cs="Arial"/>
          <w:sz w:val="24"/>
          <w:szCs w:val="24"/>
        </w:rPr>
        <w:t>,</w:t>
      </w:r>
      <w:r w:rsidRPr="009C193C">
        <w:rPr>
          <w:rFonts w:ascii="Arial" w:hAnsi="Arial" w:cs="Arial"/>
          <w:sz w:val="24"/>
          <w:szCs w:val="24"/>
        </w:rPr>
        <w:t xml:space="preserve"> no se identifica</w:t>
      </w:r>
      <w:r>
        <w:rPr>
          <w:rFonts w:ascii="Arial" w:hAnsi="Arial" w:cs="Arial"/>
          <w:sz w:val="24"/>
          <w:szCs w:val="24"/>
        </w:rPr>
        <w:t xml:space="preserve">ron limitaciones significativas en </w:t>
      </w:r>
      <w:r w:rsidR="00F37A9C">
        <w:rPr>
          <w:rFonts w:ascii="Arial" w:hAnsi="Arial" w:cs="Arial"/>
          <w:sz w:val="24"/>
          <w:szCs w:val="24"/>
        </w:rPr>
        <w:t>la ejecución</w:t>
      </w:r>
      <w:r>
        <w:rPr>
          <w:rFonts w:ascii="Arial" w:hAnsi="Arial" w:cs="Arial"/>
          <w:sz w:val="24"/>
          <w:szCs w:val="24"/>
        </w:rPr>
        <w:t xml:space="preserve"> de los ingresos en el Fideicomiso.</w:t>
      </w:r>
      <w:r w:rsidR="00D929CB" w:rsidRPr="009C193C">
        <w:rPr>
          <w:rFonts w:ascii="Arial" w:hAnsi="Arial" w:cs="Arial"/>
          <w:sz w:val="24"/>
          <w:szCs w:val="24"/>
        </w:rPr>
        <w:t xml:space="preserve"> </w:t>
      </w:r>
    </w:p>
    <w:p w:rsidR="009B7AF5" w:rsidRPr="009C193C" w:rsidRDefault="009B7AF5" w:rsidP="009B7AF5">
      <w:pPr>
        <w:ind w:right="-113"/>
        <w:contextualSpacing/>
        <w:jc w:val="both"/>
        <w:rPr>
          <w:rFonts w:ascii="Arial" w:hAnsi="Arial" w:cs="Arial"/>
          <w:sz w:val="24"/>
          <w:szCs w:val="24"/>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826350" w:rsidRDefault="00826350" w:rsidP="009B7AF5">
      <w:pPr>
        <w:jc w:val="both"/>
        <w:rPr>
          <w:rFonts w:ascii="Arial" w:hAnsi="Arial" w:cs="Arial"/>
          <w:color w:val="FF0000"/>
          <w:sz w:val="22"/>
          <w:szCs w:val="22"/>
          <w:lang w:val="es-MX"/>
        </w:rPr>
      </w:pPr>
    </w:p>
    <w:p w:rsidR="00826350" w:rsidRDefault="00826350" w:rsidP="009B7AF5">
      <w:pPr>
        <w:jc w:val="both"/>
        <w:rPr>
          <w:rFonts w:ascii="Arial" w:hAnsi="Arial" w:cs="Arial"/>
          <w:color w:val="FF0000"/>
          <w:sz w:val="22"/>
          <w:szCs w:val="22"/>
          <w:lang w:val="es-MX"/>
        </w:rPr>
      </w:pPr>
    </w:p>
    <w:p w:rsidR="00826350" w:rsidRDefault="00826350" w:rsidP="009B7AF5">
      <w:pPr>
        <w:jc w:val="both"/>
        <w:rPr>
          <w:rFonts w:ascii="Arial" w:hAnsi="Arial" w:cs="Arial"/>
          <w:color w:val="FF0000"/>
          <w:sz w:val="22"/>
          <w:szCs w:val="22"/>
          <w:lang w:val="es-MX"/>
        </w:rPr>
      </w:pPr>
    </w:p>
    <w:p w:rsidR="00826350" w:rsidRDefault="00826350" w:rsidP="009B7AF5">
      <w:pPr>
        <w:jc w:val="both"/>
        <w:rPr>
          <w:rFonts w:ascii="Arial" w:hAnsi="Arial" w:cs="Arial"/>
          <w:color w:val="FF0000"/>
          <w:sz w:val="22"/>
          <w:szCs w:val="22"/>
          <w:lang w:val="es-MX"/>
        </w:rPr>
      </w:pPr>
    </w:p>
    <w:p w:rsidR="00826350" w:rsidRDefault="00826350" w:rsidP="009B7AF5">
      <w:pPr>
        <w:jc w:val="both"/>
        <w:rPr>
          <w:rFonts w:ascii="Arial" w:hAnsi="Arial" w:cs="Arial"/>
          <w:color w:val="FF0000"/>
          <w:sz w:val="22"/>
          <w:szCs w:val="22"/>
          <w:lang w:val="es-MX"/>
        </w:rPr>
      </w:pPr>
    </w:p>
    <w:p w:rsidR="00826350" w:rsidRDefault="00826350" w:rsidP="009B7AF5">
      <w:pPr>
        <w:jc w:val="both"/>
        <w:rPr>
          <w:rFonts w:ascii="Arial" w:hAnsi="Arial" w:cs="Arial"/>
          <w:color w:val="FF0000"/>
          <w:sz w:val="22"/>
          <w:szCs w:val="22"/>
          <w:lang w:val="es-MX"/>
        </w:rPr>
      </w:pPr>
    </w:p>
    <w:p w:rsidR="00875B4D" w:rsidRDefault="00875B4D"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9C193C" w:rsidRDefault="009C193C"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4B5E93" w:rsidRDefault="004B5E93" w:rsidP="009B7AF5">
      <w:pPr>
        <w:jc w:val="both"/>
        <w:rPr>
          <w:rFonts w:ascii="Arial" w:hAnsi="Arial" w:cs="Arial"/>
          <w:color w:val="FF0000"/>
          <w:sz w:val="22"/>
          <w:szCs w:val="22"/>
          <w:lang w:val="es-MX"/>
        </w:rPr>
      </w:pPr>
    </w:p>
    <w:p w:rsidR="00982A07" w:rsidRPr="00AF45C3" w:rsidRDefault="00982A07" w:rsidP="009B4919">
      <w:pPr>
        <w:pStyle w:val="Ttulo1"/>
        <w:numPr>
          <w:ilvl w:val="0"/>
          <w:numId w:val="42"/>
        </w:numPr>
        <w:rPr>
          <w:rFonts w:ascii="Arial" w:hAnsi="Arial" w:cs="Arial"/>
          <w:b/>
          <w:sz w:val="20"/>
        </w:rPr>
      </w:pPr>
      <w:bookmarkStart w:id="4" w:name="_Toc32593417"/>
      <w:r w:rsidRPr="00AF45C3">
        <w:rPr>
          <w:rFonts w:ascii="Arial" w:hAnsi="Arial" w:cs="Arial"/>
          <w:b/>
          <w:sz w:val="20"/>
        </w:rPr>
        <w:t>Análisis del comportamiento de la ejecución de los Egresos</w:t>
      </w:r>
      <w:bookmarkEnd w:id="4"/>
    </w:p>
    <w:p w:rsidR="00175AC1" w:rsidRPr="00AF45C3" w:rsidRDefault="00175AC1" w:rsidP="0092503A">
      <w:pPr>
        <w:contextualSpacing/>
        <w:jc w:val="both"/>
        <w:rPr>
          <w:rFonts w:ascii="Arial" w:hAnsi="Arial" w:cs="Arial"/>
          <w:b/>
        </w:rPr>
      </w:pPr>
    </w:p>
    <w:p w:rsidR="00982A07" w:rsidRPr="00AF45C3" w:rsidRDefault="00982A07" w:rsidP="00982A07">
      <w:pPr>
        <w:jc w:val="center"/>
        <w:rPr>
          <w:rFonts w:ascii="Arial" w:hAnsi="Arial" w:cs="Arial"/>
          <w:b/>
        </w:rPr>
      </w:pPr>
      <w:r w:rsidRPr="00AF45C3">
        <w:rPr>
          <w:rFonts w:ascii="Arial" w:hAnsi="Arial" w:cs="Arial"/>
          <w:b/>
        </w:rPr>
        <w:t>FIDEICOMISO 544 FONAFIFO/BNCR</w:t>
      </w:r>
    </w:p>
    <w:p w:rsidR="00982A07" w:rsidRPr="00AF45C3" w:rsidRDefault="00982A07" w:rsidP="00982A07">
      <w:pPr>
        <w:jc w:val="center"/>
        <w:rPr>
          <w:rFonts w:ascii="Arial" w:hAnsi="Arial" w:cs="Arial"/>
          <w:b/>
        </w:rPr>
      </w:pPr>
      <w:r w:rsidRPr="00AF45C3">
        <w:rPr>
          <w:rFonts w:ascii="Arial" w:hAnsi="Arial" w:cs="Arial"/>
          <w:b/>
        </w:rPr>
        <w:t xml:space="preserve">Ejecución Presupuestaria de Egresos </w:t>
      </w:r>
    </w:p>
    <w:p w:rsidR="00973E73" w:rsidRPr="00AF45C3" w:rsidRDefault="00982A07" w:rsidP="00377EA2">
      <w:pPr>
        <w:jc w:val="center"/>
        <w:rPr>
          <w:rFonts w:ascii="Arial" w:hAnsi="Arial" w:cs="Arial"/>
          <w:b/>
        </w:rPr>
      </w:pPr>
      <w:r w:rsidRPr="00AF45C3">
        <w:rPr>
          <w:rFonts w:ascii="Arial" w:hAnsi="Arial" w:cs="Arial"/>
          <w:b/>
        </w:rPr>
        <w:t xml:space="preserve">Al </w:t>
      </w:r>
      <w:r w:rsidR="008028AD" w:rsidRPr="00AF45C3">
        <w:rPr>
          <w:rFonts w:ascii="Arial" w:hAnsi="Arial" w:cs="Arial"/>
          <w:b/>
        </w:rPr>
        <w:t>3</w:t>
      </w:r>
      <w:r w:rsidR="002722A8" w:rsidRPr="00AF45C3">
        <w:rPr>
          <w:rFonts w:ascii="Arial" w:hAnsi="Arial" w:cs="Arial"/>
          <w:b/>
        </w:rPr>
        <w:t>1</w:t>
      </w:r>
      <w:r w:rsidR="008028AD" w:rsidRPr="00AF45C3">
        <w:rPr>
          <w:rFonts w:ascii="Arial" w:hAnsi="Arial" w:cs="Arial"/>
          <w:b/>
        </w:rPr>
        <w:t xml:space="preserve"> de </w:t>
      </w:r>
      <w:r w:rsidR="002722A8" w:rsidRPr="00AF45C3">
        <w:rPr>
          <w:rFonts w:ascii="Arial" w:hAnsi="Arial" w:cs="Arial"/>
          <w:b/>
        </w:rPr>
        <w:t>diciembre</w:t>
      </w:r>
      <w:r w:rsidR="008028AD" w:rsidRPr="00AF45C3">
        <w:rPr>
          <w:rFonts w:ascii="Arial" w:hAnsi="Arial" w:cs="Arial"/>
          <w:b/>
        </w:rPr>
        <w:t xml:space="preserve"> del 2019</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5926"/>
        <w:gridCol w:w="1253"/>
        <w:gridCol w:w="1344"/>
        <w:gridCol w:w="1116"/>
      </w:tblGrid>
      <w:tr w:rsidR="00AF45C3" w:rsidRPr="00AF45C3" w:rsidTr="0079728D">
        <w:trPr>
          <w:trHeight w:val="362"/>
        </w:trPr>
        <w:tc>
          <w:tcPr>
            <w:tcW w:w="1135" w:type="dxa"/>
            <w:shd w:val="clear" w:color="auto" w:fill="00B050"/>
            <w:noWrap/>
            <w:vAlign w:val="center"/>
            <w:hideMark/>
          </w:tcPr>
          <w:p w:rsidR="00AF45C3" w:rsidRPr="00AF45C3" w:rsidRDefault="00AF45C3" w:rsidP="00AF45C3">
            <w:pPr>
              <w:jc w:val="center"/>
              <w:rPr>
                <w:rFonts w:ascii="Century Gothic" w:eastAsia="Times New Roman" w:hAnsi="Century Gothic" w:cs="Calibri"/>
                <w:b/>
                <w:bCs/>
                <w:color w:val="FFFFFF"/>
                <w:sz w:val="16"/>
                <w:szCs w:val="16"/>
                <w:lang w:val="es-MX" w:eastAsia="es-MX"/>
              </w:rPr>
            </w:pPr>
            <w:r w:rsidRPr="00AF45C3">
              <w:rPr>
                <w:rFonts w:ascii="Century Gothic" w:eastAsia="Times New Roman" w:hAnsi="Century Gothic" w:cs="Calibri"/>
                <w:b/>
                <w:bCs/>
                <w:color w:val="FFFFFF"/>
                <w:sz w:val="16"/>
                <w:szCs w:val="16"/>
                <w:lang w:val="es-MX" w:eastAsia="es-MX"/>
              </w:rPr>
              <w:t>SUBPARTIDA</w:t>
            </w:r>
          </w:p>
        </w:tc>
        <w:tc>
          <w:tcPr>
            <w:tcW w:w="5926" w:type="dxa"/>
            <w:shd w:val="clear" w:color="auto" w:fill="00B050"/>
            <w:noWrap/>
            <w:vAlign w:val="center"/>
            <w:hideMark/>
          </w:tcPr>
          <w:p w:rsidR="00AF45C3" w:rsidRPr="00AF45C3" w:rsidRDefault="00AF45C3" w:rsidP="00AF45C3">
            <w:pPr>
              <w:jc w:val="center"/>
              <w:rPr>
                <w:rFonts w:ascii="Century Gothic" w:eastAsia="Times New Roman" w:hAnsi="Century Gothic" w:cs="Calibri"/>
                <w:b/>
                <w:bCs/>
                <w:color w:val="FFFFFF"/>
                <w:sz w:val="16"/>
                <w:szCs w:val="16"/>
                <w:lang w:val="es-MX" w:eastAsia="es-MX"/>
              </w:rPr>
            </w:pPr>
            <w:r w:rsidRPr="00AF45C3">
              <w:rPr>
                <w:rFonts w:ascii="Century Gothic" w:eastAsia="Times New Roman" w:hAnsi="Century Gothic" w:cs="Calibri"/>
                <w:b/>
                <w:bCs/>
                <w:color w:val="FFFFFF"/>
                <w:sz w:val="16"/>
                <w:szCs w:val="16"/>
                <w:lang w:val="es-MX" w:eastAsia="es-MX"/>
              </w:rPr>
              <w:t>NOMBRE SUBPARTIDA</w:t>
            </w:r>
          </w:p>
        </w:tc>
        <w:tc>
          <w:tcPr>
            <w:tcW w:w="1253" w:type="dxa"/>
            <w:shd w:val="clear" w:color="auto" w:fill="00B050"/>
            <w:vAlign w:val="center"/>
            <w:hideMark/>
          </w:tcPr>
          <w:p w:rsidR="00AF45C3" w:rsidRPr="00AF45C3" w:rsidRDefault="00AF45C3" w:rsidP="00AF45C3">
            <w:pPr>
              <w:jc w:val="center"/>
              <w:rPr>
                <w:rFonts w:ascii="Century Gothic" w:eastAsia="Times New Roman" w:hAnsi="Century Gothic" w:cs="Calibri"/>
                <w:b/>
                <w:bCs/>
                <w:color w:val="FFFFFF"/>
                <w:sz w:val="16"/>
                <w:szCs w:val="16"/>
                <w:lang w:val="es-MX" w:eastAsia="es-MX"/>
              </w:rPr>
            </w:pPr>
            <w:r w:rsidRPr="00AF45C3">
              <w:rPr>
                <w:rFonts w:ascii="Century Gothic" w:eastAsia="Times New Roman" w:hAnsi="Century Gothic" w:cs="Calibri"/>
                <w:b/>
                <w:bCs/>
                <w:color w:val="FFFFFF"/>
                <w:sz w:val="16"/>
                <w:szCs w:val="16"/>
                <w:lang w:val="es-MX" w:eastAsia="es-MX"/>
              </w:rPr>
              <w:t>PRESUPUESTO APROBADO</w:t>
            </w:r>
          </w:p>
        </w:tc>
        <w:tc>
          <w:tcPr>
            <w:tcW w:w="1344" w:type="dxa"/>
            <w:shd w:val="clear" w:color="auto" w:fill="00B050"/>
            <w:vAlign w:val="center"/>
            <w:hideMark/>
          </w:tcPr>
          <w:p w:rsidR="00AF45C3" w:rsidRPr="00AF45C3" w:rsidRDefault="00AF45C3" w:rsidP="00AF45C3">
            <w:pPr>
              <w:jc w:val="center"/>
              <w:rPr>
                <w:rFonts w:ascii="Century Gothic" w:eastAsia="Times New Roman" w:hAnsi="Century Gothic" w:cs="Calibri"/>
                <w:b/>
                <w:bCs/>
                <w:color w:val="FFFFFF"/>
                <w:sz w:val="16"/>
                <w:szCs w:val="16"/>
                <w:lang w:val="es-MX" w:eastAsia="es-MX"/>
              </w:rPr>
            </w:pPr>
            <w:r w:rsidRPr="00AF45C3">
              <w:rPr>
                <w:rFonts w:ascii="Century Gothic" w:eastAsia="Times New Roman" w:hAnsi="Century Gothic" w:cs="Calibri"/>
                <w:b/>
                <w:bCs/>
                <w:color w:val="FFFFFF"/>
                <w:sz w:val="16"/>
                <w:szCs w:val="16"/>
                <w:lang w:val="es-MX" w:eastAsia="es-MX"/>
              </w:rPr>
              <w:t>TOTAL EGRESOS REALES</w:t>
            </w:r>
          </w:p>
        </w:tc>
        <w:tc>
          <w:tcPr>
            <w:tcW w:w="1116" w:type="dxa"/>
            <w:shd w:val="clear" w:color="auto" w:fill="00B050"/>
            <w:vAlign w:val="center"/>
            <w:hideMark/>
          </w:tcPr>
          <w:p w:rsidR="00AF45C3" w:rsidRPr="00AF45C3" w:rsidRDefault="00AF45C3" w:rsidP="00AF45C3">
            <w:pPr>
              <w:jc w:val="center"/>
              <w:rPr>
                <w:rFonts w:ascii="Century Gothic" w:eastAsia="Times New Roman" w:hAnsi="Century Gothic" w:cs="Calibri"/>
                <w:b/>
                <w:bCs/>
                <w:color w:val="FFFFFF"/>
                <w:sz w:val="16"/>
                <w:szCs w:val="16"/>
                <w:lang w:val="es-MX" w:eastAsia="es-MX"/>
              </w:rPr>
            </w:pPr>
            <w:r w:rsidRPr="00AF45C3">
              <w:rPr>
                <w:rFonts w:ascii="Century Gothic" w:eastAsia="Times New Roman" w:hAnsi="Century Gothic" w:cs="Calibri"/>
                <w:b/>
                <w:bCs/>
                <w:color w:val="FFFFFF"/>
                <w:sz w:val="16"/>
                <w:szCs w:val="16"/>
                <w:lang w:val="es-MX" w:eastAsia="es-MX"/>
              </w:rPr>
              <w:t>% EJECUCIÓN</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0</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Remuneraciones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191.886.515</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162.161.131</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0.01.01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Sueldos para cargos fijos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137.911.752</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118.804.320</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86%</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0.03.03</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Décimotercer mes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11.441.479</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9.764.011</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0.04.01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al Seguro de Salud de la Caja Costarricense del Seguro Social</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12.756.732</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10.825.075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0.04.02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al Instituto Mixto de Ayuda Social</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694.442</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590.041</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0.04.03</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al Instituto Nacional de Aprendizaje</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2.079.578</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1.770.123</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0.04.04</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al Fondo de Desarrollo Social y Asignaciones Familiares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6.895.500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5.851.392</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0.04.05</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al Banco Popular y Desarrollo Comunal</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689.442</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580.252</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84%</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0.05.01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al Seguro de Pensiones de la Caja Costarricense del Seguro Social</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7.005.804</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5.945.015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0.05.02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Aporte Patronal al Régimen obligatorio de pensiones complementarias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2.068.578</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1.740.708</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84%</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0.05.03</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Aporte Patronal al Fondo de Capitalización Laboral</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4.137.252</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3.510.826</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0.05.05</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Contribución patronal a fondos administrados por entes privados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6.205.956</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2.779.369</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Servicios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1.734.127.816</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746.400.884</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b/>
                <w:bCs/>
                <w:color w:val="000000"/>
                <w:sz w:val="16"/>
                <w:szCs w:val="16"/>
                <w:lang w:val="es-MX" w:eastAsia="es-MX"/>
              </w:rPr>
            </w:pPr>
            <w:r w:rsidRPr="00AF45C3">
              <w:rPr>
                <w:rFonts w:ascii="Century Gothic" w:eastAsia="Times New Roman" w:hAnsi="Century Gothic" w:cs="Calibri"/>
                <w:b/>
                <w:bCs/>
                <w:color w:val="000000"/>
                <w:sz w:val="16"/>
                <w:szCs w:val="16"/>
                <w:lang w:val="es-MX" w:eastAsia="es-MX"/>
              </w:rPr>
              <w:t>43%</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1.01.01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Alquiler de edificios, locales y terrenos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32.211.318</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22.925.527</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71%</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1.02.99</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Otros servicios básicos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2.082.700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210.935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1.03.01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Información</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10.037.430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3.625.346</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36%</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1.03.02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Publicidad y propaganda</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12.898.078</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4.913.095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38%</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1.03.03</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Impresión, encuadernación y otros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5.214.000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342.246</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7%</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1.03.07</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Servicios de transferencia electrónica de información</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1.419.000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364.075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26%</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1.04.02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Servicios Jurídicos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46.883.550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33.084.148</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71%</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1.04.03</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Servicios de Ingeniería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941.217.156</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373.660.208</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40%</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1.04.04</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Servicios de ciencias económicas y sociales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162.793.297</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82.313.186</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51%</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1.04.05</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Servicios de desarrollo de sistemas informáticos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2.895.000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1.04.06</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Servicios Generales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34.500.000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27.488.138</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80%</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1.04.99</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Otros servicios de gestión y apoyo</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405.541.592</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152.355.441</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38%</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1.05.01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Transporte dentro del país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21.275.000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10.237.485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48%</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1.05.02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Viáticos dentro del país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14.950.669</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4.942.675</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33%</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1.05.03</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Transporte en el exterior</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5.955.000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2.088.616</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1.05.04</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Viáticos en el exterior</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5.970.000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5.040.171</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84%</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1.06.01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Seguros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6.806.026</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6.762.531</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99%</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1.07.01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Actividades de capacitación</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2.268.000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1.08.01</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Mantenimiento de edificios, locales y terrenos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3.150.000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2.713.154</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86%</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1.08.05</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Mantenimiento y reparación de equipo de transporte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9.550.000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9.376.527</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98%</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1.09.02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 xml:space="preserve">Impuestos sobre bienes inmuebles </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3.600.000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1.982.774</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55%</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1.09.99</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Otros impuestos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1.260.000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1.229.279</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98%</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1.99.02</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Intereses moratorios y multas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950.000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745.329</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78%</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1.99.05</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Deducibles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450.000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r>
      <w:tr w:rsidR="00AF45C3" w:rsidRPr="00AF45C3" w:rsidTr="0079728D">
        <w:trPr>
          <w:trHeight w:val="243"/>
        </w:trPr>
        <w:tc>
          <w:tcPr>
            <w:tcW w:w="1135"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1.99.99</w:t>
            </w:r>
          </w:p>
        </w:tc>
        <w:tc>
          <w:tcPr>
            <w:tcW w:w="5926" w:type="dxa"/>
            <w:shd w:val="clear" w:color="000000" w:fill="FFFFFF"/>
            <w:noWrap/>
            <w:vAlign w:val="bottom"/>
            <w:hideMark/>
          </w:tcPr>
          <w:p w:rsidR="00AF45C3" w:rsidRPr="00AF45C3" w:rsidRDefault="00AF45C3" w:rsidP="00AF45C3">
            <w:pPr>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Otros servicios no especificados</w:t>
            </w:r>
          </w:p>
        </w:tc>
        <w:tc>
          <w:tcPr>
            <w:tcW w:w="1253"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250.000</w:t>
            </w:r>
          </w:p>
        </w:tc>
        <w:tc>
          <w:tcPr>
            <w:tcW w:w="1344"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c>
          <w:tcPr>
            <w:tcW w:w="1116" w:type="dxa"/>
            <w:shd w:val="clear" w:color="000000" w:fill="FFFFFF"/>
            <w:noWrap/>
            <w:vAlign w:val="bottom"/>
            <w:hideMark/>
          </w:tcPr>
          <w:p w:rsidR="00AF45C3" w:rsidRPr="00AF45C3" w:rsidRDefault="00AF45C3" w:rsidP="00AF45C3">
            <w:pPr>
              <w:jc w:val="right"/>
              <w:rPr>
                <w:rFonts w:ascii="Century Gothic" w:eastAsia="Times New Roman" w:hAnsi="Century Gothic" w:cs="Calibri"/>
                <w:color w:val="000000"/>
                <w:sz w:val="16"/>
                <w:szCs w:val="16"/>
                <w:lang w:val="es-MX" w:eastAsia="es-MX"/>
              </w:rPr>
            </w:pPr>
            <w:r w:rsidRPr="00AF45C3">
              <w:rPr>
                <w:rFonts w:ascii="Century Gothic" w:eastAsia="Times New Roman" w:hAnsi="Century Gothic" w:cs="Calibri"/>
                <w:color w:val="000000"/>
                <w:sz w:val="16"/>
                <w:szCs w:val="16"/>
                <w:lang w:val="es-MX" w:eastAsia="es-MX"/>
              </w:rPr>
              <w:t>0%</w:t>
            </w:r>
          </w:p>
        </w:tc>
      </w:tr>
    </w:tbl>
    <w:p w:rsidR="00973E73" w:rsidRDefault="00973E73"/>
    <w:p w:rsidR="00A420C5" w:rsidRDefault="00A420C5"/>
    <w:p w:rsidR="00A420C5" w:rsidRDefault="00A420C5"/>
    <w:p w:rsidR="00A420C5" w:rsidRDefault="00A420C5"/>
    <w:tbl>
      <w:tblPr>
        <w:tblW w:w="107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7"/>
        <w:gridCol w:w="5992"/>
        <w:gridCol w:w="1275"/>
        <w:gridCol w:w="1560"/>
        <w:gridCol w:w="1033"/>
      </w:tblGrid>
      <w:tr w:rsidR="0079728D" w:rsidRPr="0079728D" w:rsidTr="0079728D">
        <w:trPr>
          <w:trHeight w:val="510"/>
        </w:trPr>
        <w:tc>
          <w:tcPr>
            <w:tcW w:w="1097" w:type="dxa"/>
            <w:shd w:val="clear" w:color="auto" w:fill="00B050"/>
            <w:noWrap/>
            <w:vAlign w:val="center"/>
            <w:hideMark/>
          </w:tcPr>
          <w:p w:rsidR="0079728D" w:rsidRPr="0079728D" w:rsidRDefault="0079728D" w:rsidP="0079728D">
            <w:pPr>
              <w:jc w:val="center"/>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lastRenderedPageBreak/>
              <w:t>SUBPARTIDA</w:t>
            </w:r>
          </w:p>
        </w:tc>
        <w:tc>
          <w:tcPr>
            <w:tcW w:w="5992" w:type="dxa"/>
            <w:shd w:val="clear" w:color="auto" w:fill="00B050"/>
            <w:noWrap/>
            <w:vAlign w:val="center"/>
            <w:hideMark/>
          </w:tcPr>
          <w:p w:rsidR="0079728D" w:rsidRPr="0079728D" w:rsidRDefault="0079728D" w:rsidP="0079728D">
            <w:pPr>
              <w:jc w:val="center"/>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NOMBRE SUBPARTIDA</w:t>
            </w:r>
          </w:p>
        </w:tc>
        <w:tc>
          <w:tcPr>
            <w:tcW w:w="1275" w:type="dxa"/>
            <w:shd w:val="clear" w:color="auto" w:fill="00B050"/>
            <w:vAlign w:val="center"/>
            <w:hideMark/>
          </w:tcPr>
          <w:p w:rsidR="0079728D" w:rsidRPr="0079728D" w:rsidRDefault="0079728D" w:rsidP="0079728D">
            <w:pPr>
              <w:jc w:val="center"/>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PRESUPUESTO APROBADO</w:t>
            </w:r>
          </w:p>
        </w:tc>
        <w:tc>
          <w:tcPr>
            <w:tcW w:w="1560" w:type="dxa"/>
            <w:shd w:val="clear" w:color="auto" w:fill="00B050"/>
            <w:vAlign w:val="center"/>
            <w:hideMark/>
          </w:tcPr>
          <w:p w:rsidR="0079728D" w:rsidRPr="0079728D" w:rsidRDefault="0079728D" w:rsidP="0079728D">
            <w:pPr>
              <w:jc w:val="center"/>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TOTAL EGRESOS REALES</w:t>
            </w:r>
          </w:p>
        </w:tc>
        <w:tc>
          <w:tcPr>
            <w:tcW w:w="788" w:type="dxa"/>
            <w:shd w:val="clear" w:color="auto" w:fill="00B050"/>
            <w:vAlign w:val="center"/>
            <w:hideMark/>
          </w:tcPr>
          <w:p w:rsidR="0079728D" w:rsidRPr="0079728D" w:rsidRDefault="0079728D" w:rsidP="0079728D">
            <w:pPr>
              <w:jc w:val="center"/>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 EJECUCIÓN</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2</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Materiales y Suministros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55.260.009</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32.297.349</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58%</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2.01.04</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Tintas, pinturas y diluyentes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2.450.540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2.338.360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95%</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2.02.03</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Alimentos y bebidas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29.166.809</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17.489.498</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60%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2.03.04</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 xml:space="preserve">Materiales y productos eléctricos, telefónicos y cómputo </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8.942.700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3.156.190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35%</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2.04.01</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 xml:space="preserve">Herramientas e instrumentos </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6.307.560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5.444.136</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86%</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2.99.01</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Útiles y materiales de oficina y cómputo</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2.520.000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1.493.210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59%</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2.99.03</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Productos de papel, cartón e impresos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5.872.400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2.375.955</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40%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3</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Intereses y comisiones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23.900.000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16.995.953</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71%</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3.04.05</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Diferencias por tipo de cambio</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23.900.000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16.995.953</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71%</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4</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Activos Financieros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1.042.406.466</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880.624.679</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84%</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4.01.07</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 xml:space="preserve">Préstamos al Sector Privado </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1.042.406.466</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880.624.679</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84%</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5</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Bienes Duraderos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203.544.463</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113.521.388</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56%</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5.01.02</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Equipo de transporte</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28.350.001</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26.284.950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93%</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5.01.03</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Equipo de comunicación</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9.535.680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996.747</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5.01.04</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 xml:space="preserve">Equipo y mobiliario de oficina </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189.000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5.01.05</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Equipo y programas de cómputo</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84.828.900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19.639.735</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23%</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5.01.99</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Maquinaria, equipo y mobiliario diverso</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9.453.780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7.541.337</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5.99.03</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Bienes intangibles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71.187.102</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59.058.619</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83%</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6</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Transferecias Corrientes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31.642.545</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1.922.376</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6%</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6.02.99</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Otras transferencias a personas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14.601.924</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1.462.238</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6.03.01</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Prestaciones Legales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5.281.920</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147.056</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3%</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6.03.99</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Otras prestaciones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1.280.812</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313.082</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24%</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6.06.01</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Indemnizaciones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10.477.889</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9</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Cuentas Especiales</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115.049.309</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b/>
                <w:bCs/>
                <w:color w:val="000000"/>
                <w:sz w:val="16"/>
                <w:szCs w:val="16"/>
                <w:lang w:val="es-MX" w:eastAsia="es-MX"/>
              </w:rPr>
            </w:pPr>
            <w:r w:rsidRPr="0079728D">
              <w:rPr>
                <w:rFonts w:ascii="Century Gothic" w:eastAsia="Times New Roman" w:hAnsi="Century Gothic" w:cs="Calibri"/>
                <w:b/>
                <w:bCs/>
                <w:color w:val="000000"/>
                <w:sz w:val="16"/>
                <w:szCs w:val="16"/>
                <w:lang w:val="es-MX" w:eastAsia="es-MX"/>
              </w:rPr>
              <w:t>0%</w:t>
            </w:r>
          </w:p>
        </w:tc>
      </w:tr>
      <w:tr w:rsidR="0079728D" w:rsidRPr="0079728D" w:rsidTr="0079728D">
        <w:trPr>
          <w:trHeight w:val="342"/>
        </w:trPr>
        <w:tc>
          <w:tcPr>
            <w:tcW w:w="1097"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9.02.02</w:t>
            </w:r>
          </w:p>
        </w:tc>
        <w:tc>
          <w:tcPr>
            <w:tcW w:w="5992" w:type="dxa"/>
            <w:shd w:val="clear" w:color="000000" w:fill="FFFFFF"/>
            <w:noWrap/>
            <w:vAlign w:val="bottom"/>
            <w:hideMark/>
          </w:tcPr>
          <w:p w:rsidR="0079728D" w:rsidRPr="0079728D" w:rsidRDefault="0079728D" w:rsidP="0079728D">
            <w:pPr>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Sumas con destino específico sin asignación presupuestaria</w:t>
            </w:r>
          </w:p>
        </w:tc>
        <w:tc>
          <w:tcPr>
            <w:tcW w:w="1275"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115.049.309</w:t>
            </w:r>
          </w:p>
        </w:tc>
        <w:tc>
          <w:tcPr>
            <w:tcW w:w="1560"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0</w:t>
            </w:r>
          </w:p>
        </w:tc>
        <w:tc>
          <w:tcPr>
            <w:tcW w:w="788" w:type="dxa"/>
            <w:shd w:val="clear" w:color="000000" w:fill="FFFFFF"/>
            <w:noWrap/>
            <w:vAlign w:val="bottom"/>
            <w:hideMark/>
          </w:tcPr>
          <w:p w:rsidR="0079728D" w:rsidRPr="0079728D" w:rsidRDefault="0079728D" w:rsidP="0079728D">
            <w:pPr>
              <w:jc w:val="right"/>
              <w:rPr>
                <w:rFonts w:ascii="Century Gothic" w:eastAsia="Times New Roman" w:hAnsi="Century Gothic" w:cs="Calibri"/>
                <w:color w:val="000000"/>
                <w:sz w:val="16"/>
                <w:szCs w:val="16"/>
                <w:lang w:val="es-MX" w:eastAsia="es-MX"/>
              </w:rPr>
            </w:pPr>
            <w:r w:rsidRPr="0079728D">
              <w:rPr>
                <w:rFonts w:ascii="Century Gothic" w:eastAsia="Times New Roman" w:hAnsi="Century Gothic" w:cs="Calibri"/>
                <w:color w:val="000000"/>
                <w:sz w:val="16"/>
                <w:szCs w:val="16"/>
                <w:lang w:val="es-MX" w:eastAsia="es-MX"/>
              </w:rPr>
              <w:t>0%</w:t>
            </w:r>
          </w:p>
        </w:tc>
      </w:tr>
      <w:tr w:rsidR="0079728D" w:rsidRPr="0079728D" w:rsidTr="0079728D">
        <w:trPr>
          <w:trHeight w:val="300"/>
        </w:trPr>
        <w:tc>
          <w:tcPr>
            <w:tcW w:w="7089" w:type="dxa"/>
            <w:gridSpan w:val="2"/>
            <w:shd w:val="clear" w:color="auto" w:fill="00B050"/>
            <w:noWrap/>
            <w:vAlign w:val="center"/>
            <w:hideMark/>
          </w:tcPr>
          <w:p w:rsidR="0079728D" w:rsidRPr="0079728D" w:rsidRDefault="0079728D" w:rsidP="0079728D">
            <w:pPr>
              <w:jc w:val="center"/>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TOTALES</w:t>
            </w:r>
          </w:p>
        </w:tc>
        <w:tc>
          <w:tcPr>
            <w:tcW w:w="1275" w:type="dxa"/>
            <w:shd w:val="clear" w:color="auto" w:fill="00B050"/>
            <w:noWrap/>
            <w:vAlign w:val="center"/>
            <w:hideMark/>
          </w:tcPr>
          <w:p w:rsidR="0079728D" w:rsidRPr="0079728D" w:rsidRDefault="0079728D" w:rsidP="0079728D">
            <w:pPr>
              <w:jc w:val="right"/>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3.397.817.123</w:t>
            </w:r>
          </w:p>
        </w:tc>
        <w:tc>
          <w:tcPr>
            <w:tcW w:w="1560" w:type="dxa"/>
            <w:shd w:val="clear" w:color="auto" w:fill="00B050"/>
            <w:noWrap/>
            <w:vAlign w:val="center"/>
            <w:hideMark/>
          </w:tcPr>
          <w:p w:rsidR="0079728D" w:rsidRPr="0079728D" w:rsidRDefault="0079728D" w:rsidP="0079728D">
            <w:pPr>
              <w:jc w:val="right"/>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1.953.923.759</w:t>
            </w:r>
          </w:p>
        </w:tc>
        <w:tc>
          <w:tcPr>
            <w:tcW w:w="788" w:type="dxa"/>
            <w:shd w:val="clear" w:color="auto" w:fill="00B050"/>
            <w:noWrap/>
            <w:vAlign w:val="center"/>
            <w:hideMark/>
          </w:tcPr>
          <w:p w:rsidR="0079728D" w:rsidRPr="0079728D" w:rsidRDefault="0079728D" w:rsidP="0079728D">
            <w:pPr>
              <w:jc w:val="right"/>
              <w:rPr>
                <w:rFonts w:ascii="Century Gothic" w:eastAsia="Times New Roman" w:hAnsi="Century Gothic" w:cs="Calibri"/>
                <w:b/>
                <w:bCs/>
                <w:color w:val="FFFFFF"/>
                <w:sz w:val="16"/>
                <w:szCs w:val="16"/>
                <w:lang w:val="es-MX" w:eastAsia="es-MX"/>
              </w:rPr>
            </w:pPr>
            <w:r w:rsidRPr="0079728D">
              <w:rPr>
                <w:rFonts w:ascii="Century Gothic" w:eastAsia="Times New Roman" w:hAnsi="Century Gothic" w:cs="Calibri"/>
                <w:b/>
                <w:bCs/>
                <w:color w:val="FFFFFF"/>
                <w:sz w:val="16"/>
                <w:szCs w:val="16"/>
                <w:lang w:val="es-MX" w:eastAsia="es-MX"/>
              </w:rPr>
              <w:t>58%</w:t>
            </w:r>
          </w:p>
        </w:tc>
      </w:tr>
    </w:tbl>
    <w:p w:rsidR="00A420C5" w:rsidRDefault="00A420C5"/>
    <w:p w:rsidR="00A420C5" w:rsidRDefault="00A420C5"/>
    <w:p w:rsidR="00A420C5" w:rsidRDefault="00A420C5"/>
    <w:p w:rsidR="00A420C5" w:rsidRDefault="00A420C5"/>
    <w:p w:rsidR="00A420C5" w:rsidRDefault="00A420C5"/>
    <w:p w:rsidR="00A420C5" w:rsidRDefault="00A420C5"/>
    <w:p w:rsidR="0079728D" w:rsidRDefault="0079728D"/>
    <w:p w:rsidR="00F37A9C" w:rsidRDefault="00F37A9C"/>
    <w:p w:rsidR="00F37A9C" w:rsidRDefault="00F37A9C"/>
    <w:p w:rsidR="00F37A9C" w:rsidRDefault="00F37A9C"/>
    <w:p w:rsidR="00F37A9C" w:rsidRDefault="00F37A9C"/>
    <w:p w:rsidR="000266BF" w:rsidRPr="00767C7C" w:rsidRDefault="000266BF" w:rsidP="00982A07">
      <w:pPr>
        <w:tabs>
          <w:tab w:val="left" w:pos="9072"/>
          <w:tab w:val="left" w:pos="9498"/>
          <w:tab w:val="left" w:pos="9781"/>
        </w:tabs>
        <w:ind w:right="567"/>
        <w:rPr>
          <w:rFonts w:ascii="Arial" w:hAnsi="Arial" w:cs="Arial"/>
          <w:b/>
          <w:sz w:val="22"/>
          <w:szCs w:val="22"/>
          <w:u w:val="single"/>
        </w:rPr>
      </w:pPr>
    </w:p>
    <w:p w:rsidR="00982A07" w:rsidRPr="009B4919" w:rsidRDefault="00982A07" w:rsidP="009B4919">
      <w:pPr>
        <w:pStyle w:val="Ttulo2"/>
        <w:jc w:val="left"/>
        <w:rPr>
          <w:rFonts w:cs="Arial"/>
          <w:sz w:val="22"/>
          <w:szCs w:val="22"/>
        </w:rPr>
      </w:pPr>
      <w:bookmarkStart w:id="5" w:name="_Toc32593418"/>
      <w:r w:rsidRPr="009B4919">
        <w:rPr>
          <w:rFonts w:cs="Arial"/>
          <w:sz w:val="22"/>
          <w:szCs w:val="22"/>
        </w:rPr>
        <w:lastRenderedPageBreak/>
        <w:t>2. A. Comentarios sobre la Ejecución de los Egresos</w:t>
      </w:r>
      <w:bookmarkEnd w:id="5"/>
    </w:p>
    <w:p w:rsidR="00982A07" w:rsidRPr="00767C7C" w:rsidRDefault="00982A07" w:rsidP="00FD2291">
      <w:pPr>
        <w:tabs>
          <w:tab w:val="left" w:pos="9072"/>
          <w:tab w:val="left" w:pos="9498"/>
          <w:tab w:val="left" w:pos="9639"/>
          <w:tab w:val="left" w:pos="9781"/>
        </w:tabs>
        <w:ind w:left="720" w:right="567"/>
        <w:jc w:val="both"/>
        <w:rPr>
          <w:rFonts w:ascii="Arial" w:hAnsi="Arial" w:cs="Arial"/>
          <w:b/>
        </w:rPr>
      </w:pPr>
    </w:p>
    <w:p w:rsidR="00FD2291" w:rsidRPr="00767C7C" w:rsidRDefault="00FD2291" w:rsidP="00982A07">
      <w:pPr>
        <w:tabs>
          <w:tab w:val="left" w:pos="9072"/>
          <w:tab w:val="left" w:pos="9498"/>
          <w:tab w:val="left" w:pos="9639"/>
          <w:tab w:val="left" w:pos="9781"/>
        </w:tabs>
        <w:ind w:left="720" w:right="567"/>
        <w:jc w:val="center"/>
        <w:rPr>
          <w:rFonts w:ascii="Arial" w:hAnsi="Arial" w:cs="Arial"/>
          <w:b/>
          <w:sz w:val="22"/>
          <w:szCs w:val="22"/>
        </w:rPr>
      </w:pPr>
    </w:p>
    <w:p w:rsidR="00220B93" w:rsidRPr="00220B93" w:rsidRDefault="00220B93" w:rsidP="00220B93">
      <w:pPr>
        <w:jc w:val="both"/>
        <w:rPr>
          <w:rFonts w:ascii="Century Gothic" w:eastAsia="Times New Roman" w:hAnsi="Century Gothic" w:cs="Calibri"/>
          <w:b/>
          <w:bCs/>
          <w:color w:val="FFFFFF"/>
          <w:sz w:val="24"/>
          <w:szCs w:val="24"/>
          <w:lang w:eastAsia="es-CR"/>
        </w:rPr>
      </w:pPr>
      <w:r w:rsidRPr="00220B93">
        <w:rPr>
          <w:rFonts w:ascii="Arial" w:hAnsi="Arial" w:cs="Arial"/>
          <w:sz w:val="24"/>
          <w:szCs w:val="24"/>
        </w:rPr>
        <w:t xml:space="preserve">La institución presupuestó egresos por la suma de </w:t>
      </w:r>
      <w:r w:rsidRPr="00220B93">
        <w:rPr>
          <w:rFonts w:ascii="Arial" w:hAnsi="Arial" w:cs="Arial"/>
          <w:b/>
          <w:sz w:val="24"/>
          <w:szCs w:val="24"/>
        </w:rPr>
        <w:t>¢3.397.817.123,</w:t>
      </w:r>
      <w:r w:rsidRPr="00220B93">
        <w:rPr>
          <w:rFonts w:ascii="Arial" w:hAnsi="Arial" w:cs="Arial"/>
          <w:sz w:val="24"/>
          <w:szCs w:val="24"/>
        </w:rPr>
        <w:t xml:space="preserve"> de los cuales al cierre del periodo 2019 se ejecutó la suma total de </w:t>
      </w:r>
      <w:r w:rsidRPr="00220B93">
        <w:rPr>
          <w:rFonts w:ascii="Arial" w:hAnsi="Arial" w:cs="Arial"/>
          <w:b/>
          <w:sz w:val="24"/>
          <w:szCs w:val="24"/>
        </w:rPr>
        <w:t xml:space="preserve">¢1.953.923.759, </w:t>
      </w:r>
      <w:r w:rsidRPr="00220B93">
        <w:rPr>
          <w:rFonts w:ascii="Arial" w:hAnsi="Arial" w:cs="Arial"/>
          <w:sz w:val="24"/>
          <w:szCs w:val="24"/>
        </w:rPr>
        <w:t xml:space="preserve">lo que equivale a un </w:t>
      </w:r>
      <w:r w:rsidRPr="00220B93">
        <w:rPr>
          <w:rFonts w:ascii="Arial" w:hAnsi="Arial" w:cs="Arial"/>
          <w:b/>
          <w:sz w:val="24"/>
          <w:szCs w:val="24"/>
        </w:rPr>
        <w:t>58%.</w:t>
      </w:r>
      <w:r w:rsidRPr="00220B93">
        <w:rPr>
          <w:rFonts w:ascii="Arial" w:hAnsi="Arial" w:cs="Arial"/>
          <w:sz w:val="24"/>
          <w:szCs w:val="24"/>
        </w:rPr>
        <w:t xml:space="preserve"> A continuación, se detallan algunos aspectos relevantes en los diferentes grupos de egresos.</w:t>
      </w:r>
    </w:p>
    <w:p w:rsidR="004E2A26" w:rsidRPr="005633A4" w:rsidRDefault="004E2A26" w:rsidP="00B35EE5">
      <w:pPr>
        <w:ind w:right="596"/>
        <w:jc w:val="both"/>
        <w:rPr>
          <w:rFonts w:ascii="Arial" w:hAnsi="Arial" w:cs="Arial"/>
          <w:sz w:val="24"/>
          <w:szCs w:val="24"/>
          <w:lang w:val="es-MX"/>
        </w:rPr>
      </w:pPr>
    </w:p>
    <w:p w:rsidR="00F2113C" w:rsidRPr="00442942" w:rsidRDefault="00442942" w:rsidP="00665D3C">
      <w:pPr>
        <w:pStyle w:val="Prrafodelista"/>
        <w:numPr>
          <w:ilvl w:val="0"/>
          <w:numId w:val="45"/>
        </w:numPr>
        <w:ind w:right="596"/>
        <w:jc w:val="both"/>
        <w:rPr>
          <w:rFonts w:ascii="Arial" w:hAnsi="Arial" w:cs="Arial"/>
          <w:sz w:val="24"/>
          <w:szCs w:val="24"/>
          <w:lang w:val="es-MX"/>
        </w:rPr>
      </w:pPr>
      <w:r w:rsidRPr="00442942">
        <w:rPr>
          <w:rFonts w:ascii="Arial" w:hAnsi="Arial" w:cs="Arial"/>
          <w:b/>
        </w:rPr>
        <w:t>REMUNERACIONES</w:t>
      </w:r>
    </w:p>
    <w:p w:rsidR="00033809" w:rsidRPr="00033809" w:rsidRDefault="00033809" w:rsidP="00033809">
      <w:pPr>
        <w:ind w:left="360"/>
        <w:jc w:val="both"/>
        <w:rPr>
          <w:rFonts w:ascii="Arial" w:hAnsi="Arial" w:cs="Arial"/>
          <w:sz w:val="24"/>
          <w:szCs w:val="24"/>
        </w:rPr>
      </w:pPr>
      <w:r w:rsidRPr="00033809">
        <w:rPr>
          <w:rFonts w:ascii="Arial" w:hAnsi="Arial" w:cs="Arial"/>
          <w:sz w:val="24"/>
          <w:szCs w:val="24"/>
        </w:rPr>
        <w:t xml:space="preserve">En esta partida se presupuestó la suma de </w:t>
      </w:r>
      <w:r w:rsidRPr="00033809">
        <w:rPr>
          <w:rFonts w:ascii="Arial" w:hAnsi="Arial" w:cs="Arial"/>
          <w:b/>
          <w:sz w:val="24"/>
          <w:szCs w:val="24"/>
        </w:rPr>
        <w:t>¢191.886.515, d</w:t>
      </w:r>
      <w:r w:rsidRPr="00033809">
        <w:rPr>
          <w:rFonts w:ascii="Arial" w:hAnsi="Arial" w:cs="Arial"/>
          <w:sz w:val="24"/>
          <w:szCs w:val="24"/>
        </w:rPr>
        <w:t xml:space="preserve">e estos durante el segundo semestre se ejecutó un monto de </w:t>
      </w:r>
      <w:r w:rsidRPr="00033809">
        <w:rPr>
          <w:rFonts w:ascii="Arial" w:hAnsi="Arial" w:cs="Arial"/>
          <w:b/>
          <w:sz w:val="24"/>
          <w:szCs w:val="24"/>
        </w:rPr>
        <w:t>¢88.336.474</w:t>
      </w:r>
      <w:r w:rsidRPr="00033809">
        <w:rPr>
          <w:rFonts w:ascii="Arial" w:hAnsi="Arial" w:cs="Arial"/>
          <w:sz w:val="24"/>
          <w:szCs w:val="24"/>
        </w:rPr>
        <w:t xml:space="preserve">, para un total ejecutado durante el año de </w:t>
      </w:r>
      <w:r w:rsidRPr="00033809">
        <w:rPr>
          <w:rFonts w:ascii="Arial" w:hAnsi="Arial" w:cs="Arial"/>
          <w:b/>
          <w:sz w:val="24"/>
          <w:szCs w:val="24"/>
        </w:rPr>
        <w:t>¢162.161.131</w:t>
      </w:r>
      <w:r w:rsidRPr="00033809">
        <w:rPr>
          <w:rFonts w:ascii="Arial" w:hAnsi="Arial" w:cs="Arial"/>
          <w:sz w:val="24"/>
          <w:szCs w:val="24"/>
        </w:rPr>
        <w:t xml:space="preserve"> equivalente a un </w:t>
      </w:r>
      <w:r w:rsidRPr="00033809">
        <w:rPr>
          <w:rFonts w:ascii="Arial" w:hAnsi="Arial" w:cs="Arial"/>
          <w:b/>
          <w:sz w:val="24"/>
          <w:szCs w:val="24"/>
        </w:rPr>
        <w:t>85%.</w:t>
      </w:r>
      <w:r w:rsidRPr="00033809">
        <w:rPr>
          <w:rFonts w:ascii="Arial" w:hAnsi="Arial" w:cs="Arial"/>
          <w:sz w:val="24"/>
          <w:szCs w:val="24"/>
        </w:rPr>
        <w:t xml:space="preserve"> Con estos recursos se realizó el pago de 15 plazas las cuales corresponden al personal contratado por medio del Proyecto</w:t>
      </w:r>
      <w:r w:rsidRPr="00033809">
        <w:rPr>
          <w:sz w:val="24"/>
          <w:szCs w:val="24"/>
        </w:rPr>
        <w:t xml:space="preserve"> </w:t>
      </w:r>
      <w:r w:rsidRPr="00033809">
        <w:rPr>
          <w:rFonts w:ascii="Arial" w:hAnsi="Arial" w:cs="Arial"/>
          <w:sz w:val="24"/>
          <w:szCs w:val="24"/>
        </w:rPr>
        <w:t xml:space="preserve">Ecomercados II. Su base legal se sustenta en la aprobación del contrato de préstamo No. 7388-CR y sus anexos entre la República de Costa Rica y el Banco Internacional de Reconstrucción y Fomento (BIRF). </w:t>
      </w:r>
    </w:p>
    <w:p w:rsidR="00374598" w:rsidRPr="00033809" w:rsidRDefault="00374598" w:rsidP="00B35EE5">
      <w:pPr>
        <w:ind w:left="708" w:right="596"/>
        <w:jc w:val="both"/>
        <w:rPr>
          <w:rFonts w:ascii="Arial" w:hAnsi="Arial" w:cs="Arial"/>
          <w:sz w:val="24"/>
          <w:szCs w:val="24"/>
        </w:rPr>
      </w:pPr>
    </w:p>
    <w:p w:rsidR="005216C3" w:rsidRPr="0087717F" w:rsidRDefault="005216C3" w:rsidP="00B35EE5">
      <w:pPr>
        <w:numPr>
          <w:ilvl w:val="0"/>
          <w:numId w:val="1"/>
        </w:numPr>
        <w:ind w:right="596"/>
        <w:jc w:val="both"/>
        <w:rPr>
          <w:rFonts w:ascii="Arial" w:hAnsi="Arial" w:cs="Arial"/>
          <w:b/>
          <w:bCs/>
          <w:sz w:val="22"/>
          <w:szCs w:val="22"/>
          <w:lang w:val="es-MX"/>
        </w:rPr>
      </w:pPr>
      <w:r w:rsidRPr="0087717F">
        <w:rPr>
          <w:rFonts w:ascii="Arial" w:hAnsi="Arial" w:cs="Arial"/>
          <w:b/>
          <w:bCs/>
          <w:sz w:val="22"/>
          <w:szCs w:val="22"/>
          <w:lang w:val="es-MX"/>
        </w:rPr>
        <w:t>S</w:t>
      </w:r>
      <w:r w:rsidR="00442942">
        <w:rPr>
          <w:rFonts w:ascii="Arial" w:hAnsi="Arial" w:cs="Arial"/>
          <w:b/>
          <w:bCs/>
          <w:sz w:val="22"/>
          <w:szCs w:val="22"/>
          <w:lang w:val="es-MX"/>
        </w:rPr>
        <w:t>ERVICIOS</w:t>
      </w:r>
    </w:p>
    <w:p w:rsidR="00B35EE5" w:rsidRPr="0087717F" w:rsidRDefault="00B35EE5" w:rsidP="00B35EE5">
      <w:pPr>
        <w:ind w:left="720" w:right="596"/>
        <w:jc w:val="both"/>
        <w:rPr>
          <w:rFonts w:ascii="Arial" w:hAnsi="Arial" w:cs="Arial"/>
          <w:b/>
          <w:bCs/>
          <w:sz w:val="22"/>
          <w:szCs w:val="22"/>
          <w:lang w:val="es-MX"/>
        </w:rPr>
      </w:pPr>
    </w:p>
    <w:p w:rsidR="00BF1B41" w:rsidRPr="00BF1B41" w:rsidRDefault="00BF1B41" w:rsidP="00BF1B41">
      <w:pPr>
        <w:jc w:val="both"/>
        <w:rPr>
          <w:rFonts w:ascii="Arial" w:hAnsi="Arial" w:cs="Arial"/>
          <w:sz w:val="24"/>
          <w:szCs w:val="24"/>
        </w:rPr>
      </w:pPr>
      <w:r w:rsidRPr="00BF1B41">
        <w:rPr>
          <w:rFonts w:ascii="Arial" w:hAnsi="Arial" w:cs="Arial"/>
          <w:sz w:val="24"/>
          <w:szCs w:val="24"/>
        </w:rPr>
        <w:t xml:space="preserve">En esta partida se presupuestó la suma de </w:t>
      </w:r>
      <w:r w:rsidRPr="00BF1B41">
        <w:rPr>
          <w:rFonts w:ascii="Arial" w:eastAsia="Times New Roman" w:hAnsi="Arial" w:cs="Arial"/>
          <w:b/>
          <w:bCs/>
          <w:sz w:val="24"/>
          <w:szCs w:val="24"/>
          <w:lang w:eastAsia="es-CR"/>
        </w:rPr>
        <w:t>¢1.734.127.816</w:t>
      </w:r>
      <w:r w:rsidRPr="00BF1B41">
        <w:rPr>
          <w:rFonts w:ascii="Arial" w:hAnsi="Arial" w:cs="Arial"/>
          <w:b/>
          <w:sz w:val="24"/>
          <w:szCs w:val="24"/>
        </w:rPr>
        <w:t xml:space="preserve">, </w:t>
      </w:r>
      <w:r w:rsidRPr="00BF1B41">
        <w:rPr>
          <w:rFonts w:ascii="Arial" w:hAnsi="Arial" w:cs="Arial"/>
          <w:sz w:val="24"/>
          <w:szCs w:val="24"/>
        </w:rPr>
        <w:t xml:space="preserve">de los cuales en durante el segundo semestre se ejecutó la suma de </w:t>
      </w:r>
      <w:r w:rsidRPr="00BF1B41">
        <w:rPr>
          <w:rFonts w:ascii="Arial" w:hAnsi="Arial" w:cs="Arial"/>
          <w:b/>
          <w:sz w:val="24"/>
          <w:szCs w:val="24"/>
        </w:rPr>
        <w:t>¢460.174.923</w:t>
      </w:r>
      <w:r w:rsidRPr="00BF1B41">
        <w:rPr>
          <w:rFonts w:ascii="Arial" w:eastAsia="Times New Roman" w:hAnsi="Arial" w:cs="Arial"/>
          <w:b/>
          <w:bCs/>
          <w:sz w:val="24"/>
          <w:szCs w:val="24"/>
          <w:lang w:eastAsia="es-CR"/>
        </w:rPr>
        <w:t xml:space="preserve">, </w:t>
      </w:r>
      <w:r w:rsidRPr="00BF1B41">
        <w:rPr>
          <w:rFonts w:ascii="Arial" w:eastAsia="Times New Roman" w:hAnsi="Arial" w:cs="Arial"/>
          <w:bCs/>
          <w:sz w:val="24"/>
          <w:szCs w:val="24"/>
          <w:lang w:eastAsia="es-CR"/>
        </w:rPr>
        <w:t>y en total durante el año se ejecutó la suma de</w:t>
      </w:r>
      <w:r w:rsidRPr="00BF1B41">
        <w:rPr>
          <w:rFonts w:ascii="Arial" w:eastAsia="Times New Roman" w:hAnsi="Arial" w:cs="Arial"/>
          <w:b/>
          <w:bCs/>
          <w:sz w:val="24"/>
          <w:szCs w:val="24"/>
          <w:lang w:eastAsia="es-CR"/>
        </w:rPr>
        <w:t xml:space="preserve"> ¢746.400.884</w:t>
      </w:r>
      <w:r w:rsidRPr="00BF1B41">
        <w:rPr>
          <w:rFonts w:ascii="Arial" w:hAnsi="Arial" w:cs="Arial"/>
          <w:sz w:val="24"/>
          <w:szCs w:val="24"/>
        </w:rPr>
        <w:t xml:space="preserve"> lo que equivale al </w:t>
      </w:r>
      <w:r w:rsidRPr="00BF1B41">
        <w:rPr>
          <w:rFonts w:ascii="Arial" w:hAnsi="Arial" w:cs="Arial"/>
          <w:b/>
          <w:sz w:val="24"/>
          <w:szCs w:val="24"/>
        </w:rPr>
        <w:t xml:space="preserve">43%. </w:t>
      </w:r>
      <w:r w:rsidRPr="00BF1B41">
        <w:rPr>
          <w:rFonts w:ascii="Arial" w:hAnsi="Arial" w:cs="Arial"/>
          <w:sz w:val="24"/>
          <w:szCs w:val="24"/>
        </w:rPr>
        <w:t xml:space="preserve">Con estos recursos se realiza principalmente contrataciones de gastos operativos del Fideicomiso, tales como alquileres, servicios públicos, comisión del fiduciario, gastos de viajes y transporte, mantenimiento y reparación de instalaciones de equipo de transporte y equipo de cómputo, entre otros. </w:t>
      </w:r>
    </w:p>
    <w:p w:rsidR="00524FC8" w:rsidRPr="00BF1B41" w:rsidRDefault="00524FC8" w:rsidP="00E80A0E">
      <w:pPr>
        <w:ind w:left="284" w:right="29"/>
        <w:jc w:val="both"/>
        <w:rPr>
          <w:rFonts w:ascii="Arial" w:hAnsi="Arial" w:cs="Arial"/>
          <w:sz w:val="24"/>
          <w:szCs w:val="24"/>
        </w:rPr>
      </w:pPr>
    </w:p>
    <w:p w:rsidR="00442942" w:rsidRPr="00442942" w:rsidRDefault="00442942" w:rsidP="00442942">
      <w:pPr>
        <w:ind w:left="284" w:right="596"/>
        <w:jc w:val="both"/>
        <w:rPr>
          <w:rFonts w:ascii="Arial" w:hAnsi="Arial" w:cs="Arial"/>
          <w:sz w:val="24"/>
          <w:szCs w:val="24"/>
        </w:rPr>
      </w:pPr>
    </w:p>
    <w:p w:rsidR="005216C3" w:rsidRPr="00767C7C" w:rsidRDefault="00442942" w:rsidP="00B35EE5">
      <w:pPr>
        <w:numPr>
          <w:ilvl w:val="0"/>
          <w:numId w:val="1"/>
        </w:numPr>
        <w:ind w:right="596"/>
        <w:jc w:val="both"/>
        <w:rPr>
          <w:rFonts w:ascii="Arial" w:hAnsi="Arial" w:cs="Arial"/>
          <w:b/>
          <w:bCs/>
          <w:sz w:val="22"/>
          <w:szCs w:val="22"/>
          <w:lang w:val="es-MX"/>
        </w:rPr>
      </w:pPr>
      <w:r>
        <w:rPr>
          <w:rFonts w:ascii="Arial" w:hAnsi="Arial" w:cs="Arial"/>
          <w:b/>
          <w:bCs/>
          <w:sz w:val="22"/>
          <w:szCs w:val="22"/>
          <w:lang w:val="es-MX"/>
        </w:rPr>
        <w:t>MATERIALES Y SUMINISTROS</w:t>
      </w:r>
    </w:p>
    <w:p w:rsidR="005216C3" w:rsidRPr="00767C7C" w:rsidRDefault="005216C3" w:rsidP="00B35EE5">
      <w:pPr>
        <w:ind w:left="708" w:right="596"/>
        <w:jc w:val="both"/>
        <w:rPr>
          <w:rFonts w:ascii="Arial" w:hAnsi="Arial" w:cs="Arial"/>
          <w:sz w:val="22"/>
          <w:szCs w:val="22"/>
          <w:lang w:val="es-MX"/>
        </w:rPr>
      </w:pPr>
    </w:p>
    <w:p w:rsidR="002110F4" w:rsidRDefault="002110F4" w:rsidP="002110F4">
      <w:pPr>
        <w:jc w:val="both"/>
        <w:rPr>
          <w:rFonts w:ascii="Arial" w:hAnsi="Arial" w:cs="Arial"/>
        </w:rPr>
      </w:pPr>
      <w:r w:rsidRPr="002110F4">
        <w:rPr>
          <w:rFonts w:ascii="Arial" w:hAnsi="Arial" w:cs="Arial"/>
          <w:sz w:val="24"/>
          <w:szCs w:val="24"/>
        </w:rPr>
        <w:t xml:space="preserve">En este grupo se presupuestó la suma de </w:t>
      </w:r>
      <w:r w:rsidRPr="002110F4">
        <w:rPr>
          <w:rFonts w:ascii="Arial" w:hAnsi="Arial" w:cs="Arial"/>
          <w:b/>
          <w:sz w:val="24"/>
          <w:szCs w:val="24"/>
        </w:rPr>
        <w:t xml:space="preserve">¢55.260.009 </w:t>
      </w:r>
      <w:r w:rsidRPr="002110F4">
        <w:rPr>
          <w:rFonts w:ascii="Arial" w:hAnsi="Arial" w:cs="Arial"/>
          <w:sz w:val="24"/>
          <w:szCs w:val="24"/>
        </w:rPr>
        <w:t xml:space="preserve">de los cuales en el segundo semestre se ejecutaron </w:t>
      </w:r>
      <w:r w:rsidRPr="002110F4">
        <w:rPr>
          <w:rFonts w:ascii="Arial" w:hAnsi="Arial" w:cs="Arial"/>
          <w:b/>
          <w:sz w:val="24"/>
          <w:szCs w:val="24"/>
        </w:rPr>
        <w:t xml:space="preserve">¢16.757.050 </w:t>
      </w:r>
      <w:r w:rsidRPr="002110F4">
        <w:rPr>
          <w:rFonts w:ascii="Arial" w:hAnsi="Arial" w:cs="Arial"/>
          <w:sz w:val="24"/>
          <w:szCs w:val="24"/>
        </w:rPr>
        <w:t>y se realizó una ejecución acumulada durante el año de</w:t>
      </w:r>
      <w:r w:rsidRPr="002110F4">
        <w:rPr>
          <w:rFonts w:ascii="Arial" w:hAnsi="Arial" w:cs="Arial"/>
          <w:b/>
          <w:sz w:val="24"/>
          <w:szCs w:val="24"/>
        </w:rPr>
        <w:t xml:space="preserve"> ¢32.297.349</w:t>
      </w:r>
      <w:r w:rsidRPr="002110F4">
        <w:rPr>
          <w:rFonts w:ascii="Arial" w:hAnsi="Arial" w:cs="Arial"/>
          <w:sz w:val="24"/>
          <w:szCs w:val="24"/>
        </w:rPr>
        <w:t xml:space="preserve"> equivalente a un </w:t>
      </w:r>
      <w:r w:rsidRPr="002110F4">
        <w:rPr>
          <w:rFonts w:ascii="Arial" w:hAnsi="Arial" w:cs="Arial"/>
          <w:b/>
          <w:sz w:val="24"/>
          <w:szCs w:val="24"/>
        </w:rPr>
        <w:t xml:space="preserve">58%. </w:t>
      </w:r>
      <w:r w:rsidRPr="002110F4">
        <w:rPr>
          <w:rFonts w:ascii="Arial" w:hAnsi="Arial" w:cs="Arial"/>
          <w:sz w:val="24"/>
          <w:szCs w:val="24"/>
        </w:rPr>
        <w:t>Con dichos recursos se dio la atención a diversas necesidades institucionales, que comprende la compra de materiales, artículos y suministros requeridos en el desarrollo de las actividades habituales del Fideicomiso</w:t>
      </w:r>
      <w:r>
        <w:rPr>
          <w:rFonts w:ascii="Arial" w:hAnsi="Arial" w:cs="Arial"/>
        </w:rPr>
        <w:t>.</w:t>
      </w:r>
    </w:p>
    <w:p w:rsidR="00973E73" w:rsidRPr="00767C7C" w:rsidRDefault="00973E73" w:rsidP="00440162">
      <w:pPr>
        <w:ind w:right="290"/>
        <w:jc w:val="both"/>
        <w:rPr>
          <w:rFonts w:ascii="Arial" w:hAnsi="Arial" w:cs="Arial"/>
          <w:b/>
          <w:bCs/>
          <w:sz w:val="22"/>
          <w:szCs w:val="22"/>
          <w:lang w:val="es-MX"/>
        </w:rPr>
      </w:pPr>
    </w:p>
    <w:p w:rsidR="005216C3" w:rsidRPr="004D739D" w:rsidRDefault="005216C3" w:rsidP="00B35EE5">
      <w:pPr>
        <w:pStyle w:val="Prrafodelista"/>
        <w:numPr>
          <w:ilvl w:val="0"/>
          <w:numId w:val="1"/>
        </w:numPr>
        <w:ind w:right="596"/>
        <w:jc w:val="both"/>
        <w:rPr>
          <w:rFonts w:ascii="Arial" w:eastAsia="SimSun" w:hAnsi="Arial" w:cs="Arial"/>
          <w:b/>
          <w:bCs/>
          <w:sz w:val="24"/>
          <w:szCs w:val="24"/>
          <w:lang w:val="es-MX" w:eastAsia="es-ES"/>
        </w:rPr>
      </w:pPr>
      <w:r w:rsidRPr="004D739D">
        <w:rPr>
          <w:rFonts w:ascii="Arial" w:eastAsia="SimSun" w:hAnsi="Arial" w:cs="Arial"/>
          <w:b/>
          <w:bCs/>
          <w:sz w:val="24"/>
          <w:szCs w:val="24"/>
          <w:lang w:val="es-MX" w:eastAsia="es-ES"/>
        </w:rPr>
        <w:t>A</w:t>
      </w:r>
      <w:r w:rsidR="00442942">
        <w:rPr>
          <w:rFonts w:ascii="Arial" w:eastAsia="SimSun" w:hAnsi="Arial" w:cs="Arial"/>
          <w:b/>
          <w:bCs/>
          <w:sz w:val="24"/>
          <w:szCs w:val="24"/>
          <w:lang w:val="es-MX" w:eastAsia="es-ES"/>
        </w:rPr>
        <w:t xml:space="preserve">CTIVOS </w:t>
      </w:r>
      <w:r w:rsidRPr="004D739D">
        <w:rPr>
          <w:rFonts w:ascii="Arial" w:eastAsia="SimSun" w:hAnsi="Arial" w:cs="Arial"/>
          <w:b/>
          <w:bCs/>
          <w:sz w:val="24"/>
          <w:szCs w:val="24"/>
          <w:lang w:val="es-MX" w:eastAsia="es-ES"/>
        </w:rPr>
        <w:t>F</w:t>
      </w:r>
      <w:r w:rsidR="00442942">
        <w:rPr>
          <w:rFonts w:ascii="Arial" w:eastAsia="SimSun" w:hAnsi="Arial" w:cs="Arial"/>
          <w:b/>
          <w:bCs/>
          <w:sz w:val="24"/>
          <w:szCs w:val="24"/>
          <w:lang w:val="es-MX" w:eastAsia="es-ES"/>
        </w:rPr>
        <w:t>INANCIEROS</w:t>
      </w:r>
    </w:p>
    <w:p w:rsidR="002110F4" w:rsidRPr="002110F4" w:rsidRDefault="002110F4" w:rsidP="002110F4">
      <w:pPr>
        <w:jc w:val="both"/>
        <w:rPr>
          <w:rFonts w:ascii="Century Gothic" w:eastAsia="Times New Roman" w:hAnsi="Century Gothic" w:cs="Calibri"/>
          <w:b/>
          <w:bCs/>
          <w:color w:val="000000"/>
          <w:sz w:val="24"/>
          <w:szCs w:val="24"/>
          <w:lang w:eastAsia="es-CR"/>
        </w:rPr>
      </w:pPr>
      <w:r w:rsidRPr="002110F4">
        <w:rPr>
          <w:rFonts w:ascii="Arial" w:hAnsi="Arial" w:cs="Arial"/>
          <w:sz w:val="24"/>
          <w:szCs w:val="24"/>
        </w:rPr>
        <w:t xml:space="preserve">En esta partida se presupuestó la suma de </w:t>
      </w:r>
      <w:r w:rsidRPr="002110F4">
        <w:rPr>
          <w:rFonts w:ascii="Arial" w:hAnsi="Arial" w:cs="Arial"/>
          <w:b/>
          <w:sz w:val="24"/>
          <w:szCs w:val="24"/>
        </w:rPr>
        <w:t>¢1.042.406.466</w:t>
      </w:r>
      <w:r w:rsidRPr="002110F4">
        <w:rPr>
          <w:rFonts w:ascii="Arial" w:hAnsi="Arial" w:cs="Arial"/>
          <w:sz w:val="24"/>
          <w:szCs w:val="24"/>
        </w:rPr>
        <w:t xml:space="preserve"> de los cuales en el segundo semestre se ejecutaron </w:t>
      </w:r>
      <w:r w:rsidRPr="002110F4">
        <w:rPr>
          <w:rFonts w:ascii="Arial" w:hAnsi="Arial" w:cs="Arial"/>
          <w:b/>
          <w:sz w:val="24"/>
          <w:szCs w:val="24"/>
        </w:rPr>
        <w:t xml:space="preserve">¢539.894.267, </w:t>
      </w:r>
      <w:r w:rsidRPr="002110F4">
        <w:rPr>
          <w:rFonts w:ascii="Arial" w:hAnsi="Arial" w:cs="Arial"/>
          <w:sz w:val="24"/>
          <w:szCs w:val="24"/>
        </w:rPr>
        <w:t xml:space="preserve">y durante el año se ejecutó un monto total de </w:t>
      </w:r>
      <w:r w:rsidRPr="002110F4">
        <w:rPr>
          <w:rFonts w:ascii="Arial" w:hAnsi="Arial" w:cs="Arial"/>
          <w:b/>
          <w:sz w:val="24"/>
          <w:szCs w:val="24"/>
        </w:rPr>
        <w:t>¢880.624.679</w:t>
      </w:r>
      <w:r w:rsidRPr="002110F4">
        <w:rPr>
          <w:rFonts w:ascii="Arial" w:hAnsi="Arial" w:cs="Arial"/>
          <w:sz w:val="24"/>
          <w:szCs w:val="24"/>
        </w:rPr>
        <w:t xml:space="preserve"> lo que equivale al </w:t>
      </w:r>
      <w:r w:rsidRPr="002110F4">
        <w:rPr>
          <w:rFonts w:ascii="Arial" w:hAnsi="Arial" w:cs="Arial"/>
          <w:b/>
          <w:sz w:val="24"/>
          <w:szCs w:val="24"/>
        </w:rPr>
        <w:t>84%</w:t>
      </w:r>
      <w:r w:rsidRPr="002110F4">
        <w:rPr>
          <w:rFonts w:ascii="Arial" w:hAnsi="Arial" w:cs="Arial"/>
          <w:sz w:val="24"/>
          <w:szCs w:val="24"/>
        </w:rPr>
        <w:t xml:space="preserve">. Estos recursos se destinan al otorgamiento de créditos en el Sector Forestal, principalmente para atender las necesidades de financiamiento tales como capital de trabajo, viveros forestales, reforestación, industria forestal, crédito puente, estudios técnicos, de acuerdo al reglamento de crédito del fideicomiso y el programa crediticio.  </w:t>
      </w:r>
    </w:p>
    <w:p w:rsidR="005B6C24" w:rsidRDefault="0092503A" w:rsidP="00971B7C">
      <w:pPr>
        <w:pStyle w:val="Prrafodelista"/>
        <w:jc w:val="both"/>
        <w:rPr>
          <w:rFonts w:ascii="Arial" w:hAnsi="Arial" w:cs="Arial"/>
        </w:rPr>
      </w:pPr>
      <w:r w:rsidRPr="0092503A">
        <w:rPr>
          <w:rFonts w:ascii="Arial" w:hAnsi="Arial" w:cs="Arial"/>
        </w:rPr>
        <w:t xml:space="preserve"> </w:t>
      </w:r>
    </w:p>
    <w:p w:rsidR="00F37A9C" w:rsidRPr="00767C7C" w:rsidRDefault="00F37A9C" w:rsidP="00971B7C">
      <w:pPr>
        <w:pStyle w:val="Prrafodelista"/>
        <w:jc w:val="both"/>
        <w:rPr>
          <w:rFonts w:ascii="Arial" w:hAnsi="Arial" w:cs="Arial"/>
        </w:rPr>
      </w:pPr>
    </w:p>
    <w:p w:rsidR="005216C3" w:rsidRPr="004D739D" w:rsidRDefault="005216C3" w:rsidP="00B35EE5">
      <w:pPr>
        <w:numPr>
          <w:ilvl w:val="0"/>
          <w:numId w:val="1"/>
        </w:numPr>
        <w:ind w:left="714" w:right="596" w:hanging="357"/>
        <w:jc w:val="both"/>
        <w:rPr>
          <w:rFonts w:ascii="Arial" w:hAnsi="Arial" w:cs="Arial"/>
          <w:b/>
          <w:bCs/>
          <w:sz w:val="24"/>
          <w:szCs w:val="24"/>
          <w:lang w:val="es-MX"/>
        </w:rPr>
      </w:pPr>
      <w:r w:rsidRPr="004D739D">
        <w:rPr>
          <w:rFonts w:ascii="Arial" w:hAnsi="Arial" w:cs="Arial"/>
          <w:b/>
          <w:bCs/>
          <w:sz w:val="24"/>
          <w:szCs w:val="24"/>
          <w:lang w:val="es-MX"/>
        </w:rPr>
        <w:t>B</w:t>
      </w:r>
      <w:r w:rsidR="0010083F">
        <w:rPr>
          <w:rFonts w:ascii="Arial" w:hAnsi="Arial" w:cs="Arial"/>
          <w:b/>
          <w:bCs/>
          <w:sz w:val="24"/>
          <w:szCs w:val="24"/>
          <w:lang w:val="es-MX"/>
        </w:rPr>
        <w:t>IENES</w:t>
      </w:r>
      <w:r w:rsidRPr="004D739D">
        <w:rPr>
          <w:rFonts w:ascii="Arial" w:hAnsi="Arial" w:cs="Arial"/>
          <w:b/>
          <w:bCs/>
          <w:sz w:val="24"/>
          <w:szCs w:val="24"/>
          <w:lang w:val="es-MX"/>
        </w:rPr>
        <w:t xml:space="preserve"> D</w:t>
      </w:r>
      <w:r w:rsidR="0010083F">
        <w:rPr>
          <w:rFonts w:ascii="Arial" w:hAnsi="Arial" w:cs="Arial"/>
          <w:b/>
          <w:bCs/>
          <w:sz w:val="24"/>
          <w:szCs w:val="24"/>
          <w:lang w:val="es-MX"/>
        </w:rPr>
        <w:t>URADEROS</w:t>
      </w:r>
    </w:p>
    <w:p w:rsidR="004A7B25" w:rsidRPr="00971B7C" w:rsidRDefault="004A7B25" w:rsidP="00971B7C">
      <w:pPr>
        <w:ind w:left="709" w:right="596" w:firstLine="11"/>
        <w:jc w:val="both"/>
        <w:rPr>
          <w:rFonts w:ascii="Arial" w:hAnsi="Arial" w:cs="Arial"/>
          <w:b/>
          <w:bCs/>
          <w:sz w:val="24"/>
          <w:szCs w:val="24"/>
          <w:lang w:val="es-MX"/>
        </w:rPr>
      </w:pPr>
    </w:p>
    <w:p w:rsidR="00CA7FBE" w:rsidRPr="00CA7FBE" w:rsidRDefault="00CA7FBE" w:rsidP="00CA7FBE">
      <w:pPr>
        <w:jc w:val="both"/>
        <w:rPr>
          <w:rFonts w:ascii="Arial" w:hAnsi="Arial" w:cs="Arial"/>
          <w:sz w:val="24"/>
          <w:szCs w:val="24"/>
        </w:rPr>
      </w:pPr>
      <w:r w:rsidRPr="00CA7FBE">
        <w:rPr>
          <w:rFonts w:ascii="Arial" w:hAnsi="Arial" w:cs="Arial"/>
          <w:sz w:val="24"/>
          <w:szCs w:val="24"/>
        </w:rPr>
        <w:t xml:space="preserve">En este grupo se presupuestó la suma de </w:t>
      </w:r>
      <w:r w:rsidRPr="00CA7FBE">
        <w:rPr>
          <w:rFonts w:ascii="Arial" w:hAnsi="Arial" w:cs="Arial"/>
          <w:b/>
          <w:sz w:val="24"/>
          <w:szCs w:val="24"/>
        </w:rPr>
        <w:t xml:space="preserve">203.544.463 </w:t>
      </w:r>
      <w:r w:rsidRPr="00CA7FBE">
        <w:rPr>
          <w:rFonts w:ascii="Arial" w:hAnsi="Arial" w:cs="Arial"/>
          <w:sz w:val="24"/>
          <w:szCs w:val="24"/>
        </w:rPr>
        <w:t xml:space="preserve">de los cuales en el segundo semestre se ejecutaron </w:t>
      </w:r>
      <w:r w:rsidRPr="00CA7FBE">
        <w:rPr>
          <w:rFonts w:ascii="Arial" w:hAnsi="Arial" w:cs="Arial"/>
          <w:b/>
          <w:sz w:val="24"/>
          <w:szCs w:val="24"/>
        </w:rPr>
        <w:t xml:space="preserve">¢68.477.549, </w:t>
      </w:r>
      <w:r w:rsidRPr="00C36380">
        <w:rPr>
          <w:rFonts w:ascii="Arial" w:hAnsi="Arial" w:cs="Arial"/>
          <w:sz w:val="24"/>
          <w:szCs w:val="24"/>
        </w:rPr>
        <w:t>y durante el año se ejecutó la suma total de</w:t>
      </w:r>
      <w:r w:rsidRPr="00CA7FBE">
        <w:rPr>
          <w:rFonts w:ascii="Arial" w:hAnsi="Arial" w:cs="Arial"/>
          <w:b/>
          <w:sz w:val="24"/>
          <w:szCs w:val="24"/>
        </w:rPr>
        <w:t xml:space="preserve"> ¢113.521.388 </w:t>
      </w:r>
      <w:r w:rsidRPr="00CA7FBE">
        <w:rPr>
          <w:rFonts w:ascii="Arial" w:hAnsi="Arial" w:cs="Arial"/>
          <w:sz w:val="24"/>
          <w:szCs w:val="24"/>
        </w:rPr>
        <w:t>equivalente a un</w:t>
      </w:r>
      <w:r w:rsidRPr="00CA7FBE">
        <w:rPr>
          <w:rFonts w:ascii="Arial" w:hAnsi="Arial" w:cs="Arial"/>
          <w:b/>
          <w:sz w:val="24"/>
          <w:szCs w:val="24"/>
        </w:rPr>
        <w:t xml:space="preserve"> 56% </w:t>
      </w:r>
      <w:r w:rsidRPr="00CA7FBE">
        <w:rPr>
          <w:rFonts w:ascii="Arial" w:hAnsi="Arial" w:cs="Arial"/>
          <w:sz w:val="24"/>
          <w:szCs w:val="24"/>
        </w:rPr>
        <w:t xml:space="preserve">del total de recursos presupuestados. Estos recursos en su totalidad son para la compra de bienes tales como equipo de transporte, equipo de comunicación, equipo y programas de cómputo, entre otros, por medio del proyecto REDD+. </w:t>
      </w:r>
    </w:p>
    <w:p w:rsidR="00971B7C" w:rsidRDefault="00971B7C" w:rsidP="00237859">
      <w:pPr>
        <w:ind w:left="708"/>
        <w:jc w:val="both"/>
        <w:rPr>
          <w:rFonts w:ascii="Arial" w:eastAsia="Times New Roman" w:hAnsi="Arial" w:cs="Arial"/>
          <w:sz w:val="22"/>
          <w:szCs w:val="22"/>
          <w:lang w:eastAsia="en-US"/>
        </w:rPr>
      </w:pPr>
    </w:p>
    <w:p w:rsidR="005216C3" w:rsidRPr="004D739D" w:rsidRDefault="005216C3" w:rsidP="00DA6249">
      <w:pPr>
        <w:pStyle w:val="Prrafodelista"/>
        <w:numPr>
          <w:ilvl w:val="0"/>
          <w:numId w:val="29"/>
        </w:numPr>
        <w:ind w:rightChars="595" w:right="1190"/>
        <w:jc w:val="both"/>
        <w:rPr>
          <w:rFonts w:ascii="Arial" w:hAnsi="Arial" w:cs="Arial"/>
          <w:b/>
          <w:bCs/>
          <w:sz w:val="24"/>
          <w:szCs w:val="24"/>
          <w:lang w:val="es-MX"/>
        </w:rPr>
      </w:pPr>
      <w:r w:rsidRPr="004D739D">
        <w:rPr>
          <w:rFonts w:ascii="Arial" w:hAnsi="Arial" w:cs="Arial"/>
          <w:b/>
          <w:bCs/>
          <w:sz w:val="24"/>
          <w:szCs w:val="24"/>
          <w:lang w:val="es-MX"/>
        </w:rPr>
        <w:t>Transferencias Corrientes</w:t>
      </w:r>
    </w:p>
    <w:p w:rsidR="00B217D8" w:rsidRPr="00B217D8" w:rsidRDefault="00B217D8" w:rsidP="00B217D8">
      <w:pPr>
        <w:jc w:val="both"/>
        <w:rPr>
          <w:rFonts w:ascii="Arial" w:hAnsi="Arial" w:cs="Arial"/>
          <w:sz w:val="24"/>
          <w:szCs w:val="24"/>
        </w:rPr>
      </w:pPr>
      <w:r w:rsidRPr="00B217D8">
        <w:rPr>
          <w:rFonts w:ascii="Arial" w:hAnsi="Arial" w:cs="Arial"/>
          <w:sz w:val="24"/>
          <w:szCs w:val="24"/>
        </w:rPr>
        <w:t xml:space="preserve">En este grupo se presupuestó la suma de </w:t>
      </w:r>
      <w:r w:rsidRPr="00B217D8">
        <w:rPr>
          <w:rFonts w:ascii="Arial" w:hAnsi="Arial" w:cs="Arial"/>
          <w:b/>
          <w:sz w:val="24"/>
          <w:szCs w:val="24"/>
        </w:rPr>
        <w:t xml:space="preserve">¢31.642.545 </w:t>
      </w:r>
      <w:r w:rsidRPr="00B217D8">
        <w:rPr>
          <w:rFonts w:ascii="Arial" w:hAnsi="Arial" w:cs="Arial"/>
          <w:sz w:val="24"/>
          <w:szCs w:val="24"/>
        </w:rPr>
        <w:t xml:space="preserve">de los cuales en el segundo semestre se ejecutó </w:t>
      </w:r>
      <w:r w:rsidR="00C36380">
        <w:rPr>
          <w:rFonts w:ascii="Arial" w:hAnsi="Arial" w:cs="Arial"/>
          <w:sz w:val="24"/>
          <w:szCs w:val="24"/>
        </w:rPr>
        <w:t xml:space="preserve">un monto </w:t>
      </w:r>
      <w:r w:rsidRPr="00B217D8">
        <w:rPr>
          <w:rFonts w:ascii="Arial" w:hAnsi="Arial" w:cs="Arial"/>
          <w:sz w:val="24"/>
          <w:szCs w:val="24"/>
        </w:rPr>
        <w:t xml:space="preserve">de </w:t>
      </w:r>
      <w:r w:rsidRPr="00B217D8">
        <w:rPr>
          <w:rFonts w:ascii="Arial" w:hAnsi="Arial" w:cs="Arial"/>
          <w:b/>
          <w:sz w:val="24"/>
          <w:szCs w:val="24"/>
        </w:rPr>
        <w:t>¢359.489</w:t>
      </w:r>
      <w:r>
        <w:rPr>
          <w:rFonts w:ascii="Arial" w:hAnsi="Arial" w:cs="Arial"/>
          <w:b/>
          <w:sz w:val="24"/>
          <w:szCs w:val="24"/>
        </w:rPr>
        <w:t xml:space="preserve"> </w:t>
      </w:r>
      <w:r w:rsidRPr="00C36380">
        <w:rPr>
          <w:rFonts w:ascii="Arial" w:hAnsi="Arial" w:cs="Arial"/>
          <w:sz w:val="24"/>
          <w:szCs w:val="24"/>
        </w:rPr>
        <w:t>y durante el año se</w:t>
      </w:r>
      <w:r>
        <w:rPr>
          <w:rFonts w:ascii="Arial" w:hAnsi="Arial" w:cs="Arial"/>
          <w:b/>
          <w:sz w:val="24"/>
          <w:szCs w:val="24"/>
        </w:rPr>
        <w:t xml:space="preserve"> </w:t>
      </w:r>
      <w:r w:rsidRPr="00B217D8">
        <w:rPr>
          <w:rFonts w:ascii="Arial" w:hAnsi="Arial" w:cs="Arial"/>
          <w:sz w:val="24"/>
          <w:szCs w:val="24"/>
        </w:rPr>
        <w:t>eje</w:t>
      </w:r>
      <w:r>
        <w:rPr>
          <w:rFonts w:ascii="Arial" w:hAnsi="Arial" w:cs="Arial"/>
          <w:sz w:val="24"/>
          <w:szCs w:val="24"/>
        </w:rPr>
        <w:t>cutó un total de ¢1.922.376</w:t>
      </w:r>
      <w:r w:rsidRPr="00B217D8">
        <w:rPr>
          <w:rFonts w:ascii="Arial" w:hAnsi="Arial" w:cs="Arial"/>
          <w:sz w:val="24"/>
          <w:szCs w:val="24"/>
        </w:rPr>
        <w:t xml:space="preserve"> e</w:t>
      </w:r>
      <w:r w:rsidR="00C36380">
        <w:rPr>
          <w:rFonts w:ascii="Arial" w:hAnsi="Arial" w:cs="Arial"/>
          <w:sz w:val="24"/>
          <w:szCs w:val="24"/>
        </w:rPr>
        <w:t>quivalente a un 6</w:t>
      </w:r>
      <w:r w:rsidRPr="00B217D8">
        <w:rPr>
          <w:rFonts w:ascii="Arial" w:hAnsi="Arial" w:cs="Arial"/>
          <w:b/>
          <w:sz w:val="24"/>
          <w:szCs w:val="24"/>
        </w:rPr>
        <w:t>%</w:t>
      </w:r>
      <w:r w:rsidR="00C36380">
        <w:rPr>
          <w:rFonts w:ascii="Arial" w:hAnsi="Arial" w:cs="Arial"/>
          <w:b/>
          <w:sz w:val="24"/>
          <w:szCs w:val="24"/>
        </w:rPr>
        <w:t>.</w:t>
      </w:r>
    </w:p>
    <w:p w:rsidR="004D739D" w:rsidRPr="00665D3C" w:rsidRDefault="004D739D" w:rsidP="004D739D">
      <w:pPr>
        <w:jc w:val="both"/>
        <w:rPr>
          <w:rFonts w:ascii="Arial" w:hAnsi="Arial" w:cs="Arial"/>
          <w:sz w:val="24"/>
          <w:szCs w:val="24"/>
        </w:rPr>
      </w:pPr>
    </w:p>
    <w:p w:rsidR="00C91A29" w:rsidRPr="00A91106" w:rsidRDefault="00C91A29" w:rsidP="00A91106">
      <w:pPr>
        <w:ind w:right="432"/>
        <w:contextualSpacing/>
        <w:jc w:val="both"/>
        <w:rPr>
          <w:rFonts w:ascii="Arial" w:hAnsi="Arial" w:cs="Arial"/>
          <w:b/>
        </w:rPr>
      </w:pPr>
    </w:p>
    <w:p w:rsidR="007062DB" w:rsidRPr="009C193C" w:rsidRDefault="007062DB" w:rsidP="009B4919">
      <w:pPr>
        <w:pStyle w:val="Ttulo2"/>
        <w:jc w:val="left"/>
        <w:rPr>
          <w:rFonts w:cs="Arial"/>
          <w:sz w:val="22"/>
          <w:szCs w:val="22"/>
          <w:u w:val="single"/>
        </w:rPr>
      </w:pPr>
      <w:bookmarkStart w:id="6" w:name="_Toc32593419"/>
      <w:r w:rsidRPr="009C193C">
        <w:rPr>
          <w:rFonts w:cs="Arial"/>
          <w:sz w:val="22"/>
          <w:szCs w:val="22"/>
          <w:u w:val="single"/>
        </w:rPr>
        <w:t>2. B Limitaciones</w:t>
      </w:r>
      <w:bookmarkEnd w:id="6"/>
      <w:r w:rsidRPr="009C193C">
        <w:rPr>
          <w:rFonts w:cs="Arial"/>
          <w:sz w:val="22"/>
          <w:szCs w:val="22"/>
          <w:u w:val="single"/>
        </w:rPr>
        <w:t xml:space="preserve"> </w:t>
      </w:r>
      <w:r w:rsidRPr="009C193C">
        <w:rPr>
          <w:rFonts w:cs="Arial"/>
          <w:sz w:val="22"/>
          <w:szCs w:val="22"/>
        </w:rPr>
        <w:tab/>
      </w:r>
    </w:p>
    <w:p w:rsidR="007062DB" w:rsidRPr="009C193C" w:rsidRDefault="007062DB" w:rsidP="007062DB">
      <w:pPr>
        <w:tabs>
          <w:tab w:val="left" w:pos="9498"/>
          <w:tab w:val="left" w:pos="9639"/>
          <w:tab w:val="left" w:pos="9781"/>
        </w:tabs>
        <w:ind w:right="567"/>
        <w:rPr>
          <w:rFonts w:ascii="Arial" w:hAnsi="Arial" w:cs="Arial"/>
          <w:b/>
          <w:sz w:val="22"/>
          <w:szCs w:val="22"/>
          <w:u w:val="single"/>
        </w:rPr>
      </w:pPr>
    </w:p>
    <w:p w:rsidR="00DD666B" w:rsidRDefault="00DD666B" w:rsidP="007062DB">
      <w:pPr>
        <w:autoSpaceDE w:val="0"/>
        <w:autoSpaceDN w:val="0"/>
        <w:jc w:val="both"/>
        <w:rPr>
          <w:rFonts w:ascii="Arial" w:hAnsi="Arial" w:cs="Arial"/>
          <w:sz w:val="24"/>
          <w:szCs w:val="24"/>
        </w:rPr>
      </w:pPr>
      <w:r>
        <w:rPr>
          <w:rFonts w:ascii="Arial" w:hAnsi="Arial" w:cs="Arial"/>
          <w:sz w:val="24"/>
          <w:szCs w:val="24"/>
        </w:rPr>
        <w:t>Al igual que en el primer semestre, d</w:t>
      </w:r>
      <w:r w:rsidR="007062DB" w:rsidRPr="009C193C">
        <w:rPr>
          <w:rFonts w:ascii="Arial" w:hAnsi="Arial" w:cs="Arial"/>
          <w:sz w:val="24"/>
          <w:szCs w:val="24"/>
        </w:rPr>
        <w:t xml:space="preserve">urante </w:t>
      </w:r>
      <w:r>
        <w:rPr>
          <w:rFonts w:ascii="Arial" w:hAnsi="Arial" w:cs="Arial"/>
          <w:sz w:val="24"/>
          <w:szCs w:val="24"/>
        </w:rPr>
        <w:t>todo el</w:t>
      </w:r>
      <w:r w:rsidR="007062DB" w:rsidRPr="009C193C">
        <w:rPr>
          <w:rFonts w:ascii="Arial" w:hAnsi="Arial" w:cs="Arial"/>
          <w:sz w:val="24"/>
          <w:szCs w:val="24"/>
        </w:rPr>
        <w:t xml:space="preserve"> </w:t>
      </w:r>
      <w:r>
        <w:rPr>
          <w:rFonts w:ascii="Arial" w:hAnsi="Arial" w:cs="Arial"/>
          <w:sz w:val="24"/>
          <w:szCs w:val="24"/>
        </w:rPr>
        <w:t>segundo semestre</w:t>
      </w:r>
      <w:r w:rsidR="007062DB" w:rsidRPr="009C193C">
        <w:rPr>
          <w:rFonts w:ascii="Arial" w:hAnsi="Arial" w:cs="Arial"/>
          <w:sz w:val="24"/>
          <w:szCs w:val="24"/>
        </w:rPr>
        <w:t xml:space="preserve"> se</w:t>
      </w:r>
      <w:r>
        <w:rPr>
          <w:rFonts w:ascii="Arial" w:hAnsi="Arial" w:cs="Arial"/>
          <w:sz w:val="24"/>
          <w:szCs w:val="24"/>
        </w:rPr>
        <w:t xml:space="preserve"> presentaron problemas a nivel de contratación de bienes y servicios del necesarios para la ejecución del Proyecto REDD+ bajo el Fideicomiso 544-16</w:t>
      </w:r>
      <w:r w:rsidR="00254C13" w:rsidRPr="00254C13">
        <w:rPr>
          <w:rFonts w:ascii="Arial" w:hAnsi="Arial" w:cs="Arial"/>
          <w:sz w:val="24"/>
          <w:szCs w:val="24"/>
        </w:rPr>
        <w:t xml:space="preserve"> </w:t>
      </w:r>
      <w:r w:rsidR="00254C13">
        <w:rPr>
          <w:rFonts w:ascii="Arial" w:hAnsi="Arial" w:cs="Arial"/>
          <w:sz w:val="24"/>
          <w:szCs w:val="24"/>
        </w:rPr>
        <w:t xml:space="preserve">esto se debe especialmente a </w:t>
      </w:r>
      <w:r w:rsidR="00254C13" w:rsidRPr="009C193C">
        <w:rPr>
          <w:rFonts w:ascii="Arial" w:hAnsi="Arial" w:cs="Arial"/>
          <w:sz w:val="24"/>
          <w:szCs w:val="24"/>
        </w:rPr>
        <w:t>cambios en los requerimientos o las necesidades por parte de los involucrados en el proyecto; estas situaciones propiciaron una baja ejecución afectó no solo los resultados del proyecto, sino los del Fideicomiso en general.</w:t>
      </w: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254C13" w:rsidRDefault="00254C13" w:rsidP="007062DB">
      <w:pPr>
        <w:autoSpaceDE w:val="0"/>
        <w:autoSpaceDN w:val="0"/>
        <w:jc w:val="both"/>
        <w:rPr>
          <w:rFonts w:ascii="Arial" w:hAnsi="Arial" w:cs="Arial"/>
          <w:sz w:val="24"/>
          <w:szCs w:val="24"/>
        </w:rPr>
      </w:pPr>
    </w:p>
    <w:p w:rsidR="00A60944" w:rsidRDefault="00A60944" w:rsidP="007062DB">
      <w:pPr>
        <w:autoSpaceDE w:val="0"/>
        <w:autoSpaceDN w:val="0"/>
        <w:jc w:val="both"/>
        <w:rPr>
          <w:rFonts w:ascii="Arial" w:hAnsi="Arial" w:cs="Arial"/>
          <w:sz w:val="24"/>
          <w:szCs w:val="24"/>
        </w:rPr>
      </w:pPr>
    </w:p>
    <w:p w:rsidR="00A60944" w:rsidRDefault="00A60944" w:rsidP="007062DB">
      <w:pPr>
        <w:autoSpaceDE w:val="0"/>
        <w:autoSpaceDN w:val="0"/>
        <w:jc w:val="both"/>
        <w:rPr>
          <w:rFonts w:ascii="Arial" w:hAnsi="Arial" w:cs="Arial"/>
          <w:sz w:val="24"/>
          <w:szCs w:val="24"/>
        </w:rPr>
      </w:pPr>
    </w:p>
    <w:p w:rsidR="00DC6BD2" w:rsidRDefault="00DC6BD2" w:rsidP="00504C5D">
      <w:pPr>
        <w:autoSpaceDE w:val="0"/>
        <w:autoSpaceDN w:val="0"/>
        <w:ind w:left="708" w:right="596" w:firstLine="12"/>
        <w:jc w:val="both"/>
        <w:rPr>
          <w:rFonts w:ascii="Arial" w:hAnsi="Arial" w:cs="Arial"/>
          <w:sz w:val="22"/>
          <w:szCs w:val="22"/>
        </w:rPr>
      </w:pPr>
    </w:p>
    <w:p w:rsidR="00DC6BD2" w:rsidRDefault="00DC6BD2" w:rsidP="00504C5D">
      <w:pPr>
        <w:autoSpaceDE w:val="0"/>
        <w:autoSpaceDN w:val="0"/>
        <w:ind w:left="708" w:right="596" w:firstLine="12"/>
        <w:jc w:val="both"/>
        <w:rPr>
          <w:rFonts w:ascii="Arial" w:hAnsi="Arial" w:cs="Arial"/>
          <w:sz w:val="22"/>
          <w:szCs w:val="22"/>
        </w:rPr>
      </w:pPr>
    </w:p>
    <w:p w:rsidR="00DC6BD2" w:rsidRDefault="00DC6BD2" w:rsidP="00504C5D">
      <w:pPr>
        <w:autoSpaceDE w:val="0"/>
        <w:autoSpaceDN w:val="0"/>
        <w:ind w:left="708" w:right="596" w:firstLine="12"/>
        <w:jc w:val="both"/>
        <w:rPr>
          <w:rFonts w:ascii="Arial" w:hAnsi="Arial" w:cs="Arial"/>
          <w:sz w:val="22"/>
          <w:szCs w:val="22"/>
        </w:rPr>
      </w:pPr>
    </w:p>
    <w:p w:rsidR="005631E4" w:rsidRDefault="005631E4" w:rsidP="005631E4">
      <w:pPr>
        <w:autoSpaceDE w:val="0"/>
        <w:autoSpaceDN w:val="0"/>
        <w:ind w:right="596"/>
        <w:jc w:val="both"/>
        <w:rPr>
          <w:rFonts w:ascii="Arial" w:eastAsia="Times New Roman" w:hAnsi="Arial" w:cs="Arial"/>
          <w:color w:val="FF0000"/>
          <w:sz w:val="22"/>
          <w:szCs w:val="22"/>
          <w:lang w:val="es-ES_tradnl" w:eastAsia="en-US"/>
        </w:rPr>
      </w:pPr>
    </w:p>
    <w:p w:rsidR="007062DB" w:rsidRPr="009B4919" w:rsidRDefault="007062DB" w:rsidP="009B4919">
      <w:pPr>
        <w:pStyle w:val="Ttulo1"/>
        <w:numPr>
          <w:ilvl w:val="0"/>
          <w:numId w:val="42"/>
        </w:numPr>
        <w:rPr>
          <w:rFonts w:ascii="Arial" w:hAnsi="Arial" w:cs="Arial"/>
          <w:b/>
          <w:szCs w:val="24"/>
        </w:rPr>
      </w:pPr>
      <w:bookmarkStart w:id="7" w:name="_Toc32593420"/>
      <w:bookmarkStart w:id="8" w:name="_GoBack"/>
      <w:r w:rsidRPr="009B4919">
        <w:rPr>
          <w:rFonts w:ascii="Arial" w:hAnsi="Arial" w:cs="Arial"/>
          <w:b/>
          <w:szCs w:val="24"/>
        </w:rPr>
        <w:t>Liquidación y resultados</w:t>
      </w:r>
      <w:bookmarkEnd w:id="7"/>
      <w:r w:rsidRPr="009B4919">
        <w:rPr>
          <w:rFonts w:ascii="Arial" w:hAnsi="Arial" w:cs="Arial"/>
          <w:b/>
          <w:szCs w:val="24"/>
        </w:rPr>
        <w:t xml:space="preserve">  </w:t>
      </w:r>
    </w:p>
    <w:p w:rsidR="00A03920" w:rsidRPr="00A03920" w:rsidRDefault="00A03920" w:rsidP="00A03920">
      <w:pPr>
        <w:rPr>
          <w:lang w:val="es-ES"/>
        </w:rPr>
      </w:pPr>
    </w:p>
    <w:p w:rsidR="00FA7074" w:rsidRDefault="00FA7074" w:rsidP="00AE48B9">
      <w:pPr>
        <w:rPr>
          <w:rFonts w:ascii="Arial" w:hAnsi="Arial" w:cs="Arial"/>
          <w:b/>
          <w:sz w:val="24"/>
          <w:lang w:val="es-ES"/>
        </w:rPr>
      </w:pPr>
    </w:p>
    <w:p w:rsidR="00332A87" w:rsidRPr="00332A87" w:rsidRDefault="00332A87" w:rsidP="00332A87">
      <w:pPr>
        <w:jc w:val="both"/>
        <w:rPr>
          <w:rFonts w:ascii="Arial" w:hAnsi="Arial" w:cs="Arial"/>
          <w:sz w:val="24"/>
          <w:szCs w:val="24"/>
        </w:rPr>
      </w:pPr>
      <w:r w:rsidRPr="00332A87">
        <w:rPr>
          <w:rFonts w:ascii="Arial" w:hAnsi="Arial" w:cs="Arial"/>
          <w:sz w:val="24"/>
          <w:szCs w:val="24"/>
        </w:rPr>
        <w:t xml:space="preserve">En el siguiente cuadro se resume el resultado de la ejecución presupuestaria del Fideicomiso 544 FONAFIFO/BNCR en el 2019: </w:t>
      </w:r>
    </w:p>
    <w:p w:rsidR="00332A87" w:rsidRDefault="00332A87" w:rsidP="00332A87">
      <w:pPr>
        <w:jc w:val="both"/>
        <w:rPr>
          <w:rFonts w:ascii="Arial" w:hAnsi="Arial" w:cs="Arial"/>
        </w:rPr>
      </w:pPr>
    </w:p>
    <w:p w:rsidR="00332A87" w:rsidRPr="00EA54FE" w:rsidRDefault="00332A87" w:rsidP="00332A87">
      <w:pPr>
        <w:jc w:val="both"/>
        <w:rPr>
          <w:rFonts w:ascii="Arial" w:hAnsi="Arial" w:cs="Arial"/>
        </w:rPr>
      </w:pP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1164"/>
        <w:gridCol w:w="1164"/>
      </w:tblGrid>
      <w:tr w:rsidR="00332A87" w:rsidRPr="006C313C" w:rsidTr="00EF1106">
        <w:trPr>
          <w:trHeight w:val="284"/>
          <w:jc w:val="center"/>
        </w:trPr>
        <w:tc>
          <w:tcPr>
            <w:tcW w:w="6239" w:type="dxa"/>
            <w:gridSpan w:val="3"/>
            <w:shd w:val="clear" w:color="000000" w:fill="00B050"/>
            <w:vAlign w:val="center"/>
            <w:hideMark/>
          </w:tcPr>
          <w:p w:rsidR="00332A87" w:rsidRPr="006C313C" w:rsidRDefault="00332A87" w:rsidP="00EF1106">
            <w:pPr>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Fondo Nacional de Financiamiento Forestal</w:t>
            </w:r>
          </w:p>
        </w:tc>
      </w:tr>
      <w:tr w:rsidR="00332A87" w:rsidRPr="006C313C" w:rsidTr="00EF1106">
        <w:trPr>
          <w:trHeight w:val="284"/>
          <w:jc w:val="center"/>
        </w:trPr>
        <w:tc>
          <w:tcPr>
            <w:tcW w:w="6239" w:type="dxa"/>
            <w:gridSpan w:val="3"/>
            <w:shd w:val="clear" w:color="000000" w:fill="00B050"/>
            <w:vAlign w:val="center"/>
            <w:hideMark/>
          </w:tcPr>
          <w:p w:rsidR="00332A87" w:rsidRPr="006C313C" w:rsidRDefault="00332A87" w:rsidP="00EF1106">
            <w:pPr>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Fideicomiso 544 FONAFIFO/BNCR</w:t>
            </w:r>
          </w:p>
        </w:tc>
      </w:tr>
      <w:tr w:rsidR="00332A87" w:rsidRPr="006C313C" w:rsidTr="00EF1106">
        <w:trPr>
          <w:trHeight w:val="284"/>
          <w:jc w:val="center"/>
        </w:trPr>
        <w:tc>
          <w:tcPr>
            <w:tcW w:w="6239" w:type="dxa"/>
            <w:gridSpan w:val="3"/>
            <w:shd w:val="clear" w:color="000000" w:fill="00B050"/>
            <w:vAlign w:val="center"/>
            <w:hideMark/>
          </w:tcPr>
          <w:p w:rsidR="00332A87" w:rsidRPr="006C313C" w:rsidRDefault="00332A87" w:rsidP="00EF1106">
            <w:pPr>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(expresado en colones)</w:t>
            </w:r>
          </w:p>
        </w:tc>
      </w:tr>
      <w:tr w:rsidR="00332A87" w:rsidRPr="006C313C" w:rsidTr="00EF1106">
        <w:trPr>
          <w:trHeight w:val="298"/>
          <w:jc w:val="center"/>
        </w:trPr>
        <w:tc>
          <w:tcPr>
            <w:tcW w:w="6239" w:type="dxa"/>
            <w:gridSpan w:val="3"/>
            <w:shd w:val="clear" w:color="000000" w:fill="00B050"/>
            <w:noWrap/>
            <w:vAlign w:val="center"/>
            <w:hideMark/>
          </w:tcPr>
          <w:p w:rsidR="00332A87" w:rsidRPr="006C313C" w:rsidRDefault="00332A87" w:rsidP="00EF1106">
            <w:pPr>
              <w:jc w:val="cente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Liquidación Presupuestaria  al 31 de diciembre del 2019</w:t>
            </w:r>
          </w:p>
        </w:tc>
      </w:tr>
      <w:tr w:rsidR="00332A87" w:rsidRPr="006C313C" w:rsidTr="00EF1106">
        <w:trPr>
          <w:trHeight w:val="284"/>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Ingresos Presupuestados</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3.397.817.123</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332A87" w:rsidRPr="006C313C" w:rsidTr="00EF1106">
        <w:trPr>
          <w:trHeight w:val="284"/>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Menos</w:t>
            </w:r>
          </w:p>
        </w:tc>
        <w:tc>
          <w:tcPr>
            <w:tcW w:w="853"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332A87" w:rsidRPr="006C313C" w:rsidTr="00EF1106">
        <w:trPr>
          <w:trHeight w:val="298"/>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Ingresos Reales</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3.172.207.191</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r>
      <w:tr w:rsidR="00332A87" w:rsidRPr="006C313C" w:rsidTr="00EF1106">
        <w:trPr>
          <w:trHeight w:val="298"/>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o Déficit de Ingresos</w:t>
            </w:r>
          </w:p>
        </w:tc>
        <w:tc>
          <w:tcPr>
            <w:tcW w:w="853"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225.609.932</w:t>
            </w:r>
          </w:p>
        </w:tc>
      </w:tr>
      <w:tr w:rsidR="00332A87" w:rsidRPr="006C313C" w:rsidTr="00EF1106">
        <w:trPr>
          <w:trHeight w:val="284"/>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Egresos Presupuestados</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3.397.817.123</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332A87" w:rsidRPr="006C313C" w:rsidTr="00EF1106">
        <w:trPr>
          <w:trHeight w:val="284"/>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Menos</w:t>
            </w:r>
          </w:p>
        </w:tc>
        <w:tc>
          <w:tcPr>
            <w:tcW w:w="853"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332A87" w:rsidRPr="006C313C" w:rsidTr="00EF1106">
        <w:trPr>
          <w:trHeight w:val="298"/>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Egresos Reales</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1.953.923.759</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r>
      <w:tr w:rsidR="00332A87" w:rsidRPr="006C313C" w:rsidTr="00EF1106">
        <w:trPr>
          <w:trHeight w:val="298"/>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o Déficit de Egresos</w:t>
            </w:r>
          </w:p>
        </w:tc>
        <w:tc>
          <w:tcPr>
            <w:tcW w:w="853"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1.443.893.364</w:t>
            </w:r>
          </w:p>
        </w:tc>
      </w:tr>
      <w:tr w:rsidR="00332A87" w:rsidRPr="006C313C" w:rsidTr="00EF1106">
        <w:trPr>
          <w:trHeight w:val="298"/>
          <w:jc w:val="center"/>
        </w:trPr>
        <w:tc>
          <w:tcPr>
            <w:tcW w:w="4532" w:type="dxa"/>
            <w:shd w:val="clear" w:color="000000" w:fill="00B050"/>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Acumulado</w:t>
            </w:r>
          </w:p>
        </w:tc>
        <w:tc>
          <w:tcPr>
            <w:tcW w:w="853" w:type="dxa"/>
            <w:shd w:val="clear" w:color="000000" w:fill="00B050"/>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00B050"/>
            <w:noWrap/>
            <w:vAlign w:val="center"/>
            <w:hideMark/>
          </w:tcPr>
          <w:p w:rsidR="00332A87" w:rsidRPr="006C313C" w:rsidRDefault="00332A87" w:rsidP="00EF1106">
            <w:pPr>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1.218.283.432</w:t>
            </w:r>
          </w:p>
        </w:tc>
      </w:tr>
      <w:tr w:rsidR="00332A87" w:rsidRPr="006C313C" w:rsidTr="00EF1106">
        <w:trPr>
          <w:trHeight w:val="298"/>
          <w:jc w:val="center"/>
        </w:trPr>
        <w:tc>
          <w:tcPr>
            <w:tcW w:w="4532"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c>
          <w:tcPr>
            <w:tcW w:w="853" w:type="dxa"/>
            <w:shd w:val="clear" w:color="000000" w:fill="FFFFFF"/>
            <w:noWrap/>
            <w:vAlign w:val="center"/>
            <w:hideMark/>
          </w:tcPr>
          <w:p w:rsidR="00332A87" w:rsidRPr="006C313C" w:rsidRDefault="00332A87" w:rsidP="00EF1106">
            <w:pPr>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 </w:t>
            </w:r>
          </w:p>
        </w:tc>
      </w:tr>
      <w:tr w:rsidR="00332A87" w:rsidRPr="006C313C" w:rsidTr="00EF1106">
        <w:trPr>
          <w:trHeight w:val="298"/>
          <w:jc w:val="center"/>
        </w:trPr>
        <w:tc>
          <w:tcPr>
            <w:tcW w:w="4532" w:type="dxa"/>
            <w:shd w:val="clear" w:color="000000" w:fill="00B050"/>
            <w:noWrap/>
            <w:vAlign w:val="center"/>
            <w:hideMark/>
          </w:tcPr>
          <w:p w:rsidR="00332A87" w:rsidRPr="006C313C" w:rsidRDefault="00332A87" w:rsidP="00EF1106">
            <w:pPr>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Superávit Específico</w:t>
            </w:r>
          </w:p>
        </w:tc>
        <w:tc>
          <w:tcPr>
            <w:tcW w:w="853" w:type="dxa"/>
            <w:shd w:val="clear" w:color="000000" w:fill="00B050"/>
            <w:noWrap/>
            <w:vAlign w:val="center"/>
            <w:hideMark/>
          </w:tcPr>
          <w:p w:rsidR="00332A87" w:rsidRPr="006C313C" w:rsidRDefault="00332A87" w:rsidP="00EF1106">
            <w:pPr>
              <w:jc w:val="right"/>
              <w:rPr>
                <w:rFonts w:ascii="Arial" w:eastAsia="Times New Roman" w:hAnsi="Arial" w:cs="Arial"/>
                <w:color w:val="000000"/>
                <w:sz w:val="16"/>
                <w:szCs w:val="16"/>
                <w:lang w:val="es-MX" w:eastAsia="es-MX"/>
              </w:rPr>
            </w:pPr>
            <w:r w:rsidRPr="006C313C">
              <w:rPr>
                <w:rFonts w:ascii="Arial" w:eastAsia="Times New Roman" w:hAnsi="Arial" w:cs="Arial"/>
                <w:color w:val="000000"/>
                <w:sz w:val="16"/>
                <w:szCs w:val="16"/>
                <w:lang w:val="es-MX" w:eastAsia="es-MX"/>
              </w:rPr>
              <w:t> </w:t>
            </w:r>
          </w:p>
        </w:tc>
        <w:tc>
          <w:tcPr>
            <w:tcW w:w="853" w:type="dxa"/>
            <w:shd w:val="clear" w:color="000000" w:fill="00B050"/>
            <w:noWrap/>
            <w:vAlign w:val="center"/>
            <w:hideMark/>
          </w:tcPr>
          <w:p w:rsidR="00332A87" w:rsidRPr="006C313C" w:rsidRDefault="00332A87" w:rsidP="00EF1106">
            <w:pPr>
              <w:jc w:val="right"/>
              <w:rPr>
                <w:rFonts w:ascii="Arial" w:eastAsia="Times New Roman" w:hAnsi="Arial" w:cs="Arial"/>
                <w:b/>
                <w:bCs/>
                <w:color w:val="000000"/>
                <w:sz w:val="16"/>
                <w:szCs w:val="16"/>
                <w:lang w:val="es-MX" w:eastAsia="es-MX"/>
              </w:rPr>
            </w:pPr>
            <w:r w:rsidRPr="006C313C">
              <w:rPr>
                <w:rFonts w:ascii="Arial" w:eastAsia="Times New Roman" w:hAnsi="Arial" w:cs="Arial"/>
                <w:b/>
                <w:bCs/>
                <w:color w:val="000000"/>
                <w:sz w:val="16"/>
                <w:szCs w:val="16"/>
                <w:lang w:val="es-MX" w:eastAsia="es-MX"/>
              </w:rPr>
              <w:t>1.218.283.432</w:t>
            </w:r>
          </w:p>
        </w:tc>
      </w:tr>
    </w:tbl>
    <w:p w:rsidR="00332A87" w:rsidRPr="00EA54FE" w:rsidRDefault="00332A87" w:rsidP="00332A87">
      <w:pPr>
        <w:rPr>
          <w:rFonts w:ascii="Arial" w:hAnsi="Arial" w:cs="Arial"/>
        </w:rPr>
      </w:pPr>
    </w:p>
    <w:p w:rsidR="00332A87" w:rsidRDefault="00332A87" w:rsidP="00AE48B9">
      <w:pPr>
        <w:rPr>
          <w:rFonts w:ascii="Arial" w:hAnsi="Arial" w:cs="Arial"/>
          <w:b/>
          <w:sz w:val="24"/>
          <w:lang w:val="es-ES"/>
        </w:rPr>
      </w:pPr>
    </w:p>
    <w:p w:rsidR="00352E49" w:rsidRDefault="00FA7074" w:rsidP="00332A87">
      <w:pPr>
        <w:jc w:val="both"/>
        <w:rPr>
          <w:rFonts w:ascii="Arial" w:hAnsi="Arial" w:cs="Arial"/>
          <w:b/>
          <w:sz w:val="24"/>
          <w:lang w:val="es-ES"/>
        </w:rPr>
      </w:pPr>
      <w:r w:rsidRPr="00FA7074">
        <w:rPr>
          <w:rFonts w:ascii="Arial" w:hAnsi="Arial" w:cs="Arial"/>
          <w:sz w:val="24"/>
          <w:szCs w:val="24"/>
          <w:lang w:val="es-ES"/>
        </w:rPr>
        <w:t xml:space="preserve">Como se muestra en el cuadro anterior </w:t>
      </w:r>
      <w:r w:rsidRPr="00FA7074">
        <w:rPr>
          <w:rFonts w:ascii="Arial" w:eastAsiaTheme="minorEastAsia" w:hAnsi="Arial" w:cs="Arial"/>
          <w:sz w:val="24"/>
          <w:szCs w:val="24"/>
          <w:lang w:eastAsia="es-CR"/>
        </w:rPr>
        <w:t>el superávit específico es por la suma de ¢1</w:t>
      </w:r>
      <w:r w:rsidR="00A9369F">
        <w:rPr>
          <w:rFonts w:ascii="Arial" w:eastAsiaTheme="minorEastAsia" w:hAnsi="Arial" w:cs="Arial"/>
          <w:sz w:val="24"/>
          <w:szCs w:val="24"/>
          <w:lang w:eastAsia="es-CR"/>
        </w:rPr>
        <w:t>,21</w:t>
      </w:r>
      <w:r w:rsidR="00332A87">
        <w:rPr>
          <w:rFonts w:ascii="Arial" w:eastAsiaTheme="minorEastAsia" w:hAnsi="Arial" w:cs="Arial"/>
          <w:sz w:val="24"/>
          <w:szCs w:val="24"/>
          <w:lang w:eastAsia="es-CR"/>
        </w:rPr>
        <w:t>8</w:t>
      </w:r>
      <w:r w:rsidR="00A9369F">
        <w:rPr>
          <w:rFonts w:ascii="Arial" w:eastAsiaTheme="minorEastAsia" w:hAnsi="Arial" w:cs="Arial"/>
          <w:sz w:val="24"/>
          <w:szCs w:val="24"/>
          <w:lang w:eastAsia="es-CR"/>
        </w:rPr>
        <w:t>,</w:t>
      </w:r>
      <w:r w:rsidR="00332A87">
        <w:rPr>
          <w:rFonts w:ascii="Arial" w:eastAsiaTheme="minorEastAsia" w:hAnsi="Arial" w:cs="Arial"/>
          <w:sz w:val="24"/>
          <w:szCs w:val="24"/>
          <w:lang w:eastAsia="es-CR"/>
        </w:rPr>
        <w:t>283</w:t>
      </w:r>
      <w:r w:rsidRPr="00FA7074">
        <w:rPr>
          <w:rFonts w:ascii="Arial" w:eastAsiaTheme="minorEastAsia" w:hAnsi="Arial" w:cs="Arial"/>
          <w:sz w:val="24"/>
          <w:szCs w:val="24"/>
          <w:lang w:eastAsia="es-CR"/>
        </w:rPr>
        <w:t>,</w:t>
      </w:r>
      <w:r w:rsidR="00332A87">
        <w:rPr>
          <w:rFonts w:ascii="Arial" w:eastAsiaTheme="minorEastAsia" w:hAnsi="Arial" w:cs="Arial"/>
          <w:sz w:val="24"/>
          <w:szCs w:val="24"/>
          <w:lang w:eastAsia="es-CR"/>
        </w:rPr>
        <w:t>432</w:t>
      </w:r>
      <w:r w:rsidRPr="00FA7074">
        <w:rPr>
          <w:rFonts w:ascii="Arial" w:eastAsiaTheme="minorEastAsia" w:hAnsi="Arial" w:cs="Arial"/>
          <w:sz w:val="24"/>
          <w:szCs w:val="24"/>
          <w:lang w:eastAsia="es-CR"/>
        </w:rPr>
        <w:t xml:space="preserve"> corresponde a recursos que financian principalmente los gastos operativos del Fideicomiso y proyectos especiales. </w:t>
      </w:r>
    </w:p>
    <w:p w:rsidR="00352E49" w:rsidRDefault="00352E49" w:rsidP="00AE48B9">
      <w:pPr>
        <w:rPr>
          <w:rFonts w:ascii="Arial" w:hAnsi="Arial" w:cs="Arial"/>
          <w:b/>
          <w:sz w:val="24"/>
          <w:lang w:val="es-ES"/>
        </w:rPr>
      </w:pPr>
    </w:p>
    <w:bookmarkEnd w:id="8"/>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352E49" w:rsidRDefault="00352E49" w:rsidP="00AE48B9">
      <w:pPr>
        <w:rPr>
          <w:rFonts w:ascii="Arial" w:hAnsi="Arial" w:cs="Arial"/>
          <w:b/>
          <w:sz w:val="24"/>
          <w:lang w:val="es-ES"/>
        </w:rPr>
      </w:pPr>
    </w:p>
    <w:p w:rsidR="00A703BD" w:rsidRDefault="00A703BD" w:rsidP="00AE48B9">
      <w:pPr>
        <w:rPr>
          <w:rFonts w:ascii="Arial" w:hAnsi="Arial" w:cs="Arial"/>
          <w:b/>
          <w:sz w:val="24"/>
          <w:lang w:val="es-ES"/>
        </w:rPr>
      </w:pPr>
    </w:p>
    <w:p w:rsidR="00A703BD" w:rsidRDefault="00A703BD" w:rsidP="00AE48B9">
      <w:pPr>
        <w:rPr>
          <w:rFonts w:ascii="Arial" w:hAnsi="Arial" w:cs="Arial"/>
          <w:b/>
          <w:sz w:val="24"/>
          <w:lang w:val="es-ES"/>
        </w:rPr>
      </w:pPr>
    </w:p>
    <w:p w:rsidR="00A703BD" w:rsidRDefault="00A703BD"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DF21F5" w:rsidRDefault="00DF21F5" w:rsidP="00AE48B9">
      <w:pPr>
        <w:rPr>
          <w:rFonts w:ascii="Arial" w:hAnsi="Arial" w:cs="Arial"/>
          <w:b/>
          <w:sz w:val="24"/>
          <w:lang w:val="es-ES"/>
        </w:rPr>
      </w:pPr>
    </w:p>
    <w:p w:rsidR="00F1343B" w:rsidRDefault="00F1343B" w:rsidP="00AE48B9">
      <w:pPr>
        <w:rPr>
          <w:lang w:val="es-ES"/>
        </w:rPr>
      </w:pPr>
    </w:p>
    <w:p w:rsidR="00F37A9C" w:rsidRDefault="00F37A9C" w:rsidP="00AE48B9">
      <w:pPr>
        <w:rPr>
          <w:lang w:val="es-ES"/>
        </w:rPr>
      </w:pPr>
    </w:p>
    <w:p w:rsidR="00576815" w:rsidRPr="00AE48B9" w:rsidRDefault="00576815" w:rsidP="00AE48B9">
      <w:pPr>
        <w:rPr>
          <w:lang w:val="es-ES"/>
        </w:rPr>
      </w:pPr>
    </w:p>
    <w:p w:rsidR="00982A07" w:rsidRPr="009B4919" w:rsidRDefault="00982A07" w:rsidP="009B4919">
      <w:pPr>
        <w:pStyle w:val="Ttulo1"/>
        <w:numPr>
          <w:ilvl w:val="0"/>
          <w:numId w:val="42"/>
        </w:numPr>
        <w:rPr>
          <w:rFonts w:ascii="Arial" w:hAnsi="Arial" w:cs="Arial"/>
          <w:b/>
        </w:rPr>
      </w:pPr>
      <w:bookmarkStart w:id="9" w:name="_Toc32593421"/>
      <w:r w:rsidRPr="009B4919">
        <w:rPr>
          <w:rFonts w:ascii="Arial" w:hAnsi="Arial" w:cs="Arial"/>
          <w:b/>
        </w:rPr>
        <w:t>Análisis del Avance de los Objetivos y Metas</w:t>
      </w:r>
      <w:bookmarkEnd w:id="9"/>
    </w:p>
    <w:p w:rsidR="00AE48B9" w:rsidRDefault="00AE48B9" w:rsidP="00AE48B9">
      <w:pPr>
        <w:rPr>
          <w:lang w:val="es-ES"/>
        </w:rPr>
      </w:pPr>
    </w:p>
    <w:p w:rsidR="00CB61E8" w:rsidRPr="00CB61E8" w:rsidRDefault="00CB61E8" w:rsidP="00CB61E8">
      <w:pPr>
        <w:jc w:val="both"/>
        <w:rPr>
          <w:rFonts w:ascii="Arial" w:hAnsi="Arial" w:cs="Arial"/>
          <w:sz w:val="24"/>
          <w:szCs w:val="24"/>
        </w:rPr>
      </w:pPr>
      <w:r w:rsidRPr="00CB61E8">
        <w:rPr>
          <w:rFonts w:ascii="Arial" w:hAnsi="Arial" w:cs="Arial"/>
          <w:sz w:val="24"/>
          <w:szCs w:val="24"/>
        </w:rPr>
        <w:t>A continuación, se describen las principales acciones desarrolladas durante el primer semestre para el logro de las metas establecidas para el año 2019.</w:t>
      </w:r>
    </w:p>
    <w:p w:rsidR="00CB61E8" w:rsidRPr="00CB61E8" w:rsidRDefault="00CB61E8" w:rsidP="00CB61E8">
      <w:pPr>
        <w:rPr>
          <w:rFonts w:ascii="Arial" w:hAnsi="Arial" w:cs="Arial"/>
          <w:b/>
          <w:sz w:val="24"/>
          <w:szCs w:val="24"/>
        </w:rPr>
      </w:pPr>
    </w:p>
    <w:p w:rsidR="00CB61E8" w:rsidRPr="00CB61E8" w:rsidRDefault="00CB61E8" w:rsidP="00CB61E8">
      <w:pPr>
        <w:rPr>
          <w:rFonts w:ascii="Arial" w:hAnsi="Arial" w:cs="Arial"/>
          <w:b/>
          <w:sz w:val="24"/>
          <w:szCs w:val="24"/>
        </w:rPr>
      </w:pPr>
    </w:p>
    <w:p w:rsidR="00CB61E8" w:rsidRPr="00CB61E8" w:rsidRDefault="00CB61E8" w:rsidP="00CB61E8">
      <w:pPr>
        <w:rPr>
          <w:rFonts w:ascii="Arial" w:hAnsi="Arial" w:cs="Arial"/>
          <w:b/>
          <w:sz w:val="24"/>
          <w:szCs w:val="24"/>
        </w:rPr>
      </w:pPr>
      <w:r w:rsidRPr="00CB61E8">
        <w:rPr>
          <w:rFonts w:ascii="Arial" w:hAnsi="Arial" w:cs="Arial"/>
          <w:b/>
          <w:sz w:val="24"/>
          <w:szCs w:val="24"/>
        </w:rPr>
        <w:t>Meta:</w:t>
      </w:r>
    </w:p>
    <w:p w:rsidR="00CB61E8" w:rsidRPr="00CB61E8" w:rsidRDefault="00CB61E8" w:rsidP="00CB61E8">
      <w:pPr>
        <w:rPr>
          <w:rFonts w:ascii="Arial" w:hAnsi="Arial" w:cs="Arial"/>
          <w:b/>
          <w:sz w:val="24"/>
          <w:szCs w:val="24"/>
        </w:rPr>
      </w:pPr>
    </w:p>
    <w:p w:rsidR="00CB61E8" w:rsidRPr="00CB61E8" w:rsidRDefault="00CB61E8" w:rsidP="00CB61E8">
      <w:pPr>
        <w:pStyle w:val="Prrafodelista"/>
        <w:numPr>
          <w:ilvl w:val="0"/>
          <w:numId w:val="30"/>
        </w:numPr>
        <w:spacing w:after="0"/>
        <w:ind w:left="284"/>
        <w:jc w:val="both"/>
        <w:rPr>
          <w:rFonts w:ascii="Arial" w:hAnsi="Arial" w:cs="Arial"/>
          <w:b/>
          <w:sz w:val="24"/>
          <w:szCs w:val="24"/>
        </w:rPr>
      </w:pPr>
      <w:r w:rsidRPr="00CB61E8">
        <w:rPr>
          <w:rFonts w:ascii="Arial" w:hAnsi="Arial" w:cs="Arial"/>
          <w:b/>
          <w:color w:val="000000"/>
          <w:sz w:val="24"/>
          <w:szCs w:val="24"/>
          <w:lang w:eastAsia="es-CR"/>
        </w:rPr>
        <w:t>Coadyuvar al FONAFIFO en la formalización, trámite de pago y seguimiento de los contratos por Servicios Ambientales en al menos 300.000 hectáreas de bosques, plantaciones y regeneración natural, de acuerdo a lo establecido en el Plan Nacional de Desarrollo y la normativa vigente</w:t>
      </w:r>
      <w:r w:rsidRPr="00CB61E8">
        <w:rPr>
          <w:rFonts w:ascii="Arial" w:hAnsi="Arial" w:cs="Arial"/>
          <w:b/>
          <w:sz w:val="24"/>
          <w:szCs w:val="24"/>
        </w:rPr>
        <w:t>.</w:t>
      </w:r>
    </w:p>
    <w:p w:rsidR="00CB61E8" w:rsidRPr="00CB61E8" w:rsidRDefault="00CB61E8" w:rsidP="00CB61E8">
      <w:pPr>
        <w:rPr>
          <w:rFonts w:ascii="Arial" w:hAnsi="Arial" w:cs="Arial"/>
          <w:b/>
          <w:sz w:val="24"/>
          <w:szCs w:val="24"/>
        </w:rPr>
      </w:pPr>
    </w:p>
    <w:p w:rsidR="00CB61E8" w:rsidRPr="00CB61E8" w:rsidRDefault="00CB61E8" w:rsidP="00CB61E8">
      <w:pPr>
        <w:autoSpaceDE w:val="0"/>
        <w:autoSpaceDN w:val="0"/>
        <w:adjustRightInd w:val="0"/>
        <w:rPr>
          <w:rFonts w:ascii="Arial" w:eastAsiaTheme="minorHAnsi" w:hAnsi="Arial" w:cs="Arial"/>
          <w:sz w:val="24"/>
          <w:szCs w:val="24"/>
        </w:rPr>
      </w:pPr>
    </w:p>
    <w:p w:rsidR="00CB61E8" w:rsidRPr="00CB61E8" w:rsidRDefault="00CB61E8" w:rsidP="00CB61E8">
      <w:pPr>
        <w:jc w:val="both"/>
        <w:rPr>
          <w:rFonts w:ascii="Arial" w:hAnsi="Arial" w:cs="Arial"/>
          <w:sz w:val="24"/>
          <w:szCs w:val="24"/>
        </w:rPr>
      </w:pPr>
      <w:r w:rsidRPr="00CB61E8">
        <w:rPr>
          <w:rFonts w:ascii="Arial" w:hAnsi="Arial" w:cs="Arial"/>
          <w:sz w:val="24"/>
          <w:szCs w:val="24"/>
        </w:rPr>
        <w:t>Durante el primer semestre del año 2019 el Fideicomiso coadyuvó al FONAFIFO en el trámite de pago de 34 hectáreas bajo el programa de servicios ambientales por un monto de ¢862.238</w:t>
      </w:r>
    </w:p>
    <w:p w:rsidR="00CB61E8" w:rsidRPr="00CB61E8" w:rsidRDefault="00CB61E8" w:rsidP="00CB61E8">
      <w:pPr>
        <w:jc w:val="both"/>
        <w:rPr>
          <w:rFonts w:ascii="Arial" w:hAnsi="Arial" w:cs="Arial"/>
          <w:sz w:val="24"/>
          <w:szCs w:val="24"/>
        </w:rPr>
      </w:pPr>
    </w:p>
    <w:p w:rsidR="00CB61E8" w:rsidRPr="00CB61E8" w:rsidRDefault="00CB61E8" w:rsidP="00CB61E8">
      <w:pPr>
        <w:pStyle w:val="Prrafodelista"/>
        <w:numPr>
          <w:ilvl w:val="0"/>
          <w:numId w:val="30"/>
        </w:numPr>
        <w:spacing w:after="0"/>
        <w:ind w:left="284"/>
        <w:jc w:val="both"/>
        <w:rPr>
          <w:rFonts w:ascii="Arial" w:hAnsi="Arial" w:cs="Arial"/>
          <w:bCs/>
          <w:sz w:val="24"/>
          <w:szCs w:val="24"/>
          <w:lang w:eastAsia="es-CR"/>
        </w:rPr>
      </w:pPr>
      <w:r w:rsidRPr="00CB61E8">
        <w:rPr>
          <w:rFonts w:ascii="Arial" w:hAnsi="Arial" w:cs="Arial"/>
          <w:b/>
          <w:color w:val="000000"/>
          <w:sz w:val="24"/>
          <w:szCs w:val="24"/>
          <w:lang w:eastAsia="es-CR"/>
        </w:rPr>
        <w:t>Coadyuvar al FONAFIFO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p>
    <w:p w:rsidR="00CB61E8" w:rsidRPr="00CB61E8" w:rsidRDefault="00CB61E8" w:rsidP="00CB61E8">
      <w:pPr>
        <w:pStyle w:val="Prrafodelista"/>
        <w:spacing w:after="0"/>
        <w:ind w:left="284"/>
        <w:jc w:val="both"/>
        <w:rPr>
          <w:rFonts w:ascii="Arial" w:hAnsi="Arial" w:cs="Arial"/>
          <w:bCs/>
          <w:sz w:val="24"/>
          <w:szCs w:val="24"/>
          <w:lang w:eastAsia="es-CR"/>
        </w:rPr>
      </w:pPr>
    </w:p>
    <w:p w:rsidR="00CB61E8" w:rsidRPr="00CB61E8" w:rsidRDefault="00CB61E8" w:rsidP="00CB61E8">
      <w:pPr>
        <w:jc w:val="both"/>
        <w:rPr>
          <w:rFonts w:ascii="Arial" w:hAnsi="Arial" w:cs="Arial"/>
          <w:sz w:val="24"/>
          <w:szCs w:val="24"/>
        </w:rPr>
      </w:pPr>
      <w:r w:rsidRPr="00CB61E8">
        <w:rPr>
          <w:rFonts w:ascii="Arial" w:hAnsi="Arial" w:cs="Arial"/>
          <w:sz w:val="24"/>
          <w:szCs w:val="24"/>
        </w:rPr>
        <w:t>En el año 2019, el país consolidó un proceso con el cual se cuenta con los cuatro pilares establecidos en la Convención Marco de Naciones Unidas para el Cambio Climático que le permiten demostrar acciones piloto de reducción de emisiones, como lo son: Estrategia Nacional REDD+, Nivel de Referencia de Emisiones Forestales, un Sistema Nacional de Monitoreo de Bosques y la construcción de un Sistema para Informar cómo se están abordando las Salvaguardas, incluyendo el primer resumen de información de salvaguardas para el período 2014-2015, junto al primer reporte de anexo técnico de REDD adjunto al Reporte Bienal de Actualización.</w:t>
      </w:r>
    </w:p>
    <w:p w:rsidR="00CB61E8" w:rsidRDefault="00CB61E8" w:rsidP="00CB61E8">
      <w:pPr>
        <w:jc w:val="both"/>
        <w:rPr>
          <w:rFonts w:ascii="Arial" w:hAnsi="Arial" w:cs="Arial"/>
          <w:sz w:val="24"/>
          <w:szCs w:val="24"/>
        </w:rPr>
      </w:pPr>
      <w:r w:rsidRPr="00CB61E8">
        <w:rPr>
          <w:rFonts w:ascii="Arial" w:hAnsi="Arial" w:cs="Arial"/>
          <w:sz w:val="24"/>
          <w:szCs w:val="24"/>
        </w:rPr>
        <w:t xml:space="preserve">Se está en la fase final del proceso de consulta con los 24 Pueblos Indígena, en el cual se visibiliza el gran aporte del proceso REDD bajo los cinco temas especiales establecidos por esta parte interesada, con grandes logros como: un programa de mediadores culturales que capacitó más de 140 personas indígenas de los 24 territorios en temas de cambio climático y REDD, entre otros;  la base para lo cual el Gobierno publicó el decreto de creación del Mecanismo General de Consulta a Pueblos Indígenas, el desarrollo de un Pago de Servicio Ambiental Indígena que promueve los primeros pasos de respecto a la autonomía y cosmovisión de los pueblos, el compromiso ministerial de crear y poner en operación una Comisión de Asuntos Indígenas del MINAE, en la cual se da seguimiento a los temas ambientales indígenas, los primeros pasos para la recuperación y saneamiento de los </w:t>
      </w:r>
    </w:p>
    <w:p w:rsidR="00CB61E8" w:rsidRDefault="00CB61E8" w:rsidP="00CB61E8">
      <w:pPr>
        <w:jc w:val="both"/>
        <w:rPr>
          <w:rFonts w:ascii="Arial" w:hAnsi="Arial" w:cs="Arial"/>
          <w:sz w:val="24"/>
          <w:szCs w:val="24"/>
        </w:rPr>
      </w:pPr>
    </w:p>
    <w:p w:rsidR="00CB61E8" w:rsidRDefault="00CB61E8" w:rsidP="00CB61E8">
      <w:pPr>
        <w:jc w:val="both"/>
        <w:rPr>
          <w:rFonts w:ascii="Arial" w:hAnsi="Arial" w:cs="Arial"/>
          <w:sz w:val="24"/>
          <w:szCs w:val="24"/>
        </w:rPr>
      </w:pPr>
    </w:p>
    <w:p w:rsidR="00CB61E8" w:rsidRPr="00CB61E8" w:rsidRDefault="00CB61E8" w:rsidP="00CB61E8">
      <w:pPr>
        <w:jc w:val="both"/>
        <w:rPr>
          <w:rFonts w:ascii="Arial" w:hAnsi="Arial" w:cs="Arial"/>
          <w:sz w:val="24"/>
          <w:szCs w:val="24"/>
        </w:rPr>
      </w:pPr>
      <w:r w:rsidRPr="00CB61E8">
        <w:rPr>
          <w:rFonts w:ascii="Arial" w:hAnsi="Arial" w:cs="Arial"/>
          <w:sz w:val="24"/>
          <w:szCs w:val="24"/>
        </w:rPr>
        <w:lastRenderedPageBreak/>
        <w:t>territorios indígenas, así como el desarrollo de los Planes Ambientales y Forestales Territoriales (PAFT), entre otros.</w:t>
      </w:r>
    </w:p>
    <w:p w:rsidR="00CB61E8" w:rsidRPr="00CB61E8" w:rsidRDefault="00CB61E8" w:rsidP="00CB61E8">
      <w:pPr>
        <w:jc w:val="both"/>
        <w:rPr>
          <w:rFonts w:ascii="Arial" w:hAnsi="Arial" w:cs="Arial"/>
          <w:sz w:val="24"/>
          <w:szCs w:val="24"/>
        </w:rPr>
      </w:pPr>
      <w:r w:rsidRPr="00CB61E8">
        <w:rPr>
          <w:rFonts w:ascii="Arial" w:hAnsi="Arial" w:cs="Arial"/>
          <w:sz w:val="24"/>
          <w:szCs w:val="24"/>
        </w:rPr>
        <w:t>Aunado a esto, el país cuenta con una plataforma que administrará toda la información sobre el estado de la cobertura y uso de la tierra y ecosistemas (SIMOCUTE), que soporta el sistema de monitoreo de bosques nacional y que se pilotean mejoras no solo al Inventario Nacional Forestal del cual fuimos los entes financiadores de su primera medición y ahora su primer porcentaje de remedición de parcelas, al aportar todo los equipos e instrumentos necesarios para realizarlo, sino que además se ha apoyado técnicamente las mejoras a éste, con el fin de robustecer la información nacional del estado de los bosques.</w:t>
      </w:r>
    </w:p>
    <w:p w:rsidR="00CB61E8" w:rsidRPr="00CB61E8" w:rsidRDefault="00CB61E8" w:rsidP="00CB61E8">
      <w:pPr>
        <w:jc w:val="both"/>
        <w:rPr>
          <w:rFonts w:ascii="Arial" w:hAnsi="Arial" w:cs="Arial"/>
          <w:sz w:val="24"/>
          <w:szCs w:val="24"/>
        </w:rPr>
      </w:pPr>
      <w:r w:rsidRPr="00CB61E8">
        <w:rPr>
          <w:rFonts w:ascii="Arial" w:hAnsi="Arial" w:cs="Arial"/>
          <w:sz w:val="24"/>
          <w:szCs w:val="24"/>
        </w:rPr>
        <w:t>Costa Rica cuenta además con un Plan de Acción de Género (PAG) para la Estratega REDD+, el cual es el primer plan de acción de género que desarrolla el país en materia climática y marca una ruta clara para continuar el trabajo en género y ambiente en Costa Rica, de manera que se impulsen acciones basadas en la naturaleza que promueven la participación de la mujer.</w:t>
      </w:r>
    </w:p>
    <w:p w:rsidR="00CB61E8" w:rsidRPr="00CB61E8" w:rsidRDefault="00CB61E8" w:rsidP="00CB61E8">
      <w:pPr>
        <w:jc w:val="both"/>
        <w:rPr>
          <w:rFonts w:ascii="Arial" w:hAnsi="Arial" w:cs="Arial"/>
          <w:sz w:val="24"/>
          <w:szCs w:val="24"/>
        </w:rPr>
      </w:pPr>
      <w:r w:rsidRPr="00CB61E8">
        <w:rPr>
          <w:rFonts w:ascii="Arial" w:hAnsi="Arial" w:cs="Arial"/>
          <w:sz w:val="24"/>
          <w:szCs w:val="24"/>
        </w:rPr>
        <w:t>Se encuentra estableciendo acciones ante el Fondo Verde del Clima y el Fondo de Carbono para inyectar recursos financieros a los programas actuales, de manera que, se pueda llevar a una plena implementación la Estrategia, cuyo vacío oscila en US$ 95 millones. Este plan de gestión de recursos incluye el acceso a diversos mecanismos y mercados, como lo son el Fondo Verde del Clima de la CMNUCC, mercados voluntarios bajo estándares internacionales (JNR de Verra) y privados (CORSIA), hasta proyectos con agencias internacionales de cooperación. El potencial de reducciones de emisiones para el período 2012-2025 es de aproximadamente 50 millones de toneladas de CO2e.</w:t>
      </w:r>
    </w:p>
    <w:p w:rsidR="00CB61E8" w:rsidRPr="00CB61E8" w:rsidRDefault="00CB61E8" w:rsidP="00CB61E8">
      <w:pPr>
        <w:jc w:val="both"/>
        <w:rPr>
          <w:rFonts w:ascii="Arial" w:hAnsi="Arial" w:cs="Arial"/>
          <w:b/>
          <w:sz w:val="24"/>
          <w:szCs w:val="24"/>
        </w:rPr>
      </w:pPr>
    </w:p>
    <w:p w:rsidR="00CB61E8" w:rsidRPr="00CB61E8" w:rsidRDefault="00CB61E8" w:rsidP="00CB61E8">
      <w:pPr>
        <w:pStyle w:val="Prrafodelista"/>
        <w:numPr>
          <w:ilvl w:val="0"/>
          <w:numId w:val="30"/>
        </w:numPr>
        <w:spacing w:after="0"/>
        <w:ind w:left="644"/>
        <w:contextualSpacing/>
        <w:jc w:val="both"/>
        <w:rPr>
          <w:rFonts w:ascii="Arial" w:hAnsi="Arial" w:cs="Arial"/>
          <w:b/>
          <w:sz w:val="24"/>
          <w:szCs w:val="24"/>
        </w:rPr>
      </w:pPr>
      <w:r w:rsidRPr="00CB61E8">
        <w:rPr>
          <w:rFonts w:ascii="Arial" w:hAnsi="Arial" w:cs="Arial"/>
          <w:b/>
          <w:color w:val="000000"/>
          <w:sz w:val="24"/>
          <w:szCs w:val="24"/>
          <w:lang w:eastAsia="es-CR"/>
        </w:rPr>
        <w:t>Colocar ¢1.042.406.466 de colones en operaciones de crédito dirigidos al sector forestal</w:t>
      </w:r>
      <w:r w:rsidRPr="00CB61E8">
        <w:rPr>
          <w:rFonts w:ascii="Arial" w:hAnsi="Arial" w:cs="Arial"/>
          <w:b/>
          <w:sz w:val="24"/>
          <w:szCs w:val="24"/>
        </w:rPr>
        <w:t>.</w:t>
      </w:r>
    </w:p>
    <w:p w:rsidR="00CB61E8" w:rsidRPr="00CB61E8" w:rsidRDefault="00CB61E8" w:rsidP="00CB61E8">
      <w:pPr>
        <w:pStyle w:val="Prrafodelista"/>
        <w:spacing w:after="0"/>
        <w:jc w:val="both"/>
        <w:rPr>
          <w:rFonts w:ascii="Arial" w:hAnsi="Arial" w:cs="Arial"/>
          <w:b/>
          <w:sz w:val="24"/>
          <w:szCs w:val="24"/>
        </w:rPr>
      </w:pPr>
    </w:p>
    <w:p w:rsidR="00CB61E8" w:rsidRPr="00CB61E8" w:rsidRDefault="00CB61E8" w:rsidP="00CB61E8">
      <w:pPr>
        <w:jc w:val="both"/>
        <w:rPr>
          <w:rFonts w:ascii="Arial" w:eastAsia="Times New Roman" w:hAnsi="Arial" w:cs="Arial"/>
          <w:bCs/>
          <w:sz w:val="24"/>
          <w:szCs w:val="24"/>
          <w:lang w:eastAsia="es-CR"/>
        </w:rPr>
      </w:pPr>
      <w:r w:rsidRPr="00CB61E8">
        <w:rPr>
          <w:rFonts w:ascii="Arial" w:eastAsia="Times New Roman" w:hAnsi="Arial" w:cs="Arial"/>
          <w:bCs/>
          <w:sz w:val="24"/>
          <w:szCs w:val="24"/>
          <w:lang w:eastAsia="es-CR"/>
        </w:rPr>
        <w:t xml:space="preserve">En el segundo semestre se logró la colocación de ¢340.730.412 de los ¢880.624.679 colocados durante todo el año, los cuales corresponden a un total de 90 operaciones de crédito. </w:t>
      </w:r>
    </w:p>
    <w:p w:rsidR="00ED4DF1" w:rsidRPr="00CB61E8" w:rsidRDefault="00ED4DF1" w:rsidP="00AE48B9">
      <w:pPr>
        <w:rPr>
          <w:rFonts w:ascii="Arial" w:hAnsi="Arial" w:cs="Arial"/>
          <w:b/>
          <w:sz w:val="24"/>
          <w:szCs w:val="24"/>
        </w:rPr>
      </w:pPr>
    </w:p>
    <w:p w:rsidR="00ED4DF1" w:rsidRDefault="00ED4DF1" w:rsidP="00AE48B9">
      <w:pPr>
        <w:rPr>
          <w:rFonts w:ascii="Arial" w:hAnsi="Arial" w:cs="Arial"/>
          <w:b/>
        </w:rPr>
      </w:pPr>
    </w:p>
    <w:p w:rsidR="00ED4DF1" w:rsidRDefault="00ED4DF1" w:rsidP="00AE48B9">
      <w:pPr>
        <w:rPr>
          <w:rFonts w:ascii="Arial" w:hAnsi="Arial" w:cs="Arial"/>
          <w:b/>
        </w:rPr>
      </w:pPr>
    </w:p>
    <w:p w:rsidR="00ED4DF1" w:rsidRDefault="00ED4DF1" w:rsidP="00AE48B9">
      <w:pPr>
        <w:rPr>
          <w:rFonts w:ascii="Arial" w:hAnsi="Arial" w:cs="Arial"/>
          <w:b/>
        </w:rPr>
      </w:pPr>
    </w:p>
    <w:p w:rsidR="00ED4DF1" w:rsidRDefault="00ED4DF1" w:rsidP="00AE48B9">
      <w:pPr>
        <w:rPr>
          <w:rFonts w:ascii="Arial" w:hAnsi="Arial" w:cs="Arial"/>
          <w:b/>
        </w:rPr>
      </w:pPr>
    </w:p>
    <w:p w:rsidR="00ED4DF1" w:rsidRDefault="00ED4DF1" w:rsidP="00AE48B9">
      <w:pPr>
        <w:rPr>
          <w:rFonts w:ascii="Arial" w:hAnsi="Arial" w:cs="Arial"/>
          <w:b/>
        </w:rPr>
      </w:pPr>
    </w:p>
    <w:p w:rsidR="00875B4D" w:rsidRDefault="00875B4D" w:rsidP="00AE48B9">
      <w:pPr>
        <w:rPr>
          <w:rFonts w:ascii="Arial" w:hAnsi="Arial" w:cs="Arial"/>
          <w:b/>
        </w:rPr>
      </w:pPr>
    </w:p>
    <w:p w:rsidR="00875B4D" w:rsidRDefault="00875B4D" w:rsidP="00AE48B9">
      <w:pPr>
        <w:rPr>
          <w:rFonts w:ascii="Arial" w:hAnsi="Arial" w:cs="Arial"/>
          <w:b/>
        </w:rPr>
      </w:pPr>
    </w:p>
    <w:p w:rsidR="00CB61E8" w:rsidRDefault="00CB61E8" w:rsidP="00AE48B9">
      <w:pPr>
        <w:rPr>
          <w:rFonts w:ascii="Arial" w:hAnsi="Arial" w:cs="Arial"/>
          <w:b/>
        </w:rPr>
      </w:pPr>
    </w:p>
    <w:p w:rsidR="00CB61E8" w:rsidRDefault="00CB61E8" w:rsidP="00AE48B9">
      <w:pPr>
        <w:rPr>
          <w:rFonts w:ascii="Arial" w:hAnsi="Arial" w:cs="Arial"/>
          <w:b/>
        </w:rPr>
      </w:pPr>
    </w:p>
    <w:p w:rsidR="00CB61E8" w:rsidRDefault="00CB61E8" w:rsidP="00AE48B9">
      <w:pPr>
        <w:rPr>
          <w:rFonts w:ascii="Arial" w:hAnsi="Arial" w:cs="Arial"/>
          <w:b/>
        </w:rPr>
      </w:pPr>
    </w:p>
    <w:p w:rsidR="00CB61E8" w:rsidRDefault="00CB61E8" w:rsidP="00AE48B9">
      <w:pPr>
        <w:rPr>
          <w:rFonts w:ascii="Arial" w:hAnsi="Arial" w:cs="Arial"/>
          <w:b/>
        </w:rPr>
      </w:pPr>
    </w:p>
    <w:p w:rsidR="00CB61E8" w:rsidRDefault="00CB61E8" w:rsidP="00AE48B9">
      <w:pPr>
        <w:rPr>
          <w:rFonts w:ascii="Arial" w:hAnsi="Arial" w:cs="Arial"/>
          <w:b/>
        </w:rPr>
      </w:pPr>
    </w:p>
    <w:p w:rsidR="00875B4D" w:rsidRDefault="00875B4D" w:rsidP="00AE48B9">
      <w:pPr>
        <w:rPr>
          <w:rFonts w:ascii="Arial" w:hAnsi="Arial" w:cs="Arial"/>
          <w:b/>
        </w:rPr>
      </w:pPr>
    </w:p>
    <w:p w:rsidR="00ED4DF1" w:rsidRDefault="00ED4DF1" w:rsidP="00AE48B9">
      <w:pPr>
        <w:rPr>
          <w:rFonts w:ascii="Arial" w:hAnsi="Arial" w:cs="Arial"/>
          <w:b/>
        </w:rPr>
      </w:pPr>
    </w:p>
    <w:p w:rsidR="00ED4DF1" w:rsidRDefault="00ED4DF1" w:rsidP="00AE48B9">
      <w:pPr>
        <w:rPr>
          <w:rFonts w:ascii="Arial" w:hAnsi="Arial" w:cs="Arial"/>
          <w:b/>
        </w:rPr>
      </w:pPr>
    </w:p>
    <w:p w:rsidR="00ED4DF1" w:rsidRDefault="00ED4DF1" w:rsidP="00AE48B9">
      <w:pPr>
        <w:rPr>
          <w:rFonts w:ascii="Arial" w:hAnsi="Arial" w:cs="Arial"/>
          <w:b/>
        </w:rPr>
      </w:pPr>
    </w:p>
    <w:p w:rsidR="00ED4DF1" w:rsidRDefault="00ED4DF1" w:rsidP="00AE48B9">
      <w:pPr>
        <w:rPr>
          <w:rFonts w:ascii="Arial" w:hAnsi="Arial" w:cs="Arial"/>
          <w:b/>
        </w:rPr>
      </w:pPr>
    </w:p>
    <w:p w:rsidR="00906CB7" w:rsidRDefault="00906CB7" w:rsidP="00AE48B9">
      <w:pPr>
        <w:rPr>
          <w:rFonts w:ascii="Arial" w:hAnsi="Arial" w:cs="Arial"/>
          <w:b/>
        </w:rPr>
      </w:pPr>
    </w:p>
    <w:p w:rsidR="00F73614" w:rsidRPr="009B4919" w:rsidRDefault="008B45F4" w:rsidP="009B4919">
      <w:pPr>
        <w:pStyle w:val="Ttulo1"/>
        <w:numPr>
          <w:ilvl w:val="0"/>
          <w:numId w:val="42"/>
        </w:numPr>
        <w:rPr>
          <w:rFonts w:ascii="Arial" w:hAnsi="Arial" w:cs="Arial"/>
          <w:b/>
          <w:szCs w:val="24"/>
        </w:rPr>
      </w:pPr>
      <w:bookmarkStart w:id="10" w:name="_Toc32593422"/>
      <w:r w:rsidRPr="009B4919">
        <w:rPr>
          <w:rFonts w:ascii="Arial" w:hAnsi="Arial" w:cs="Arial"/>
          <w:b/>
          <w:szCs w:val="24"/>
        </w:rPr>
        <w:t>Situación Económica Financiera</w:t>
      </w:r>
      <w:bookmarkEnd w:id="10"/>
    </w:p>
    <w:p w:rsidR="00D16FC4" w:rsidRPr="00015A4E" w:rsidRDefault="001C2AA8" w:rsidP="00015A4E">
      <w:pPr>
        <w:pStyle w:val="Prrafodelista"/>
        <w:ind w:left="1080"/>
        <w:contextualSpacing/>
        <w:jc w:val="center"/>
        <w:rPr>
          <w:rFonts w:ascii="Arial" w:hAnsi="Arial" w:cs="Arial"/>
          <w:b/>
        </w:rPr>
      </w:pPr>
      <w:r w:rsidRPr="00015A4E">
        <w:rPr>
          <w:rFonts w:ascii="Arial" w:hAnsi="Arial" w:cs="Arial"/>
          <w:b/>
        </w:rPr>
        <w:t xml:space="preserve">Estado de </w:t>
      </w:r>
      <w:r w:rsidR="00015A4E">
        <w:rPr>
          <w:rFonts w:ascii="Arial" w:hAnsi="Arial" w:cs="Arial"/>
          <w:b/>
        </w:rPr>
        <w:t>Situación Financiera C</w:t>
      </w:r>
      <w:r w:rsidRPr="00015A4E">
        <w:rPr>
          <w:rFonts w:ascii="Arial" w:hAnsi="Arial" w:cs="Arial"/>
          <w:b/>
        </w:rPr>
        <w:t>onsolidado</w:t>
      </w:r>
    </w:p>
    <w:p w:rsidR="001C2AA8" w:rsidRPr="00015A4E" w:rsidRDefault="001C2AA8" w:rsidP="00015A4E">
      <w:pPr>
        <w:pStyle w:val="Prrafodelista"/>
        <w:ind w:left="1080"/>
        <w:contextualSpacing/>
        <w:jc w:val="center"/>
        <w:rPr>
          <w:rFonts w:ascii="Arial" w:hAnsi="Arial" w:cs="Arial"/>
          <w:b/>
        </w:rPr>
      </w:pPr>
      <w:r w:rsidRPr="00015A4E">
        <w:rPr>
          <w:rFonts w:ascii="Arial" w:hAnsi="Arial" w:cs="Arial"/>
          <w:b/>
        </w:rPr>
        <w:t>Fideicomiso 544 FONAFIFO CONSOLIDADO – BNCR</w:t>
      </w:r>
    </w:p>
    <w:p w:rsidR="001C2AA8" w:rsidRPr="00015A4E" w:rsidRDefault="001C2AA8" w:rsidP="00015A4E">
      <w:pPr>
        <w:pStyle w:val="Prrafodelista"/>
        <w:ind w:left="1080"/>
        <w:contextualSpacing/>
        <w:jc w:val="center"/>
        <w:rPr>
          <w:rFonts w:ascii="Arial" w:hAnsi="Arial" w:cs="Arial"/>
          <w:b/>
        </w:rPr>
      </w:pPr>
      <w:r w:rsidRPr="00015A4E">
        <w:rPr>
          <w:rFonts w:ascii="Arial" w:hAnsi="Arial" w:cs="Arial"/>
          <w:b/>
        </w:rPr>
        <w:t xml:space="preserve">Al </w:t>
      </w:r>
      <w:r w:rsidR="00A4773F">
        <w:rPr>
          <w:rFonts w:ascii="Arial" w:hAnsi="Arial" w:cs="Arial"/>
          <w:b/>
        </w:rPr>
        <w:t>3</w:t>
      </w:r>
      <w:r w:rsidR="00C5401D">
        <w:rPr>
          <w:rFonts w:ascii="Arial" w:hAnsi="Arial" w:cs="Arial"/>
          <w:b/>
        </w:rPr>
        <w:t>1</w:t>
      </w:r>
      <w:r w:rsidR="00A4773F">
        <w:rPr>
          <w:rFonts w:ascii="Arial" w:hAnsi="Arial" w:cs="Arial"/>
          <w:b/>
        </w:rPr>
        <w:t xml:space="preserve"> de </w:t>
      </w:r>
      <w:r w:rsidR="00C5401D">
        <w:rPr>
          <w:rFonts w:ascii="Arial" w:hAnsi="Arial" w:cs="Arial"/>
          <w:b/>
        </w:rPr>
        <w:t>diciembre</w:t>
      </w:r>
      <w:r w:rsidR="00A4773F">
        <w:rPr>
          <w:rFonts w:ascii="Arial" w:hAnsi="Arial" w:cs="Arial"/>
          <w:b/>
        </w:rPr>
        <w:t xml:space="preserve"> del 2018 y 2019</w:t>
      </w:r>
    </w:p>
    <w:p w:rsidR="00015A4E" w:rsidRPr="00015A4E" w:rsidRDefault="00015A4E" w:rsidP="00442CA8">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0531" w:type="dxa"/>
        <w:tblCellMar>
          <w:left w:w="70" w:type="dxa"/>
          <w:right w:w="70" w:type="dxa"/>
        </w:tblCellMar>
        <w:tblLook w:val="04A0" w:firstRow="1" w:lastRow="0" w:firstColumn="1" w:lastColumn="0" w:noHBand="0" w:noVBand="1"/>
      </w:tblPr>
      <w:tblGrid>
        <w:gridCol w:w="3935"/>
        <w:gridCol w:w="513"/>
        <w:gridCol w:w="2007"/>
        <w:gridCol w:w="2157"/>
        <w:gridCol w:w="1919"/>
      </w:tblGrid>
      <w:tr w:rsidR="00EF1106" w:rsidRPr="00EF1106" w:rsidTr="00EF1106">
        <w:trPr>
          <w:trHeight w:val="206"/>
        </w:trPr>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EF1106" w:rsidRPr="00EF1106" w:rsidRDefault="00EF1106" w:rsidP="00EF1106">
            <w:pPr>
              <w:jc w:val="cente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Detalle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EF1106" w:rsidRPr="00EF1106" w:rsidRDefault="00EF1106" w:rsidP="00EF1106">
            <w:pPr>
              <w:jc w:val="cente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Nota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EF1106" w:rsidRPr="00EF1106" w:rsidRDefault="00EF1106" w:rsidP="00EF1106">
            <w:pPr>
              <w:jc w:val="cente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Saldos a diciembre 2018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EF1106" w:rsidRPr="00EF1106" w:rsidRDefault="00EF1106" w:rsidP="00EF1106">
            <w:pPr>
              <w:jc w:val="cente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Movimiento Interanual</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EF1106" w:rsidRPr="00EF1106" w:rsidRDefault="00EF1106" w:rsidP="00EF1106">
            <w:pPr>
              <w:jc w:val="cente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Saldo a diciembre 2019</w:t>
            </w:r>
          </w:p>
        </w:tc>
      </w:tr>
      <w:tr w:rsidR="00EF1106" w:rsidRPr="00EF1106" w:rsidTr="00EF1106">
        <w:trPr>
          <w:trHeight w:val="21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F1106" w:rsidRPr="00EF1106" w:rsidRDefault="00EF1106" w:rsidP="00EF1106">
            <w:pPr>
              <w:rPr>
                <w:rFonts w:ascii="Arial" w:eastAsia="Times New Roman"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F1106" w:rsidRPr="00EF1106" w:rsidRDefault="00EF1106" w:rsidP="00EF1106">
            <w:pPr>
              <w:rPr>
                <w:rFonts w:ascii="Arial" w:eastAsia="Times New Roman"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F1106" w:rsidRPr="00EF1106" w:rsidRDefault="00EF1106" w:rsidP="00EF1106">
            <w:pPr>
              <w:rPr>
                <w:rFonts w:ascii="Arial" w:eastAsia="Times New Roman"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F1106" w:rsidRPr="00EF1106" w:rsidRDefault="00EF1106" w:rsidP="00EF1106">
            <w:pPr>
              <w:rPr>
                <w:rFonts w:ascii="Arial" w:eastAsia="Times New Roman" w:hAnsi="Arial" w:cs="Arial"/>
                <w:b/>
                <w:bCs/>
                <w:color w:val="000000"/>
                <w:sz w:val="14"/>
                <w:szCs w:val="14"/>
                <w:lang w:val="es-MX"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F1106" w:rsidRPr="00EF1106" w:rsidRDefault="00EF1106" w:rsidP="00EF1106">
            <w:pPr>
              <w:rPr>
                <w:rFonts w:ascii="Arial" w:eastAsia="Times New Roman" w:hAnsi="Arial" w:cs="Arial"/>
                <w:b/>
                <w:bCs/>
                <w:color w:val="000000"/>
                <w:sz w:val="14"/>
                <w:szCs w:val="14"/>
                <w:lang w:val="es-MX" w:eastAsia="es-MX"/>
              </w:rPr>
            </w:pP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ACTIVOS</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u w:val="single"/>
                <w:lang w:val="es-MX" w:eastAsia="es-MX"/>
              </w:rPr>
            </w:pPr>
            <w:r w:rsidRPr="00EF1106">
              <w:rPr>
                <w:rFonts w:ascii="Arial" w:eastAsia="Times New Roman" w:hAnsi="Arial" w:cs="Arial"/>
                <w:b/>
                <w:bCs/>
                <w:color w:val="000000"/>
                <w:sz w:val="14"/>
                <w:szCs w:val="14"/>
                <w:u w:val="single"/>
                <w:lang w:val="es-MX" w:eastAsia="es-MX"/>
              </w:rPr>
              <w:t xml:space="preserve">Activos Corrientes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Efectivo del Fideicomiso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4</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3.044.646,30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375.194,96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2.669.451,34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Efectivo restringido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4</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0,01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936.263,32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936.263,33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Disponibilidades en Cuenta Corriente</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4</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293.328,60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447.832,30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741.160,90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Tesorería Nacional Caja Única del Estado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5</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1.241.688.963,87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247.246.617,82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994.442.346,05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Anticipos a Proveedores</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6</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669.910,35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953.656,31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1.623.566,66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Otras cuentas por cobrar</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7</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1.587.469,19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1.124.939,86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462.529,33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Cartera de Crédito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8</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194.634.775,14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34.557.479,99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160.077.295,15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Activo Corrientes</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1.441.919.093,46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280.966.480,70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1.160.952.612,76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u w:val="single"/>
                <w:lang w:val="es-MX" w:eastAsia="es-MX"/>
              </w:rPr>
            </w:pPr>
            <w:r w:rsidRPr="00EF1106">
              <w:rPr>
                <w:rFonts w:ascii="Arial" w:eastAsia="Times New Roman" w:hAnsi="Arial" w:cs="Arial"/>
                <w:b/>
                <w:bCs/>
                <w:color w:val="000000"/>
                <w:sz w:val="14"/>
                <w:szCs w:val="14"/>
                <w:u w:val="single"/>
                <w:lang w:val="es-MX" w:eastAsia="es-MX"/>
              </w:rPr>
              <w:t>Activos no Corrientes</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Tesorería Nacional Caja Única del Estado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5</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Cartera de Crédito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8</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2.766.653.069,03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360.970.634,60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3.127.623.703,63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Gastos Judiciales de cartera de crédito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9</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17.476.300,10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1.402.094,82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18.878.394,92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Propiedad Planta y Equipo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10</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400.248.202,12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11.351.263,83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411.599.465,95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Bienes y valores Adquir. Recup. Creditos de Vivienda</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11</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83.913.469,27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68.501.544,12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152.415.013,39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Activos Intangibles</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12</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14.307.160,89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37.013.693,37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51.320.854,26 </w:t>
            </w:r>
          </w:p>
        </w:tc>
      </w:tr>
      <w:tr w:rsidR="00EF1106" w:rsidRPr="00EF1106" w:rsidTr="00EF1106">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activos no corrientes</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3.282.598.201,41 </w:t>
            </w:r>
          </w:p>
        </w:tc>
        <w:tc>
          <w:tcPr>
            <w:tcW w:w="0" w:type="auto"/>
            <w:tcBorders>
              <w:top w:val="nil"/>
              <w:left w:val="nil"/>
              <w:bottom w:val="single" w:sz="8" w:space="0" w:color="auto"/>
              <w:right w:val="nil"/>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479.239.230,74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3.761.837.432,15 </w:t>
            </w:r>
          </w:p>
        </w:tc>
      </w:tr>
      <w:tr w:rsidR="00EF1106" w:rsidRPr="00EF1106" w:rsidTr="00EF1106">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ACTIVOS</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4.724.517.294,87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198.272.750,04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4.922.790.044,91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single" w:sz="8" w:space="0" w:color="auto"/>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PASIVO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u w:val="single"/>
                <w:lang w:val="es-MX" w:eastAsia="es-MX"/>
              </w:rPr>
            </w:pPr>
            <w:r w:rsidRPr="00EF1106">
              <w:rPr>
                <w:rFonts w:ascii="Arial" w:eastAsia="Times New Roman" w:hAnsi="Arial" w:cs="Arial"/>
                <w:b/>
                <w:bCs/>
                <w:color w:val="000000"/>
                <w:sz w:val="14"/>
                <w:szCs w:val="14"/>
                <w:u w:val="single"/>
                <w:lang w:val="es-MX" w:eastAsia="es-MX"/>
              </w:rPr>
              <w:t>Pasivo Corriente</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Cuentas por pagar y Provisiones</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13</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11.066.169,49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2.081.289,93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8.984.879,56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Retenciones por pagar</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14</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Intereses Ganados s/ carteras de crédito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15</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1.379.445,52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77.227,53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1.302.217,99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Impuesto municipales por pagar</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16</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420.549,05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420.549,05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Pasivo Corriente</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12.866.164,06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2.579.066,51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10.287.097,55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Pasivo No Corriente</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Garantía de cumplimiento</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17</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3.009.143,51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127.872,00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2.881.271,51 </w:t>
            </w:r>
          </w:p>
        </w:tc>
      </w:tr>
      <w:tr w:rsidR="00EF1106" w:rsidRPr="00EF1106" w:rsidTr="00EF1106">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Pasivo no Corriente</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3.009.143,51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127.872,00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2.881.271,51 </w:t>
            </w:r>
          </w:p>
        </w:tc>
      </w:tr>
      <w:tr w:rsidR="00EF1106" w:rsidRPr="00EF1106" w:rsidTr="00EF1106">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PASIVO</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15.875.307,57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2.706.938,51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13.168.369,06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PATRIMONIO</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Aportaciones de fideicomitentes netas</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18</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4.827.805.782,51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198.651.977,50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5.026.457.760,01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Superávit por revaluación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19</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131.367.000,00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131.367.000,00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Utilidades o pérdidas acumuladas</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20</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104.059.171,39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354.589.966,60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250.530.795,21 </w:t>
            </w:r>
          </w:p>
        </w:tc>
      </w:tr>
      <w:tr w:rsidR="00EF1106" w:rsidRPr="00EF1106" w:rsidTr="00EF1106">
        <w:trPr>
          <w:trHeight w:val="206"/>
        </w:trPr>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Utilidad o Pérdida del Periodo</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21</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354.589.966,60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356.917.677,65 </w:t>
            </w:r>
          </w:p>
        </w:tc>
        <w:tc>
          <w:tcPr>
            <w:tcW w:w="0" w:type="auto"/>
            <w:tcBorders>
              <w:top w:val="nil"/>
              <w:left w:val="single" w:sz="8" w:space="0" w:color="auto"/>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2.327.711,05 </w:t>
            </w:r>
          </w:p>
        </w:tc>
      </w:tr>
      <w:tr w:rsidR="00EF1106" w:rsidRPr="00EF1106" w:rsidTr="00EF1106">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Patrimonio</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4.708.641.987,30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200.979.688,55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4.909.621.675,85 </w:t>
            </w:r>
          </w:p>
        </w:tc>
      </w:tr>
      <w:tr w:rsidR="00EF1106" w:rsidRPr="00EF1106" w:rsidTr="00EF1106">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TOTAL PASIVO + PATRIMONIO</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4.724.517.294,87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198.272.750,04 </w:t>
            </w:r>
          </w:p>
        </w:tc>
        <w:tc>
          <w:tcPr>
            <w:tcW w:w="0" w:type="auto"/>
            <w:tcBorders>
              <w:top w:val="nil"/>
              <w:left w:val="nil"/>
              <w:bottom w:val="single" w:sz="8" w:space="0" w:color="auto"/>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b/>
                <w:bCs/>
                <w:color w:val="000000"/>
                <w:sz w:val="14"/>
                <w:szCs w:val="14"/>
                <w:lang w:val="es-MX" w:eastAsia="es-MX"/>
              </w:rPr>
            </w:pPr>
            <w:r w:rsidRPr="00EF1106">
              <w:rPr>
                <w:rFonts w:ascii="Arial" w:eastAsia="Times New Roman" w:hAnsi="Arial" w:cs="Arial"/>
                <w:b/>
                <w:bCs/>
                <w:color w:val="000000"/>
                <w:sz w:val="14"/>
                <w:szCs w:val="14"/>
                <w:lang w:val="es-MX" w:eastAsia="es-MX"/>
              </w:rPr>
              <w:t xml:space="preserve">   4.922.790.044,91 </w:t>
            </w:r>
          </w:p>
        </w:tc>
      </w:tr>
      <w:tr w:rsidR="00EF1106" w:rsidRPr="00EF1106" w:rsidTr="00EF1106">
        <w:trPr>
          <w:trHeight w:val="206"/>
        </w:trPr>
        <w:tc>
          <w:tcPr>
            <w:tcW w:w="0" w:type="auto"/>
            <w:tcBorders>
              <w:top w:val="nil"/>
              <w:left w:val="single" w:sz="8" w:space="0" w:color="auto"/>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Cuentas de orden Acre</w:t>
            </w:r>
            <w:r>
              <w:rPr>
                <w:rFonts w:ascii="Arial" w:eastAsia="Times New Roman" w:hAnsi="Arial" w:cs="Arial"/>
                <w:color w:val="000000"/>
                <w:sz w:val="14"/>
                <w:szCs w:val="14"/>
                <w:lang w:val="es-MX" w:eastAsia="es-MX"/>
              </w:rPr>
              <w:t>e</w:t>
            </w:r>
            <w:r w:rsidRPr="00EF1106">
              <w:rPr>
                <w:rFonts w:ascii="Arial" w:eastAsia="Times New Roman" w:hAnsi="Arial" w:cs="Arial"/>
                <w:color w:val="000000"/>
                <w:sz w:val="14"/>
                <w:szCs w:val="14"/>
                <w:lang w:val="es-MX" w:eastAsia="es-MX"/>
              </w:rPr>
              <w:t>doras</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22</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44.115.803,26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861.957,71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44.977.760,97 </w:t>
            </w:r>
          </w:p>
        </w:tc>
      </w:tr>
      <w:tr w:rsidR="00EF1106" w:rsidRPr="00EF1106" w:rsidTr="00EF1106">
        <w:trPr>
          <w:trHeight w:val="216"/>
        </w:trPr>
        <w:tc>
          <w:tcPr>
            <w:tcW w:w="0" w:type="auto"/>
            <w:tcBorders>
              <w:top w:val="nil"/>
              <w:left w:val="single" w:sz="8" w:space="0" w:color="auto"/>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Cuentas de orden  Deudoras</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jc w:val="right"/>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22</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44.115.803,26 </w:t>
            </w:r>
          </w:p>
        </w:tc>
        <w:tc>
          <w:tcPr>
            <w:tcW w:w="0" w:type="auto"/>
            <w:tcBorders>
              <w:top w:val="nil"/>
              <w:left w:val="nil"/>
              <w:bottom w:val="nil"/>
              <w:right w:val="nil"/>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861.957,71 </w:t>
            </w:r>
          </w:p>
        </w:tc>
        <w:tc>
          <w:tcPr>
            <w:tcW w:w="0" w:type="auto"/>
            <w:tcBorders>
              <w:top w:val="nil"/>
              <w:left w:val="nil"/>
              <w:bottom w:val="nil"/>
              <w:right w:val="single" w:sz="8" w:space="0" w:color="auto"/>
            </w:tcBorders>
            <w:shd w:val="clear" w:color="000000" w:fill="FFFFFF"/>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xml:space="preserve">         44.977.760,97 </w:t>
            </w:r>
          </w:p>
        </w:tc>
      </w:tr>
      <w:tr w:rsidR="00EF1106" w:rsidRPr="00EF1106" w:rsidTr="00EF1106">
        <w:trPr>
          <w:trHeight w:val="216"/>
        </w:trPr>
        <w:tc>
          <w:tcPr>
            <w:tcW w:w="0" w:type="auto"/>
            <w:tcBorders>
              <w:top w:val="single" w:sz="8" w:space="0" w:color="auto"/>
              <w:left w:val="single" w:sz="8" w:space="0" w:color="auto"/>
              <w:bottom w:val="single" w:sz="8" w:space="0" w:color="auto"/>
              <w:right w:val="nil"/>
            </w:tcBorders>
            <w:shd w:val="clear" w:color="000000" w:fill="00B050"/>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noWrap/>
            <w:vAlign w:val="bottom"/>
            <w:hideMark/>
          </w:tcPr>
          <w:p w:rsidR="00EF1106" w:rsidRPr="00EF1106" w:rsidRDefault="00EF1106" w:rsidP="00EF1106">
            <w:pPr>
              <w:rPr>
                <w:rFonts w:ascii="Arial" w:eastAsia="Times New Roman" w:hAnsi="Arial" w:cs="Arial"/>
                <w:color w:val="000000"/>
                <w:sz w:val="14"/>
                <w:szCs w:val="14"/>
                <w:lang w:val="es-MX" w:eastAsia="es-MX"/>
              </w:rPr>
            </w:pPr>
            <w:r w:rsidRPr="00EF1106">
              <w:rPr>
                <w:rFonts w:ascii="Arial" w:eastAsia="Times New Roman" w:hAnsi="Arial" w:cs="Arial"/>
                <w:color w:val="000000"/>
                <w:sz w:val="14"/>
                <w:szCs w:val="14"/>
                <w:lang w:val="es-MX" w:eastAsia="es-MX"/>
              </w:rPr>
              <w:t> </w:t>
            </w:r>
          </w:p>
        </w:tc>
      </w:tr>
    </w:tbl>
    <w:p w:rsidR="00CC6AF9" w:rsidRDefault="00CC6AF9" w:rsidP="00CD6F67">
      <w:pPr>
        <w:ind w:right="1372"/>
        <w:contextualSpacing/>
        <w:jc w:val="both"/>
        <w:rPr>
          <w:rFonts w:ascii="Arial" w:hAnsi="Arial" w:cs="Arial"/>
          <w:b/>
          <w:sz w:val="24"/>
          <w:szCs w:val="24"/>
        </w:rPr>
      </w:pPr>
    </w:p>
    <w:p w:rsidR="00FA24D4" w:rsidRDefault="00FA24D4" w:rsidP="00CD6F67">
      <w:pPr>
        <w:ind w:right="1372"/>
        <w:contextualSpacing/>
        <w:jc w:val="both"/>
        <w:rPr>
          <w:rFonts w:ascii="Arial" w:hAnsi="Arial" w:cs="Arial"/>
          <w:b/>
          <w:sz w:val="24"/>
          <w:szCs w:val="24"/>
        </w:rPr>
      </w:pPr>
    </w:p>
    <w:p w:rsidR="00F37A9C" w:rsidRDefault="00F37A9C" w:rsidP="00CD6F67">
      <w:pPr>
        <w:ind w:right="1372"/>
        <w:contextualSpacing/>
        <w:jc w:val="both"/>
        <w:rPr>
          <w:rFonts w:ascii="Arial" w:hAnsi="Arial" w:cs="Arial"/>
          <w:b/>
          <w:sz w:val="24"/>
          <w:szCs w:val="24"/>
        </w:rPr>
      </w:pPr>
    </w:p>
    <w:p w:rsidR="00F37A9C" w:rsidRPr="00CD6F67" w:rsidRDefault="00F37A9C" w:rsidP="00CD6F67">
      <w:pPr>
        <w:ind w:right="1372"/>
        <w:contextualSpacing/>
        <w:jc w:val="both"/>
        <w:rPr>
          <w:rFonts w:ascii="Arial" w:hAnsi="Arial" w:cs="Arial"/>
          <w:b/>
          <w:sz w:val="24"/>
          <w:szCs w:val="24"/>
        </w:rPr>
      </w:pPr>
    </w:p>
    <w:p w:rsidR="00353A87" w:rsidRPr="00273B4A" w:rsidRDefault="00353A87" w:rsidP="009B4919">
      <w:pPr>
        <w:pStyle w:val="Prrafodelista"/>
        <w:numPr>
          <w:ilvl w:val="1"/>
          <w:numId w:val="39"/>
        </w:numPr>
        <w:spacing w:after="0" w:line="240" w:lineRule="auto"/>
        <w:ind w:left="360" w:right="1372"/>
        <w:contextualSpacing/>
        <w:jc w:val="both"/>
        <w:outlineLvl w:val="1"/>
        <w:rPr>
          <w:rFonts w:ascii="Arial" w:eastAsia="SimSun" w:hAnsi="Arial" w:cs="Arial"/>
          <w:b/>
          <w:sz w:val="24"/>
          <w:szCs w:val="24"/>
          <w:lang w:eastAsia="es-ES"/>
        </w:rPr>
      </w:pPr>
      <w:bookmarkStart w:id="11" w:name="_Toc32593423"/>
      <w:r w:rsidRPr="00273B4A">
        <w:rPr>
          <w:rFonts w:ascii="Arial" w:eastAsia="SimSun" w:hAnsi="Arial" w:cs="Arial"/>
          <w:b/>
          <w:sz w:val="24"/>
          <w:szCs w:val="24"/>
          <w:lang w:eastAsia="es-ES"/>
        </w:rPr>
        <w:lastRenderedPageBreak/>
        <w:t>Balance de Situación Financiera</w:t>
      </w:r>
      <w:bookmarkEnd w:id="11"/>
      <w:r w:rsidRPr="00273B4A">
        <w:rPr>
          <w:rFonts w:ascii="Arial" w:eastAsia="SimSun" w:hAnsi="Arial" w:cs="Arial"/>
          <w:b/>
          <w:sz w:val="24"/>
          <w:szCs w:val="24"/>
          <w:lang w:eastAsia="es-ES"/>
        </w:rPr>
        <w:t xml:space="preserve"> </w:t>
      </w:r>
    </w:p>
    <w:p w:rsidR="00353A87" w:rsidRPr="00AB4C70" w:rsidRDefault="00353A87" w:rsidP="00353A87">
      <w:pPr>
        <w:pStyle w:val="Prrafodelista"/>
        <w:spacing w:after="0" w:line="240" w:lineRule="auto"/>
        <w:ind w:left="360" w:right="1372"/>
        <w:contextualSpacing/>
        <w:jc w:val="both"/>
        <w:rPr>
          <w:rFonts w:ascii="Arial" w:eastAsia="SimSun" w:hAnsi="Arial" w:cs="Arial"/>
          <w:b/>
          <w:color w:val="FF0000"/>
          <w:sz w:val="24"/>
          <w:szCs w:val="24"/>
          <w:highlight w:val="yellow"/>
          <w:lang w:val="es-AR" w:eastAsia="es-ES"/>
        </w:rPr>
      </w:pPr>
    </w:p>
    <w:p w:rsidR="00BC2BA0" w:rsidRDefault="00462B95" w:rsidP="008C30D6">
      <w:pPr>
        <w:ind w:left="720" w:right="567"/>
        <w:contextualSpacing/>
        <w:jc w:val="both"/>
        <w:rPr>
          <w:rFonts w:ascii="Arial" w:hAnsi="Arial" w:cs="Arial"/>
          <w:sz w:val="24"/>
          <w:szCs w:val="24"/>
        </w:rPr>
      </w:pPr>
      <w:r w:rsidRPr="00273B4A">
        <w:rPr>
          <w:rFonts w:ascii="Arial" w:hAnsi="Arial" w:cs="Arial"/>
          <w:b/>
          <w:sz w:val="22"/>
          <w:szCs w:val="22"/>
          <w:lang w:val="es-AR"/>
        </w:rPr>
        <w:t>Efectivo y equivalentes al efectivo</w:t>
      </w:r>
      <w:r w:rsidR="00353A87" w:rsidRPr="00273B4A">
        <w:rPr>
          <w:rFonts w:ascii="Arial" w:hAnsi="Arial" w:cs="Arial"/>
          <w:sz w:val="24"/>
          <w:szCs w:val="24"/>
        </w:rPr>
        <w:t xml:space="preserve"> </w:t>
      </w:r>
    </w:p>
    <w:p w:rsidR="000B139F" w:rsidRPr="00273B4A" w:rsidRDefault="000B139F" w:rsidP="008C30D6">
      <w:pPr>
        <w:ind w:left="720" w:right="567"/>
        <w:contextualSpacing/>
        <w:jc w:val="both"/>
        <w:rPr>
          <w:rFonts w:ascii="Arial" w:hAnsi="Arial" w:cs="Arial"/>
          <w:sz w:val="24"/>
          <w:szCs w:val="24"/>
        </w:rPr>
      </w:pPr>
    </w:p>
    <w:p w:rsidR="00462B95" w:rsidRPr="00273B4A" w:rsidRDefault="00BC2BA0" w:rsidP="00EC3A58">
      <w:pPr>
        <w:ind w:left="720" w:right="567"/>
        <w:contextualSpacing/>
        <w:jc w:val="both"/>
        <w:rPr>
          <w:rFonts w:ascii="Arial" w:hAnsi="Arial" w:cs="Arial"/>
          <w:sz w:val="24"/>
          <w:szCs w:val="24"/>
        </w:rPr>
      </w:pPr>
      <w:r w:rsidRPr="00273B4A">
        <w:rPr>
          <w:rFonts w:ascii="Arial" w:hAnsi="Arial" w:cs="Arial"/>
          <w:sz w:val="24"/>
          <w:szCs w:val="24"/>
        </w:rPr>
        <w:t xml:space="preserve">Al cierre del </w:t>
      </w:r>
      <w:r w:rsidR="00E50D09">
        <w:rPr>
          <w:rFonts w:ascii="Arial" w:hAnsi="Arial" w:cs="Arial"/>
          <w:sz w:val="24"/>
          <w:szCs w:val="24"/>
        </w:rPr>
        <w:t>segundo</w:t>
      </w:r>
      <w:r w:rsidR="00273B4A" w:rsidRPr="00273B4A">
        <w:rPr>
          <w:rFonts w:ascii="Arial" w:hAnsi="Arial" w:cs="Arial"/>
          <w:sz w:val="24"/>
          <w:szCs w:val="24"/>
        </w:rPr>
        <w:t xml:space="preserve"> semestre del 2019 presenta un saldo de </w:t>
      </w:r>
      <w:r w:rsidR="00273B4A" w:rsidRPr="00273B4A">
        <w:rPr>
          <w:rFonts w:ascii="Arial" w:hAnsi="Arial" w:cs="Arial"/>
          <w:b/>
          <w:sz w:val="24"/>
          <w:szCs w:val="24"/>
        </w:rPr>
        <w:t>¢</w:t>
      </w:r>
      <w:r w:rsidR="007A1F4C">
        <w:rPr>
          <w:rFonts w:ascii="Arial" w:hAnsi="Arial" w:cs="Arial"/>
          <w:b/>
          <w:sz w:val="24"/>
          <w:szCs w:val="24"/>
        </w:rPr>
        <w:t>846.028.295,57</w:t>
      </w:r>
      <w:r w:rsidRPr="00273B4A">
        <w:rPr>
          <w:rFonts w:ascii="Arial" w:hAnsi="Arial" w:cs="Arial"/>
          <w:sz w:val="24"/>
          <w:szCs w:val="24"/>
        </w:rPr>
        <w:t xml:space="preserve">, </w:t>
      </w:r>
      <w:r w:rsidR="00BA19E5" w:rsidRPr="00273B4A">
        <w:rPr>
          <w:rFonts w:ascii="Arial" w:hAnsi="Arial" w:cs="Arial"/>
          <w:sz w:val="24"/>
          <w:szCs w:val="24"/>
        </w:rPr>
        <w:t>se consideran</w:t>
      </w:r>
      <w:r w:rsidRPr="00273B4A">
        <w:rPr>
          <w:rFonts w:ascii="Arial" w:hAnsi="Arial" w:cs="Arial"/>
          <w:sz w:val="24"/>
          <w:szCs w:val="24"/>
        </w:rPr>
        <w:t xml:space="preserve"> equivalentes al efectivo las inversiones a corto plazo de gran liquidez, que son fácilmente convertibles en importes determinados de efectivo, estando sujetos a un riesgo poco significativo de cambio en su valor; por </w:t>
      </w:r>
      <w:r w:rsidR="00BA19E5" w:rsidRPr="00273B4A">
        <w:rPr>
          <w:rFonts w:ascii="Arial" w:hAnsi="Arial" w:cs="Arial"/>
          <w:sz w:val="24"/>
          <w:szCs w:val="24"/>
        </w:rPr>
        <w:t>tanto,</w:t>
      </w:r>
      <w:r w:rsidRPr="00273B4A">
        <w:rPr>
          <w:rFonts w:ascii="Arial" w:hAnsi="Arial" w:cs="Arial"/>
          <w:sz w:val="24"/>
          <w:szCs w:val="24"/>
        </w:rPr>
        <w:t xml:space="preserve"> se considera que una inversión será equivalente al efectivo cuando tenga vencimiento próximo de tres meses o menos desde la fecha de adquisición.</w:t>
      </w:r>
      <w:r w:rsidR="00EC3A58">
        <w:rPr>
          <w:rFonts w:ascii="Arial" w:hAnsi="Arial" w:cs="Arial"/>
          <w:sz w:val="24"/>
          <w:szCs w:val="24"/>
        </w:rPr>
        <w:t xml:space="preserve"> </w:t>
      </w:r>
      <w:r w:rsidR="00D34FA7" w:rsidRPr="00273B4A">
        <w:rPr>
          <w:rFonts w:ascii="Arial" w:hAnsi="Arial" w:cs="Arial"/>
          <w:sz w:val="24"/>
          <w:szCs w:val="24"/>
        </w:rPr>
        <w:t>El efectivo y los equivalentes de efectivo en lo referente a la preparación del estado de flujos de efectivo</w:t>
      </w:r>
      <w:r w:rsidR="00A6228E" w:rsidRPr="00273B4A">
        <w:rPr>
          <w:rFonts w:ascii="Arial" w:hAnsi="Arial" w:cs="Arial"/>
          <w:sz w:val="24"/>
          <w:szCs w:val="24"/>
        </w:rPr>
        <w:t>, están constituidos por el dinero en caja, depósitos bancarios altamente líquidos y que no representan un riesgo significativo en el momento de su liquidación.</w:t>
      </w:r>
    </w:p>
    <w:p w:rsidR="00462B95" w:rsidRPr="00AB4C70" w:rsidRDefault="00462B95" w:rsidP="00A6228E">
      <w:pPr>
        <w:ind w:right="567"/>
        <w:contextualSpacing/>
        <w:jc w:val="both"/>
        <w:rPr>
          <w:rFonts w:ascii="Arial" w:hAnsi="Arial" w:cs="Arial"/>
          <w:color w:val="FF0000"/>
          <w:sz w:val="22"/>
          <w:szCs w:val="22"/>
          <w:highlight w:val="yellow"/>
        </w:rPr>
      </w:pPr>
    </w:p>
    <w:p w:rsidR="00217B79" w:rsidRDefault="00353A87" w:rsidP="00353A87">
      <w:pPr>
        <w:ind w:left="720" w:right="567"/>
        <w:contextualSpacing/>
        <w:jc w:val="both"/>
        <w:rPr>
          <w:rFonts w:ascii="Arial" w:hAnsi="Arial" w:cs="Arial"/>
          <w:b/>
          <w:sz w:val="24"/>
          <w:szCs w:val="24"/>
          <w:lang w:val="es-ES_tradnl"/>
        </w:rPr>
      </w:pPr>
      <w:r w:rsidRPr="00D812EC">
        <w:rPr>
          <w:rFonts w:ascii="Arial" w:hAnsi="Arial" w:cs="Arial"/>
          <w:b/>
          <w:sz w:val="24"/>
          <w:szCs w:val="24"/>
          <w:lang w:val="es-ES_tradnl"/>
        </w:rPr>
        <w:t>Cuentas por cobrar</w:t>
      </w:r>
    </w:p>
    <w:p w:rsidR="000B139F" w:rsidRPr="00D812EC" w:rsidRDefault="000B139F" w:rsidP="00353A87">
      <w:pPr>
        <w:ind w:left="720" w:right="567"/>
        <w:contextualSpacing/>
        <w:jc w:val="both"/>
        <w:rPr>
          <w:rFonts w:ascii="Arial" w:hAnsi="Arial" w:cs="Arial"/>
          <w:b/>
          <w:sz w:val="24"/>
          <w:szCs w:val="24"/>
          <w:lang w:val="es-ES_tradnl"/>
        </w:rPr>
      </w:pPr>
    </w:p>
    <w:p w:rsidR="00353A87" w:rsidRPr="00D812EC" w:rsidRDefault="00217B79" w:rsidP="00353A87">
      <w:pPr>
        <w:ind w:left="720" w:right="567"/>
        <w:contextualSpacing/>
        <w:jc w:val="both"/>
        <w:rPr>
          <w:rFonts w:ascii="Arial" w:hAnsi="Arial" w:cs="Arial"/>
          <w:sz w:val="24"/>
          <w:szCs w:val="24"/>
          <w:lang w:val="es-ES_tradnl"/>
        </w:rPr>
      </w:pPr>
      <w:r w:rsidRPr="00D812EC">
        <w:rPr>
          <w:rFonts w:ascii="Arial" w:hAnsi="Arial" w:cs="Arial"/>
          <w:sz w:val="24"/>
          <w:szCs w:val="24"/>
          <w:lang w:val="es-ES_tradnl"/>
        </w:rPr>
        <w:t>C</w:t>
      </w:r>
      <w:r w:rsidR="00533F36" w:rsidRPr="00D812EC">
        <w:rPr>
          <w:rFonts w:ascii="Arial" w:hAnsi="Arial" w:cs="Arial"/>
          <w:sz w:val="24"/>
          <w:szCs w:val="24"/>
          <w:lang w:val="es-ES_tradnl"/>
        </w:rPr>
        <w:t>orresponden</w:t>
      </w:r>
      <w:r w:rsidR="00353A87" w:rsidRPr="00D812EC">
        <w:rPr>
          <w:rFonts w:ascii="Arial" w:hAnsi="Arial" w:cs="Arial"/>
          <w:sz w:val="24"/>
          <w:szCs w:val="24"/>
          <w:lang w:val="es-ES_tradnl"/>
        </w:rPr>
        <w:t xml:space="preserve"> a</w:t>
      </w:r>
      <w:r w:rsidR="00296EA0" w:rsidRPr="00D812EC">
        <w:rPr>
          <w:rFonts w:ascii="Arial" w:hAnsi="Arial" w:cs="Arial"/>
          <w:sz w:val="24"/>
          <w:szCs w:val="24"/>
          <w:lang w:val="es-ES_tradnl"/>
        </w:rPr>
        <w:t xml:space="preserve"> recursos que se encuentran en Caja Única del Estado</w:t>
      </w:r>
      <w:r w:rsidR="00533F36" w:rsidRPr="00D812EC">
        <w:rPr>
          <w:rFonts w:ascii="Arial" w:hAnsi="Arial" w:cs="Arial"/>
          <w:sz w:val="24"/>
          <w:szCs w:val="24"/>
          <w:lang w:val="es-ES_tradnl"/>
        </w:rPr>
        <w:t xml:space="preserve"> administrada por la Tesorería Nacional mientras no sea requerida para la concesión de créditos o para cumplir con lo fines del Fideicomiso, la</w:t>
      </w:r>
      <w:r w:rsidR="00A6228E" w:rsidRPr="00D812EC">
        <w:rPr>
          <w:rFonts w:ascii="Arial" w:hAnsi="Arial" w:cs="Arial"/>
          <w:sz w:val="24"/>
          <w:szCs w:val="24"/>
          <w:lang w:val="es-ES_tradnl"/>
        </w:rPr>
        <w:t>s</w:t>
      </w:r>
      <w:r w:rsidR="00533F36" w:rsidRPr="00D812EC">
        <w:rPr>
          <w:rFonts w:ascii="Arial" w:hAnsi="Arial" w:cs="Arial"/>
          <w:sz w:val="24"/>
          <w:szCs w:val="24"/>
          <w:lang w:val="es-ES_tradnl"/>
        </w:rPr>
        <w:t xml:space="preserve"> mismas se encuentran</w:t>
      </w:r>
      <w:r w:rsidR="00296EA0" w:rsidRPr="00D812EC">
        <w:rPr>
          <w:rFonts w:ascii="Arial" w:hAnsi="Arial" w:cs="Arial"/>
          <w:sz w:val="24"/>
          <w:szCs w:val="24"/>
          <w:lang w:val="es-ES_tradnl"/>
        </w:rPr>
        <w:t xml:space="preserve"> tanto</w:t>
      </w:r>
      <w:r w:rsidR="00CC440D" w:rsidRPr="00D812EC">
        <w:rPr>
          <w:rFonts w:ascii="Arial" w:hAnsi="Arial" w:cs="Arial"/>
          <w:sz w:val="24"/>
          <w:szCs w:val="24"/>
          <w:lang w:val="es-ES_tradnl"/>
        </w:rPr>
        <w:t xml:space="preserve"> en colones como e</w:t>
      </w:r>
      <w:r w:rsidRPr="00D812EC">
        <w:rPr>
          <w:rFonts w:ascii="Arial" w:hAnsi="Arial" w:cs="Arial"/>
          <w:sz w:val="24"/>
          <w:szCs w:val="24"/>
          <w:lang w:val="es-ES_tradnl"/>
        </w:rPr>
        <w:t xml:space="preserve">n dólares. Al cierre del </w:t>
      </w:r>
      <w:r w:rsidR="00807242">
        <w:rPr>
          <w:rFonts w:ascii="Arial" w:hAnsi="Arial" w:cs="Arial"/>
          <w:sz w:val="24"/>
          <w:szCs w:val="24"/>
          <w:lang w:val="es-ES_tradnl"/>
        </w:rPr>
        <w:t>segundo</w:t>
      </w:r>
      <w:r w:rsidR="001347D1" w:rsidRPr="00D812EC">
        <w:rPr>
          <w:rFonts w:ascii="Arial" w:hAnsi="Arial" w:cs="Arial"/>
          <w:sz w:val="24"/>
          <w:szCs w:val="24"/>
          <w:lang w:val="es-ES_tradnl"/>
        </w:rPr>
        <w:t xml:space="preserve"> </w:t>
      </w:r>
      <w:r w:rsidR="00273B4A" w:rsidRPr="00D812EC">
        <w:rPr>
          <w:rFonts w:ascii="Arial" w:hAnsi="Arial" w:cs="Arial"/>
          <w:sz w:val="24"/>
          <w:szCs w:val="24"/>
          <w:lang w:val="es-ES_tradnl"/>
        </w:rPr>
        <w:t>semestre del 2019</w:t>
      </w:r>
      <w:r w:rsidRPr="00D812EC">
        <w:rPr>
          <w:rFonts w:ascii="Arial" w:hAnsi="Arial" w:cs="Arial"/>
          <w:sz w:val="24"/>
          <w:szCs w:val="24"/>
          <w:lang w:val="es-ES_tradnl"/>
        </w:rPr>
        <w:t xml:space="preserve"> presentan un saldo de </w:t>
      </w:r>
      <w:r w:rsidR="00CC440D" w:rsidRPr="00D812EC">
        <w:rPr>
          <w:rFonts w:ascii="Arial" w:hAnsi="Arial" w:cs="Arial"/>
          <w:b/>
          <w:sz w:val="24"/>
          <w:szCs w:val="24"/>
          <w:lang w:val="es-ES_tradnl"/>
        </w:rPr>
        <w:t>¢</w:t>
      </w:r>
      <w:r w:rsidR="00807242">
        <w:rPr>
          <w:rFonts w:ascii="Arial" w:hAnsi="Arial" w:cs="Arial"/>
          <w:b/>
          <w:sz w:val="24"/>
          <w:szCs w:val="24"/>
          <w:lang w:val="es-ES_tradnl"/>
        </w:rPr>
        <w:t>994.442.346,05</w:t>
      </w:r>
    </w:p>
    <w:p w:rsidR="00BB1705" w:rsidRPr="00AB4C70" w:rsidRDefault="00BB1705" w:rsidP="00353A87">
      <w:pPr>
        <w:ind w:left="720" w:right="567"/>
        <w:contextualSpacing/>
        <w:jc w:val="both"/>
        <w:rPr>
          <w:rFonts w:ascii="Arial" w:hAnsi="Arial" w:cs="Arial"/>
          <w:sz w:val="24"/>
          <w:szCs w:val="24"/>
          <w:highlight w:val="yellow"/>
          <w:lang w:val="es-ES_tradnl"/>
        </w:rPr>
      </w:pPr>
    </w:p>
    <w:p w:rsidR="00BB1705" w:rsidRDefault="00BB1705" w:rsidP="00353A87">
      <w:pPr>
        <w:ind w:left="720" w:right="567"/>
        <w:contextualSpacing/>
        <w:jc w:val="both"/>
        <w:rPr>
          <w:rFonts w:ascii="Arial" w:hAnsi="Arial" w:cs="Arial"/>
          <w:b/>
          <w:sz w:val="24"/>
          <w:szCs w:val="24"/>
          <w:lang w:val="es-ES_tradnl"/>
        </w:rPr>
      </w:pPr>
      <w:r w:rsidRPr="00D812EC">
        <w:rPr>
          <w:rFonts w:ascii="Arial" w:hAnsi="Arial" w:cs="Arial"/>
          <w:b/>
          <w:sz w:val="24"/>
          <w:szCs w:val="24"/>
          <w:lang w:val="es-ES_tradnl"/>
        </w:rPr>
        <w:t>Cartera de crédito</w:t>
      </w:r>
    </w:p>
    <w:p w:rsidR="000B139F" w:rsidRPr="00D812EC" w:rsidRDefault="000B139F" w:rsidP="00353A87">
      <w:pPr>
        <w:ind w:left="720" w:right="567"/>
        <w:contextualSpacing/>
        <w:jc w:val="both"/>
        <w:rPr>
          <w:rFonts w:ascii="Arial" w:hAnsi="Arial" w:cs="Arial"/>
          <w:b/>
          <w:sz w:val="24"/>
          <w:szCs w:val="24"/>
          <w:lang w:val="es-ES_tradnl"/>
        </w:rPr>
      </w:pPr>
    </w:p>
    <w:p w:rsidR="00BB1705" w:rsidRPr="00D812EC" w:rsidRDefault="00BB1705" w:rsidP="00353A87">
      <w:pPr>
        <w:ind w:left="720" w:right="567"/>
        <w:contextualSpacing/>
        <w:jc w:val="both"/>
        <w:rPr>
          <w:rFonts w:ascii="Arial" w:hAnsi="Arial" w:cs="Arial"/>
          <w:sz w:val="24"/>
          <w:szCs w:val="24"/>
          <w:lang w:val="es-ES_tradnl"/>
        </w:rPr>
      </w:pPr>
      <w:r w:rsidRPr="00D812EC">
        <w:rPr>
          <w:rFonts w:ascii="Arial" w:hAnsi="Arial" w:cs="Arial"/>
          <w:sz w:val="24"/>
          <w:szCs w:val="24"/>
          <w:lang w:val="es-ES_tradnl"/>
        </w:rPr>
        <w:t xml:space="preserve">Corresponde a los créditos que se </w:t>
      </w:r>
      <w:r w:rsidR="0035473B" w:rsidRPr="00D812EC">
        <w:rPr>
          <w:rFonts w:ascii="Arial" w:hAnsi="Arial" w:cs="Arial"/>
          <w:sz w:val="24"/>
          <w:szCs w:val="24"/>
          <w:lang w:val="es-ES_tradnl"/>
        </w:rPr>
        <w:t>les</w:t>
      </w:r>
      <w:r w:rsidRPr="00D812EC">
        <w:rPr>
          <w:rFonts w:ascii="Arial" w:hAnsi="Arial" w:cs="Arial"/>
          <w:sz w:val="24"/>
          <w:szCs w:val="24"/>
          <w:lang w:val="es-ES_tradnl"/>
        </w:rPr>
        <w:t xml:space="preserve"> giran a los productores para </w:t>
      </w:r>
      <w:r w:rsidR="0035473B" w:rsidRPr="00D812EC">
        <w:rPr>
          <w:rFonts w:ascii="Arial" w:hAnsi="Arial" w:cs="Arial"/>
          <w:sz w:val="24"/>
          <w:szCs w:val="24"/>
          <w:lang w:val="es-ES_tradnl"/>
        </w:rPr>
        <w:t>e</w:t>
      </w:r>
      <w:r w:rsidRPr="00D812EC">
        <w:rPr>
          <w:rFonts w:ascii="Arial" w:hAnsi="Arial" w:cs="Arial"/>
          <w:sz w:val="24"/>
          <w:szCs w:val="24"/>
          <w:lang w:val="es-ES_tradnl"/>
        </w:rPr>
        <w:t>l fomento de manejo del bosque, intervenido o no, los procesos de forestación, reforestación, viveros forestales, sistemas agroforestales, recuperación de áreas denudadas y los cambios tecnológicos en aprovechamiento e industrialización de los recursos forestales, a</w:t>
      </w:r>
      <w:r w:rsidR="00B94505" w:rsidRPr="00D812EC">
        <w:rPr>
          <w:rFonts w:ascii="Arial" w:hAnsi="Arial" w:cs="Arial"/>
          <w:sz w:val="24"/>
          <w:szCs w:val="24"/>
          <w:lang w:val="es-ES_tradnl"/>
        </w:rPr>
        <w:t xml:space="preserve"> </w:t>
      </w:r>
      <w:r w:rsidRPr="00D812EC">
        <w:rPr>
          <w:rFonts w:ascii="Arial" w:hAnsi="Arial" w:cs="Arial"/>
          <w:sz w:val="24"/>
          <w:szCs w:val="24"/>
          <w:lang w:val="es-ES_tradnl"/>
        </w:rPr>
        <w:t xml:space="preserve">la fecha presenta un saldo de </w:t>
      </w:r>
      <w:r w:rsidRPr="00D812EC">
        <w:rPr>
          <w:rFonts w:ascii="Arial" w:hAnsi="Arial" w:cs="Arial"/>
          <w:b/>
          <w:sz w:val="24"/>
          <w:szCs w:val="24"/>
          <w:lang w:val="es-AR"/>
        </w:rPr>
        <w:t>¢</w:t>
      </w:r>
      <w:r w:rsidR="00502512">
        <w:rPr>
          <w:rFonts w:ascii="Arial" w:hAnsi="Arial" w:cs="Arial"/>
          <w:b/>
          <w:sz w:val="24"/>
          <w:szCs w:val="24"/>
          <w:lang w:val="es-AR"/>
        </w:rPr>
        <w:t>160.077.295,15</w:t>
      </w:r>
      <w:r w:rsidR="00D812EC" w:rsidRPr="00D812EC">
        <w:rPr>
          <w:rFonts w:ascii="Arial" w:hAnsi="Arial" w:cs="Arial"/>
          <w:b/>
          <w:sz w:val="24"/>
          <w:szCs w:val="24"/>
          <w:lang w:val="es-AR"/>
        </w:rPr>
        <w:t xml:space="preserve"> </w:t>
      </w:r>
      <w:r w:rsidR="00D812EC" w:rsidRPr="00D812EC">
        <w:rPr>
          <w:rFonts w:ascii="Arial" w:hAnsi="Arial" w:cs="Arial"/>
          <w:sz w:val="24"/>
          <w:szCs w:val="24"/>
          <w:lang w:val="es-AR"/>
        </w:rPr>
        <w:t>a corto plazo y</w:t>
      </w:r>
      <w:r w:rsidR="00D812EC" w:rsidRPr="00D812EC">
        <w:rPr>
          <w:rFonts w:ascii="Arial" w:hAnsi="Arial" w:cs="Arial"/>
          <w:b/>
          <w:sz w:val="24"/>
          <w:szCs w:val="24"/>
          <w:lang w:val="es-AR"/>
        </w:rPr>
        <w:t xml:space="preserve"> ¢</w:t>
      </w:r>
      <w:r w:rsidR="00502512">
        <w:rPr>
          <w:rFonts w:ascii="Arial" w:hAnsi="Arial" w:cs="Arial"/>
          <w:b/>
          <w:sz w:val="24"/>
          <w:szCs w:val="24"/>
          <w:lang w:val="es-AR"/>
        </w:rPr>
        <w:t>3.127.623.703</w:t>
      </w:r>
      <w:r w:rsidR="00D812EC" w:rsidRPr="00D812EC">
        <w:rPr>
          <w:rFonts w:ascii="Arial" w:hAnsi="Arial" w:cs="Arial"/>
          <w:b/>
          <w:sz w:val="24"/>
          <w:szCs w:val="24"/>
          <w:lang w:val="es-AR"/>
        </w:rPr>
        <w:t>,</w:t>
      </w:r>
      <w:r w:rsidR="00502512">
        <w:rPr>
          <w:rFonts w:ascii="Arial" w:hAnsi="Arial" w:cs="Arial"/>
          <w:b/>
          <w:sz w:val="24"/>
          <w:szCs w:val="24"/>
          <w:lang w:val="es-AR"/>
        </w:rPr>
        <w:t>63</w:t>
      </w:r>
      <w:r w:rsidR="00D812EC" w:rsidRPr="00D812EC">
        <w:rPr>
          <w:rFonts w:ascii="Arial" w:hAnsi="Arial" w:cs="Arial"/>
          <w:b/>
          <w:sz w:val="24"/>
          <w:szCs w:val="24"/>
          <w:lang w:val="es-AR"/>
        </w:rPr>
        <w:t xml:space="preserve"> </w:t>
      </w:r>
      <w:r w:rsidR="00D812EC" w:rsidRPr="00D812EC">
        <w:rPr>
          <w:rFonts w:ascii="Arial" w:hAnsi="Arial" w:cs="Arial"/>
          <w:sz w:val="24"/>
          <w:szCs w:val="24"/>
          <w:lang w:val="es-AR"/>
        </w:rPr>
        <w:t>a largo plazo.</w:t>
      </w:r>
    </w:p>
    <w:p w:rsidR="001004E6" w:rsidRPr="00AB4C70" w:rsidRDefault="001004E6" w:rsidP="00460593">
      <w:pPr>
        <w:ind w:right="567"/>
        <w:contextualSpacing/>
        <w:jc w:val="both"/>
        <w:rPr>
          <w:rFonts w:ascii="Arial" w:hAnsi="Arial" w:cs="Arial"/>
          <w:color w:val="FF0000"/>
          <w:sz w:val="24"/>
          <w:szCs w:val="24"/>
          <w:highlight w:val="yellow"/>
          <w:lang w:val="es-AR"/>
        </w:rPr>
      </w:pPr>
    </w:p>
    <w:p w:rsidR="00522A76" w:rsidRPr="00522A76" w:rsidRDefault="00522A76" w:rsidP="00EC3A58">
      <w:pPr>
        <w:ind w:right="567"/>
        <w:contextualSpacing/>
        <w:jc w:val="both"/>
        <w:rPr>
          <w:rFonts w:ascii="Arial" w:hAnsi="Arial" w:cs="Arial"/>
          <w:b/>
          <w:sz w:val="24"/>
          <w:szCs w:val="24"/>
          <w:lang w:val="es-AR"/>
        </w:rPr>
      </w:pPr>
    </w:p>
    <w:p w:rsidR="00C23374" w:rsidRDefault="006104FC" w:rsidP="00353A87">
      <w:pPr>
        <w:ind w:left="720" w:right="567"/>
        <w:contextualSpacing/>
        <w:jc w:val="both"/>
        <w:rPr>
          <w:rFonts w:ascii="Arial" w:hAnsi="Arial" w:cs="Arial"/>
          <w:b/>
          <w:sz w:val="24"/>
          <w:szCs w:val="24"/>
          <w:lang w:val="es-AR"/>
        </w:rPr>
      </w:pPr>
      <w:r w:rsidRPr="00522A76">
        <w:rPr>
          <w:rFonts w:ascii="Arial" w:hAnsi="Arial" w:cs="Arial"/>
          <w:b/>
          <w:sz w:val="24"/>
          <w:szCs w:val="24"/>
          <w:lang w:val="es-AR"/>
        </w:rPr>
        <w:t>Propiedad, Planta y Equipo</w:t>
      </w:r>
    </w:p>
    <w:p w:rsidR="000B139F" w:rsidRPr="00522A76" w:rsidRDefault="000B139F" w:rsidP="00353A87">
      <w:pPr>
        <w:ind w:left="720" w:right="567"/>
        <w:contextualSpacing/>
        <w:jc w:val="both"/>
        <w:rPr>
          <w:rFonts w:ascii="Arial" w:hAnsi="Arial" w:cs="Arial"/>
          <w:b/>
          <w:sz w:val="24"/>
          <w:szCs w:val="24"/>
          <w:lang w:val="es-AR"/>
        </w:rPr>
      </w:pPr>
    </w:p>
    <w:p w:rsidR="00522A76" w:rsidRDefault="00E147E9" w:rsidP="00522A76">
      <w:pPr>
        <w:ind w:left="720" w:right="567"/>
        <w:contextualSpacing/>
        <w:jc w:val="both"/>
        <w:rPr>
          <w:rFonts w:ascii="Arial" w:hAnsi="Arial" w:cs="Arial"/>
          <w:b/>
          <w:sz w:val="24"/>
          <w:szCs w:val="24"/>
          <w:lang w:val="es-AR"/>
        </w:rPr>
      </w:pPr>
      <w:r w:rsidRPr="00522A76">
        <w:rPr>
          <w:rFonts w:ascii="Arial" w:hAnsi="Arial" w:cs="Arial"/>
          <w:sz w:val="24"/>
          <w:szCs w:val="24"/>
          <w:lang w:val="es-AR"/>
        </w:rPr>
        <w:t>Corresponde</w:t>
      </w:r>
      <w:r w:rsidR="00296EA0" w:rsidRPr="00522A76">
        <w:rPr>
          <w:rFonts w:ascii="Arial" w:hAnsi="Arial" w:cs="Arial"/>
          <w:sz w:val="24"/>
          <w:szCs w:val="24"/>
          <w:lang w:val="es-AR"/>
        </w:rPr>
        <w:t xml:space="preserve"> a todas las compras que realiza el fideicomiso de mobiliarios, maquinaria, equipo de computación, comunicación y vehículos que </w:t>
      </w:r>
      <w:r w:rsidR="001004E6" w:rsidRPr="00522A76">
        <w:rPr>
          <w:rFonts w:ascii="Arial" w:hAnsi="Arial" w:cs="Arial"/>
          <w:sz w:val="24"/>
          <w:szCs w:val="24"/>
          <w:lang w:val="es-AR"/>
        </w:rPr>
        <w:t>se registran al costo de adquisición, las ganancias o pérdidas resultantes de la venta o retiro de activos fijos se reconocen en los resultados del año en que se realiza, así como los gastos por reparación y mantenimiento que no extienden la vida útil estimada de los activos. Las mejoras que extienden la vida útil de los activos o que incrementan su capacidad productiva son capitalizadas.</w:t>
      </w:r>
      <w:r w:rsidR="00166906" w:rsidRPr="00522A76">
        <w:rPr>
          <w:rFonts w:ascii="Arial" w:hAnsi="Arial" w:cs="Arial"/>
          <w:sz w:val="24"/>
          <w:szCs w:val="24"/>
          <w:lang w:val="es-AR"/>
        </w:rPr>
        <w:t xml:space="preserve"> Este periodo </w:t>
      </w:r>
      <w:r w:rsidR="00741B9E" w:rsidRPr="00522A76">
        <w:rPr>
          <w:rFonts w:ascii="Arial" w:hAnsi="Arial" w:cs="Arial"/>
          <w:sz w:val="24"/>
          <w:szCs w:val="24"/>
          <w:lang w:val="es-AR"/>
        </w:rPr>
        <w:t>cerró</w:t>
      </w:r>
      <w:r w:rsidR="00166906" w:rsidRPr="00522A76">
        <w:rPr>
          <w:rFonts w:ascii="Arial" w:hAnsi="Arial" w:cs="Arial"/>
          <w:sz w:val="24"/>
          <w:szCs w:val="24"/>
          <w:lang w:val="es-AR"/>
        </w:rPr>
        <w:t xml:space="preserve"> con un monto de </w:t>
      </w:r>
      <w:r w:rsidR="00DC7644" w:rsidRPr="00522A76">
        <w:rPr>
          <w:rFonts w:ascii="Arial" w:hAnsi="Arial" w:cs="Arial"/>
          <w:b/>
          <w:sz w:val="24"/>
          <w:szCs w:val="24"/>
          <w:lang w:val="es-AR"/>
        </w:rPr>
        <w:t>¢</w:t>
      </w:r>
      <w:r w:rsidR="00522A76" w:rsidRPr="00522A76">
        <w:rPr>
          <w:rFonts w:ascii="Arial" w:hAnsi="Arial" w:cs="Arial"/>
          <w:b/>
          <w:sz w:val="24"/>
          <w:szCs w:val="24"/>
          <w:lang w:val="es-AR"/>
        </w:rPr>
        <w:t>4</w:t>
      </w:r>
      <w:r w:rsidR="007212DA">
        <w:rPr>
          <w:rFonts w:ascii="Arial" w:hAnsi="Arial" w:cs="Arial"/>
          <w:b/>
          <w:sz w:val="24"/>
          <w:szCs w:val="24"/>
          <w:lang w:val="es-AR"/>
        </w:rPr>
        <w:t>11</w:t>
      </w:r>
      <w:r w:rsidR="00522A76" w:rsidRPr="00522A76">
        <w:rPr>
          <w:rFonts w:ascii="Arial" w:hAnsi="Arial" w:cs="Arial"/>
          <w:b/>
          <w:sz w:val="24"/>
          <w:szCs w:val="24"/>
          <w:lang w:val="es-AR"/>
        </w:rPr>
        <w:t>.</w:t>
      </w:r>
      <w:r w:rsidR="007212DA">
        <w:rPr>
          <w:rFonts w:ascii="Arial" w:hAnsi="Arial" w:cs="Arial"/>
          <w:b/>
          <w:sz w:val="24"/>
          <w:szCs w:val="24"/>
          <w:lang w:val="es-AR"/>
        </w:rPr>
        <w:t>599.465,95</w:t>
      </w:r>
    </w:p>
    <w:p w:rsidR="007212DA" w:rsidRDefault="007212DA" w:rsidP="00522A76">
      <w:pPr>
        <w:ind w:left="720" w:right="567"/>
        <w:contextualSpacing/>
        <w:jc w:val="both"/>
        <w:rPr>
          <w:rFonts w:ascii="Arial" w:hAnsi="Arial" w:cs="Arial"/>
          <w:b/>
          <w:sz w:val="24"/>
          <w:szCs w:val="24"/>
          <w:lang w:val="es-AR"/>
        </w:rPr>
      </w:pPr>
    </w:p>
    <w:p w:rsidR="007212DA" w:rsidRDefault="007212DA" w:rsidP="00522A76">
      <w:pPr>
        <w:ind w:left="720" w:right="567"/>
        <w:contextualSpacing/>
        <w:jc w:val="both"/>
        <w:rPr>
          <w:rFonts w:ascii="Arial" w:hAnsi="Arial" w:cs="Arial"/>
          <w:sz w:val="24"/>
          <w:szCs w:val="24"/>
          <w:lang w:val="es-AR"/>
        </w:rPr>
      </w:pPr>
    </w:p>
    <w:p w:rsidR="00522A76" w:rsidRDefault="00522A76" w:rsidP="00522A76">
      <w:pPr>
        <w:ind w:left="720" w:right="567"/>
        <w:contextualSpacing/>
        <w:jc w:val="both"/>
        <w:rPr>
          <w:rFonts w:ascii="Arial" w:hAnsi="Arial" w:cs="Arial"/>
          <w:sz w:val="24"/>
          <w:szCs w:val="24"/>
          <w:lang w:val="es-AR"/>
        </w:rPr>
      </w:pPr>
    </w:p>
    <w:p w:rsidR="00691B12" w:rsidRDefault="00691B12" w:rsidP="007212DA">
      <w:pPr>
        <w:ind w:left="720" w:right="567"/>
        <w:contextualSpacing/>
        <w:jc w:val="both"/>
        <w:rPr>
          <w:rFonts w:ascii="Arial" w:hAnsi="Arial" w:cs="Arial"/>
          <w:b/>
          <w:sz w:val="24"/>
          <w:szCs w:val="24"/>
          <w:lang w:val="es-AR"/>
        </w:rPr>
      </w:pPr>
      <w:r w:rsidRPr="00522A76">
        <w:rPr>
          <w:rFonts w:ascii="Arial" w:hAnsi="Arial" w:cs="Arial"/>
          <w:b/>
          <w:sz w:val="24"/>
          <w:szCs w:val="24"/>
          <w:lang w:val="es-AR"/>
        </w:rPr>
        <w:lastRenderedPageBreak/>
        <w:t>Bienes y valores adquiridos recuperación de vivienda</w:t>
      </w:r>
      <w:r w:rsidR="007212DA" w:rsidRPr="007212DA">
        <w:rPr>
          <w:rFonts w:ascii="Arial" w:hAnsi="Arial" w:cs="Arial"/>
          <w:b/>
          <w:sz w:val="24"/>
          <w:szCs w:val="24"/>
          <w:lang w:val="es-AR"/>
        </w:rPr>
        <w:t xml:space="preserve"> y estimación por deterioro.</w:t>
      </w:r>
    </w:p>
    <w:p w:rsidR="000B139F" w:rsidRPr="00522A76" w:rsidRDefault="000B139F" w:rsidP="00522A76">
      <w:pPr>
        <w:ind w:left="720" w:right="567"/>
        <w:contextualSpacing/>
        <w:jc w:val="both"/>
        <w:rPr>
          <w:rFonts w:ascii="Arial" w:hAnsi="Arial" w:cs="Arial"/>
          <w:sz w:val="24"/>
          <w:szCs w:val="24"/>
          <w:lang w:val="es-AR"/>
        </w:rPr>
      </w:pPr>
    </w:p>
    <w:p w:rsidR="00691B12" w:rsidRPr="00522A76" w:rsidRDefault="00633616" w:rsidP="001004E6">
      <w:pPr>
        <w:ind w:left="720" w:right="567"/>
        <w:contextualSpacing/>
        <w:jc w:val="both"/>
        <w:rPr>
          <w:rFonts w:ascii="Arial" w:hAnsi="Arial" w:cs="Arial"/>
          <w:b/>
          <w:sz w:val="24"/>
          <w:szCs w:val="24"/>
          <w:lang w:val="es-AR"/>
        </w:rPr>
      </w:pPr>
      <w:r w:rsidRPr="00522A76">
        <w:rPr>
          <w:rFonts w:ascii="Arial" w:hAnsi="Arial" w:cs="Arial"/>
          <w:sz w:val="24"/>
          <w:szCs w:val="24"/>
          <w:lang w:val="es-AR"/>
        </w:rPr>
        <w:t xml:space="preserve">Esta cuenta presenta un saldo de </w:t>
      </w:r>
      <w:r w:rsidRPr="00522A76">
        <w:rPr>
          <w:rFonts w:ascii="Arial" w:hAnsi="Arial" w:cs="Arial"/>
          <w:b/>
          <w:sz w:val="24"/>
          <w:szCs w:val="24"/>
          <w:lang w:val="es-AR"/>
        </w:rPr>
        <w:t>¢</w:t>
      </w:r>
      <w:r w:rsidR="007212DA">
        <w:rPr>
          <w:rFonts w:ascii="Arial" w:hAnsi="Arial" w:cs="Arial"/>
          <w:b/>
          <w:sz w:val="24"/>
          <w:szCs w:val="24"/>
          <w:lang w:val="es-AR"/>
        </w:rPr>
        <w:t>152.415.013,39</w:t>
      </w:r>
      <w:r w:rsidRPr="00522A76">
        <w:rPr>
          <w:rFonts w:ascii="Arial" w:hAnsi="Arial" w:cs="Arial"/>
          <w:b/>
          <w:sz w:val="24"/>
          <w:szCs w:val="24"/>
          <w:lang w:val="es-AR"/>
        </w:rPr>
        <w:t xml:space="preserve"> </w:t>
      </w:r>
      <w:r w:rsidRPr="00522A76">
        <w:rPr>
          <w:rFonts w:ascii="Arial" w:hAnsi="Arial" w:cs="Arial"/>
          <w:sz w:val="24"/>
          <w:szCs w:val="24"/>
          <w:lang w:val="es-AR"/>
        </w:rPr>
        <w:t>e</w:t>
      </w:r>
      <w:r w:rsidRPr="00522A76">
        <w:rPr>
          <w:rFonts w:ascii="Arial" w:hAnsi="Arial" w:cs="Arial"/>
          <w:b/>
          <w:sz w:val="24"/>
          <w:szCs w:val="24"/>
          <w:lang w:val="es-AR"/>
        </w:rPr>
        <w:t xml:space="preserve"> </w:t>
      </w:r>
      <w:r w:rsidRPr="00522A76">
        <w:rPr>
          <w:rFonts w:ascii="Arial" w:hAnsi="Arial" w:cs="Arial"/>
          <w:sz w:val="24"/>
          <w:szCs w:val="24"/>
          <w:lang w:val="es-AR"/>
        </w:rPr>
        <w:t>incluye</w:t>
      </w:r>
      <w:r w:rsidRPr="00522A76">
        <w:rPr>
          <w:rFonts w:ascii="Arial" w:hAnsi="Arial" w:cs="Arial"/>
          <w:sz w:val="24"/>
          <w:szCs w:val="24"/>
        </w:rPr>
        <w:t xml:space="preserve"> los bienes adquiridos en recuperación de créditos, los bienes adquiridos para ser entregados en arrendamiento financiero, los bienes adquiridos o producidos para la venta, los bienes fuera del uso y otros bienes realizables. Se incluye también la estimación para desvalorización de estos bienes.</w:t>
      </w:r>
    </w:p>
    <w:p w:rsidR="00691B12" w:rsidRPr="00AB4C70" w:rsidRDefault="00691B12" w:rsidP="001004E6">
      <w:pPr>
        <w:ind w:left="720" w:right="567"/>
        <w:contextualSpacing/>
        <w:jc w:val="both"/>
        <w:rPr>
          <w:rFonts w:ascii="Arial" w:hAnsi="Arial" w:cs="Arial"/>
          <w:b/>
          <w:color w:val="FF0000"/>
          <w:sz w:val="22"/>
          <w:szCs w:val="22"/>
          <w:highlight w:val="yellow"/>
          <w:lang w:val="es-AR"/>
        </w:rPr>
      </w:pPr>
    </w:p>
    <w:p w:rsidR="000F668F" w:rsidRDefault="00353A87" w:rsidP="001004E6">
      <w:pPr>
        <w:ind w:left="720" w:right="567"/>
        <w:contextualSpacing/>
        <w:jc w:val="both"/>
        <w:rPr>
          <w:rFonts w:ascii="Arial" w:hAnsi="Arial" w:cs="Arial"/>
          <w:b/>
          <w:sz w:val="24"/>
          <w:szCs w:val="24"/>
          <w:lang w:val="es-AR"/>
        </w:rPr>
      </w:pPr>
      <w:r w:rsidRPr="00A26A2F">
        <w:rPr>
          <w:rFonts w:ascii="Arial" w:hAnsi="Arial" w:cs="Arial"/>
          <w:b/>
          <w:sz w:val="24"/>
          <w:szCs w:val="24"/>
          <w:lang w:val="es-AR"/>
        </w:rPr>
        <w:t>Cuentas por pagar</w:t>
      </w:r>
      <w:r w:rsidR="008B4A4C" w:rsidRPr="00A26A2F">
        <w:rPr>
          <w:rFonts w:ascii="Arial" w:hAnsi="Arial" w:cs="Arial"/>
          <w:b/>
          <w:sz w:val="24"/>
          <w:szCs w:val="24"/>
          <w:lang w:val="es-AR"/>
        </w:rPr>
        <w:t xml:space="preserve"> y provisiones</w:t>
      </w:r>
    </w:p>
    <w:p w:rsidR="000B139F" w:rsidRPr="00A26A2F" w:rsidRDefault="000B139F" w:rsidP="001004E6">
      <w:pPr>
        <w:ind w:left="720" w:right="567"/>
        <w:contextualSpacing/>
        <w:jc w:val="both"/>
        <w:rPr>
          <w:rFonts w:ascii="Arial" w:hAnsi="Arial" w:cs="Arial"/>
          <w:b/>
          <w:sz w:val="24"/>
          <w:szCs w:val="24"/>
          <w:lang w:val="es-AR"/>
        </w:rPr>
      </w:pPr>
    </w:p>
    <w:p w:rsidR="00296EA0" w:rsidRPr="00A26A2F" w:rsidRDefault="000F668F" w:rsidP="001004E6">
      <w:pPr>
        <w:ind w:left="720" w:right="567"/>
        <w:contextualSpacing/>
        <w:jc w:val="both"/>
        <w:rPr>
          <w:rFonts w:ascii="Arial" w:hAnsi="Arial" w:cs="Arial"/>
          <w:sz w:val="24"/>
          <w:szCs w:val="24"/>
          <w:lang w:val="es-AR"/>
        </w:rPr>
      </w:pPr>
      <w:r w:rsidRPr="00A26A2F">
        <w:rPr>
          <w:rFonts w:ascii="Arial" w:hAnsi="Arial" w:cs="Arial"/>
          <w:sz w:val="24"/>
          <w:szCs w:val="24"/>
        </w:rPr>
        <w:t>Corresponde a los gastos acumulados por pagar generados por el personal contratado en el Fideicomiso (aguinaldo, vacaciones y el monto a cancelar por concepto de cuotas obrero patronale</w:t>
      </w:r>
      <w:r w:rsidR="00522A76" w:rsidRPr="00A26A2F">
        <w:rPr>
          <w:rFonts w:ascii="Arial" w:hAnsi="Arial" w:cs="Arial"/>
          <w:sz w:val="24"/>
          <w:szCs w:val="24"/>
        </w:rPr>
        <w:t>s). La cuenta de retenciones a e</w:t>
      </w:r>
      <w:r w:rsidRPr="00A26A2F">
        <w:rPr>
          <w:rFonts w:ascii="Arial" w:hAnsi="Arial" w:cs="Arial"/>
          <w:sz w:val="24"/>
          <w:szCs w:val="24"/>
        </w:rPr>
        <w:t xml:space="preserve">mpleados se registra tanto los aportes retenidos a los empleados pertenecientes a la Asociación Solidarista (ASOFIFO), así como, embargos judiciales por pensión alimentaria. </w:t>
      </w:r>
      <w:r w:rsidR="00144E58" w:rsidRPr="00A26A2F">
        <w:rPr>
          <w:rFonts w:ascii="Arial" w:hAnsi="Arial" w:cs="Arial"/>
          <w:sz w:val="24"/>
          <w:szCs w:val="24"/>
          <w:lang w:val="es-AR"/>
        </w:rPr>
        <w:t xml:space="preserve">Para este periodo se cuenta con un total de cuentas por pagar por un saldo de </w:t>
      </w:r>
      <w:r w:rsidR="00144E58" w:rsidRPr="00A26A2F">
        <w:rPr>
          <w:rFonts w:ascii="Arial" w:hAnsi="Arial" w:cs="Arial"/>
          <w:b/>
          <w:sz w:val="24"/>
          <w:szCs w:val="24"/>
          <w:lang w:val="es-AR"/>
        </w:rPr>
        <w:t>¢</w:t>
      </w:r>
      <w:r w:rsidR="00522A76" w:rsidRPr="00A26A2F">
        <w:rPr>
          <w:rFonts w:ascii="Arial" w:hAnsi="Arial" w:cs="Arial"/>
          <w:b/>
          <w:sz w:val="24"/>
          <w:szCs w:val="24"/>
          <w:lang w:val="es-AR"/>
        </w:rPr>
        <w:t>8.</w:t>
      </w:r>
      <w:r w:rsidR="00D05FA2">
        <w:rPr>
          <w:rFonts w:ascii="Arial" w:hAnsi="Arial" w:cs="Arial"/>
          <w:b/>
          <w:sz w:val="24"/>
          <w:szCs w:val="24"/>
          <w:lang w:val="es-AR"/>
        </w:rPr>
        <w:t>984.879,56</w:t>
      </w:r>
      <w:r w:rsidR="00A86876" w:rsidRPr="00A26A2F">
        <w:rPr>
          <w:rFonts w:ascii="Arial" w:hAnsi="Arial" w:cs="Arial"/>
          <w:sz w:val="24"/>
          <w:szCs w:val="24"/>
          <w:lang w:val="es-AR"/>
        </w:rPr>
        <w:t xml:space="preserve"> </w:t>
      </w:r>
    </w:p>
    <w:p w:rsidR="00E04E50" w:rsidRPr="00AB4C70" w:rsidRDefault="00296EA0" w:rsidP="001004E6">
      <w:pPr>
        <w:ind w:left="720" w:right="567"/>
        <w:contextualSpacing/>
        <w:jc w:val="both"/>
        <w:rPr>
          <w:rFonts w:ascii="Arial" w:hAnsi="Arial" w:cs="Arial"/>
          <w:sz w:val="24"/>
          <w:szCs w:val="24"/>
          <w:highlight w:val="yellow"/>
          <w:lang w:val="es-AR"/>
        </w:rPr>
      </w:pPr>
      <w:r w:rsidRPr="00AB4C70">
        <w:rPr>
          <w:rFonts w:ascii="Arial" w:hAnsi="Arial" w:cs="Arial"/>
          <w:sz w:val="24"/>
          <w:szCs w:val="24"/>
          <w:highlight w:val="yellow"/>
          <w:lang w:val="es-AR"/>
        </w:rPr>
        <w:t xml:space="preserve"> </w:t>
      </w:r>
    </w:p>
    <w:p w:rsidR="004630F0" w:rsidRPr="009C2717" w:rsidRDefault="004630F0" w:rsidP="00CD6F67">
      <w:pPr>
        <w:ind w:left="720" w:right="567"/>
        <w:contextualSpacing/>
        <w:jc w:val="both"/>
        <w:rPr>
          <w:rFonts w:ascii="Arial" w:hAnsi="Arial" w:cs="Arial"/>
          <w:b/>
          <w:sz w:val="24"/>
          <w:szCs w:val="24"/>
          <w:lang w:val="es-AR"/>
        </w:rPr>
      </w:pPr>
      <w:r w:rsidRPr="009C2717">
        <w:rPr>
          <w:rFonts w:ascii="Arial" w:hAnsi="Arial" w:cs="Arial"/>
          <w:b/>
          <w:sz w:val="24"/>
          <w:szCs w:val="24"/>
          <w:lang w:val="es-AR"/>
        </w:rPr>
        <w:t>Utilidad o pérdida del periodo</w:t>
      </w:r>
    </w:p>
    <w:p w:rsidR="000B139F" w:rsidRDefault="000B139F" w:rsidP="00CD6F67">
      <w:pPr>
        <w:ind w:left="720" w:right="567"/>
        <w:contextualSpacing/>
        <w:jc w:val="both"/>
        <w:rPr>
          <w:rFonts w:ascii="Arial" w:hAnsi="Arial" w:cs="Arial"/>
          <w:sz w:val="24"/>
          <w:szCs w:val="24"/>
          <w:lang w:val="es-AR"/>
        </w:rPr>
      </w:pPr>
    </w:p>
    <w:p w:rsidR="00E04E50" w:rsidRPr="009C2717" w:rsidRDefault="00D05FA2" w:rsidP="00CD6F67">
      <w:pPr>
        <w:ind w:left="720" w:right="567"/>
        <w:contextualSpacing/>
        <w:jc w:val="both"/>
        <w:rPr>
          <w:rFonts w:ascii="Arial" w:hAnsi="Arial" w:cs="Arial"/>
          <w:sz w:val="24"/>
          <w:szCs w:val="24"/>
          <w:lang w:val="es-AR"/>
        </w:rPr>
      </w:pPr>
      <w:r>
        <w:rPr>
          <w:rFonts w:ascii="Arial" w:hAnsi="Arial" w:cs="Arial"/>
          <w:sz w:val="24"/>
          <w:szCs w:val="24"/>
          <w:lang w:val="es-AR"/>
        </w:rPr>
        <w:t>Durante el periodo 2</w:t>
      </w:r>
      <w:r w:rsidR="00EC3A58">
        <w:rPr>
          <w:rFonts w:ascii="Arial" w:hAnsi="Arial" w:cs="Arial"/>
          <w:sz w:val="24"/>
          <w:szCs w:val="24"/>
          <w:lang w:val="es-AR"/>
        </w:rPr>
        <w:t>019</w:t>
      </w:r>
      <w:r w:rsidR="004630F0" w:rsidRPr="009C2717">
        <w:rPr>
          <w:rFonts w:ascii="Arial" w:hAnsi="Arial" w:cs="Arial"/>
          <w:sz w:val="24"/>
          <w:szCs w:val="24"/>
          <w:lang w:val="es-AR"/>
        </w:rPr>
        <w:t xml:space="preserve"> el Fideicomiso presenta un resultado de </w:t>
      </w:r>
      <w:r w:rsidRPr="00D05FA2">
        <w:rPr>
          <w:rFonts w:ascii="Arial" w:hAnsi="Arial" w:cs="Arial"/>
          <w:b/>
          <w:sz w:val="24"/>
          <w:szCs w:val="24"/>
          <w:lang w:val="es-AR"/>
        </w:rPr>
        <w:t>¢2.327.711,05</w:t>
      </w:r>
      <w:r w:rsidR="004630F0" w:rsidRPr="009C2717">
        <w:rPr>
          <w:rFonts w:ascii="Arial" w:hAnsi="Arial" w:cs="Arial"/>
          <w:sz w:val="24"/>
          <w:szCs w:val="24"/>
          <w:lang w:val="es-AR"/>
        </w:rPr>
        <w:t>, de acuerdo al siguiente detalle:</w:t>
      </w:r>
    </w:p>
    <w:p w:rsidR="004630F0" w:rsidRPr="00AB4C70" w:rsidRDefault="004630F0" w:rsidP="00CD6F67">
      <w:pPr>
        <w:ind w:left="720" w:right="567"/>
        <w:contextualSpacing/>
        <w:jc w:val="both"/>
        <w:rPr>
          <w:rFonts w:ascii="Arial" w:hAnsi="Arial" w:cs="Arial"/>
          <w:color w:val="FF0000"/>
          <w:sz w:val="22"/>
          <w:szCs w:val="22"/>
          <w:highlight w:val="yellow"/>
          <w:lang w:val="es-AR"/>
        </w:rPr>
      </w:pPr>
    </w:p>
    <w:p w:rsidR="004630F0" w:rsidRPr="004630F0" w:rsidRDefault="004630F0" w:rsidP="004630F0">
      <w:pPr>
        <w:ind w:left="720" w:right="567"/>
        <w:contextualSpacing/>
        <w:jc w:val="center"/>
        <w:rPr>
          <w:rFonts w:ascii="Arial" w:hAnsi="Arial" w:cs="Arial"/>
          <w:sz w:val="22"/>
          <w:szCs w:val="22"/>
          <w:lang w:val="es-AR"/>
        </w:rPr>
      </w:pPr>
    </w:p>
    <w:tbl>
      <w:tblPr>
        <w:tblW w:w="7083" w:type="dxa"/>
        <w:jc w:val="center"/>
        <w:tblCellMar>
          <w:left w:w="70" w:type="dxa"/>
          <w:right w:w="70" w:type="dxa"/>
        </w:tblCellMar>
        <w:tblLook w:val="04A0" w:firstRow="1" w:lastRow="0" w:firstColumn="1" w:lastColumn="0" w:noHBand="0" w:noVBand="1"/>
      </w:tblPr>
      <w:tblGrid>
        <w:gridCol w:w="4248"/>
        <w:gridCol w:w="2835"/>
      </w:tblGrid>
      <w:tr w:rsidR="001A3599" w:rsidRPr="001A3599" w:rsidTr="00D05FA2">
        <w:trPr>
          <w:trHeight w:val="387"/>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1A3599" w:rsidRPr="001A3599" w:rsidRDefault="001A3599" w:rsidP="001A3599">
            <w:pPr>
              <w:jc w:val="center"/>
              <w:rPr>
                <w:rFonts w:ascii="Arial" w:eastAsia="Times New Roman" w:hAnsi="Arial" w:cs="Arial"/>
                <w:b/>
                <w:bCs/>
                <w:color w:val="000000"/>
                <w:sz w:val="22"/>
                <w:szCs w:val="22"/>
                <w:lang w:eastAsia="es-CR"/>
              </w:rPr>
            </w:pPr>
            <w:r w:rsidRPr="001A3599">
              <w:rPr>
                <w:rFonts w:ascii="Arial" w:eastAsia="Times New Roman" w:hAnsi="Arial" w:cs="Arial"/>
                <w:b/>
                <w:bCs/>
                <w:color w:val="000000"/>
                <w:sz w:val="22"/>
                <w:szCs w:val="22"/>
                <w:lang w:eastAsia="es-CR"/>
              </w:rPr>
              <w:t>Periodo 2019</w:t>
            </w:r>
          </w:p>
        </w:tc>
      </w:tr>
      <w:tr w:rsidR="001A3599" w:rsidRPr="001A3599" w:rsidTr="00D05FA2">
        <w:trPr>
          <w:trHeight w:val="280"/>
          <w:jc w:val="center"/>
        </w:trPr>
        <w:tc>
          <w:tcPr>
            <w:tcW w:w="4248" w:type="dxa"/>
            <w:tcBorders>
              <w:top w:val="nil"/>
              <w:left w:val="single" w:sz="4" w:space="0" w:color="auto"/>
              <w:bottom w:val="single" w:sz="4" w:space="0" w:color="auto"/>
              <w:right w:val="single" w:sz="4" w:space="0" w:color="auto"/>
            </w:tcBorders>
            <w:shd w:val="clear" w:color="auto" w:fill="00B050"/>
            <w:noWrap/>
            <w:vAlign w:val="center"/>
            <w:hideMark/>
          </w:tcPr>
          <w:p w:rsidR="001A3599" w:rsidRPr="001A3599" w:rsidRDefault="001A3599" w:rsidP="001A3599">
            <w:pPr>
              <w:jc w:val="center"/>
              <w:rPr>
                <w:rFonts w:ascii="Arial" w:eastAsia="Times New Roman" w:hAnsi="Arial" w:cs="Arial"/>
                <w:b/>
                <w:bCs/>
                <w:color w:val="000000"/>
                <w:sz w:val="22"/>
                <w:szCs w:val="22"/>
                <w:lang w:eastAsia="es-CR"/>
              </w:rPr>
            </w:pPr>
            <w:r w:rsidRPr="001A3599">
              <w:rPr>
                <w:rFonts w:ascii="Arial" w:eastAsia="Times New Roman" w:hAnsi="Arial" w:cs="Arial"/>
                <w:b/>
                <w:bCs/>
                <w:color w:val="000000"/>
                <w:sz w:val="22"/>
                <w:szCs w:val="22"/>
                <w:lang w:eastAsia="es-CR"/>
              </w:rPr>
              <w:t>Descripción</w:t>
            </w:r>
          </w:p>
        </w:tc>
        <w:tc>
          <w:tcPr>
            <w:tcW w:w="2835" w:type="dxa"/>
            <w:tcBorders>
              <w:top w:val="nil"/>
              <w:left w:val="nil"/>
              <w:bottom w:val="single" w:sz="4" w:space="0" w:color="auto"/>
              <w:right w:val="single" w:sz="4" w:space="0" w:color="auto"/>
            </w:tcBorders>
            <w:shd w:val="clear" w:color="auto" w:fill="00B050"/>
            <w:noWrap/>
            <w:vAlign w:val="center"/>
            <w:hideMark/>
          </w:tcPr>
          <w:p w:rsidR="001A3599" w:rsidRPr="001A3599" w:rsidRDefault="001A3599" w:rsidP="001A3599">
            <w:pPr>
              <w:jc w:val="center"/>
              <w:rPr>
                <w:rFonts w:ascii="Arial" w:eastAsia="Times New Roman" w:hAnsi="Arial" w:cs="Arial"/>
                <w:b/>
                <w:bCs/>
                <w:color w:val="000000"/>
                <w:sz w:val="22"/>
                <w:szCs w:val="22"/>
                <w:lang w:eastAsia="es-CR"/>
              </w:rPr>
            </w:pPr>
            <w:r w:rsidRPr="001A3599">
              <w:rPr>
                <w:rFonts w:ascii="Arial" w:eastAsia="Times New Roman" w:hAnsi="Arial" w:cs="Arial"/>
                <w:b/>
                <w:bCs/>
                <w:color w:val="000000"/>
                <w:sz w:val="22"/>
                <w:szCs w:val="22"/>
                <w:lang w:eastAsia="es-CR"/>
              </w:rPr>
              <w:t>Colones</w:t>
            </w:r>
          </w:p>
        </w:tc>
      </w:tr>
      <w:tr w:rsidR="001A3599" w:rsidRPr="001A3599" w:rsidTr="001F64E1">
        <w:trPr>
          <w:trHeight w:val="269"/>
          <w:jc w:val="center"/>
        </w:trPr>
        <w:tc>
          <w:tcPr>
            <w:tcW w:w="4248" w:type="dxa"/>
            <w:tcBorders>
              <w:top w:val="nil"/>
              <w:left w:val="single" w:sz="4" w:space="0" w:color="auto"/>
              <w:bottom w:val="nil"/>
              <w:right w:val="nil"/>
            </w:tcBorders>
            <w:shd w:val="clear" w:color="auto" w:fill="auto"/>
            <w:noWrap/>
            <w:vAlign w:val="center"/>
            <w:hideMark/>
          </w:tcPr>
          <w:p w:rsidR="001A3599" w:rsidRPr="001A3599" w:rsidRDefault="001A3599" w:rsidP="001A3599">
            <w:pPr>
              <w:rPr>
                <w:rFonts w:ascii="Arial" w:eastAsia="Times New Roman" w:hAnsi="Arial" w:cs="Arial"/>
                <w:color w:val="000000"/>
                <w:sz w:val="22"/>
                <w:szCs w:val="22"/>
                <w:lang w:eastAsia="es-CR"/>
              </w:rPr>
            </w:pPr>
            <w:r w:rsidRPr="001A3599">
              <w:rPr>
                <w:rFonts w:ascii="Arial" w:eastAsia="Times New Roman" w:hAnsi="Arial" w:cs="Arial"/>
                <w:color w:val="000000"/>
                <w:sz w:val="22"/>
                <w:szCs w:val="22"/>
                <w:lang w:eastAsia="es-CR"/>
              </w:rPr>
              <w:t>Ingresos acumulados</w:t>
            </w:r>
          </w:p>
        </w:tc>
        <w:tc>
          <w:tcPr>
            <w:tcW w:w="2835" w:type="dxa"/>
            <w:tcBorders>
              <w:top w:val="nil"/>
              <w:left w:val="nil"/>
              <w:bottom w:val="nil"/>
              <w:right w:val="single" w:sz="8" w:space="0" w:color="auto"/>
            </w:tcBorders>
            <w:shd w:val="clear" w:color="000000" w:fill="FFFFFF"/>
            <w:noWrap/>
            <w:vAlign w:val="center"/>
            <w:hideMark/>
          </w:tcPr>
          <w:p w:rsidR="001A3599" w:rsidRPr="001A3599" w:rsidRDefault="00193AFA" w:rsidP="001A3599">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1.529.460.843,88</w:t>
            </w:r>
          </w:p>
        </w:tc>
      </w:tr>
      <w:tr w:rsidR="001A3599" w:rsidRPr="001A3599" w:rsidTr="001F64E1">
        <w:trPr>
          <w:trHeight w:val="284"/>
          <w:jc w:val="center"/>
        </w:trPr>
        <w:tc>
          <w:tcPr>
            <w:tcW w:w="4248" w:type="dxa"/>
            <w:tcBorders>
              <w:top w:val="nil"/>
              <w:left w:val="single" w:sz="4" w:space="0" w:color="auto"/>
              <w:bottom w:val="nil"/>
              <w:right w:val="nil"/>
            </w:tcBorders>
            <w:shd w:val="clear" w:color="auto" w:fill="auto"/>
            <w:noWrap/>
            <w:vAlign w:val="center"/>
            <w:hideMark/>
          </w:tcPr>
          <w:p w:rsidR="001A3599" w:rsidRPr="001A3599" w:rsidRDefault="001A3599" w:rsidP="001A3599">
            <w:pPr>
              <w:rPr>
                <w:rFonts w:ascii="Arial" w:eastAsia="Times New Roman" w:hAnsi="Arial" w:cs="Arial"/>
                <w:color w:val="000000"/>
                <w:sz w:val="22"/>
                <w:szCs w:val="22"/>
                <w:lang w:eastAsia="es-CR"/>
              </w:rPr>
            </w:pPr>
            <w:r w:rsidRPr="001A3599">
              <w:rPr>
                <w:rFonts w:ascii="Arial" w:eastAsia="Times New Roman" w:hAnsi="Arial" w:cs="Arial"/>
                <w:color w:val="000000"/>
                <w:sz w:val="22"/>
                <w:szCs w:val="22"/>
                <w:lang w:eastAsia="es-CR"/>
              </w:rPr>
              <w:t xml:space="preserve">Egresos acumulados </w:t>
            </w:r>
          </w:p>
        </w:tc>
        <w:tc>
          <w:tcPr>
            <w:tcW w:w="2835" w:type="dxa"/>
            <w:tcBorders>
              <w:top w:val="nil"/>
              <w:left w:val="nil"/>
              <w:bottom w:val="nil"/>
              <w:right w:val="single" w:sz="8" w:space="0" w:color="auto"/>
            </w:tcBorders>
            <w:shd w:val="clear" w:color="000000" w:fill="FFFFFF"/>
            <w:noWrap/>
            <w:vAlign w:val="center"/>
            <w:hideMark/>
          </w:tcPr>
          <w:p w:rsidR="001A3599" w:rsidRPr="001A3599" w:rsidRDefault="00193AFA" w:rsidP="001A3599">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1.527.133.132,83</w:t>
            </w:r>
          </w:p>
        </w:tc>
      </w:tr>
      <w:tr w:rsidR="001A3599" w:rsidRPr="001A3599" w:rsidTr="00D05FA2">
        <w:trPr>
          <w:trHeight w:val="510"/>
          <w:jc w:val="center"/>
        </w:trPr>
        <w:tc>
          <w:tcPr>
            <w:tcW w:w="4248" w:type="dxa"/>
            <w:tcBorders>
              <w:top w:val="single" w:sz="4" w:space="0" w:color="auto"/>
              <w:left w:val="single" w:sz="4" w:space="0" w:color="auto"/>
              <w:bottom w:val="single" w:sz="4" w:space="0" w:color="auto"/>
              <w:right w:val="nil"/>
            </w:tcBorders>
            <w:shd w:val="clear" w:color="auto" w:fill="00B050"/>
            <w:noWrap/>
            <w:vAlign w:val="center"/>
            <w:hideMark/>
          </w:tcPr>
          <w:p w:rsidR="001A3599" w:rsidRPr="001A3599" w:rsidRDefault="001A3599" w:rsidP="001A3599">
            <w:pPr>
              <w:jc w:val="center"/>
              <w:rPr>
                <w:rFonts w:ascii="Arial" w:eastAsia="Times New Roman" w:hAnsi="Arial" w:cs="Arial"/>
                <w:b/>
                <w:bCs/>
                <w:color w:val="000000"/>
                <w:sz w:val="22"/>
                <w:szCs w:val="22"/>
                <w:lang w:eastAsia="es-CR"/>
              </w:rPr>
            </w:pPr>
            <w:r w:rsidRPr="001A3599">
              <w:rPr>
                <w:rFonts w:ascii="Arial" w:eastAsia="Times New Roman" w:hAnsi="Arial" w:cs="Arial"/>
                <w:b/>
                <w:bCs/>
                <w:color w:val="000000"/>
                <w:sz w:val="22"/>
                <w:szCs w:val="22"/>
                <w:lang w:eastAsia="es-CR"/>
              </w:rPr>
              <w:t xml:space="preserve">Total de resultados acumulados </w:t>
            </w:r>
          </w:p>
        </w:tc>
        <w:tc>
          <w:tcPr>
            <w:tcW w:w="2835" w:type="dxa"/>
            <w:tcBorders>
              <w:top w:val="single" w:sz="4" w:space="0" w:color="auto"/>
              <w:left w:val="nil"/>
              <w:bottom w:val="single" w:sz="4" w:space="0" w:color="auto"/>
              <w:right w:val="single" w:sz="4" w:space="0" w:color="auto"/>
            </w:tcBorders>
            <w:shd w:val="clear" w:color="auto" w:fill="00B050"/>
            <w:noWrap/>
            <w:vAlign w:val="center"/>
            <w:hideMark/>
          </w:tcPr>
          <w:p w:rsidR="001A3599" w:rsidRPr="001A3599" w:rsidRDefault="00193AFA" w:rsidP="001A3599">
            <w:pPr>
              <w:jc w:val="right"/>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2.327.711,05</w:t>
            </w:r>
          </w:p>
        </w:tc>
      </w:tr>
    </w:tbl>
    <w:p w:rsidR="00D16FC4" w:rsidRPr="00767C7C" w:rsidRDefault="00D16FC4" w:rsidP="00D16FC4">
      <w:pPr>
        <w:pStyle w:val="Prrafodelista"/>
        <w:ind w:left="1080"/>
        <w:contextualSpacing/>
        <w:jc w:val="both"/>
        <w:rPr>
          <w:rFonts w:ascii="Arial" w:hAnsi="Arial" w:cs="Arial"/>
          <w:b/>
          <w:sz w:val="20"/>
          <w:szCs w:val="20"/>
        </w:rPr>
      </w:pPr>
    </w:p>
    <w:p w:rsidR="007B3D99" w:rsidRDefault="007B3D99"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1F238C" w:rsidRDefault="001F238C" w:rsidP="00122F65">
      <w:pPr>
        <w:contextualSpacing/>
        <w:rPr>
          <w:rFonts w:ascii="Trebuchet MS" w:hAnsi="Trebuchet MS" w:cs="Arial"/>
          <w:b/>
        </w:rPr>
      </w:pPr>
    </w:p>
    <w:p w:rsidR="00231FC1" w:rsidRPr="00122F65" w:rsidRDefault="00231FC1" w:rsidP="00122F65">
      <w:pPr>
        <w:contextualSpacing/>
        <w:rPr>
          <w:rFonts w:ascii="Trebuchet MS" w:hAnsi="Trebuchet MS" w:cs="Arial"/>
          <w:b/>
        </w:rPr>
      </w:pPr>
    </w:p>
    <w:p w:rsidR="00D16FC4" w:rsidRPr="00767C7C" w:rsidRDefault="00015A4E" w:rsidP="00015A4E">
      <w:pPr>
        <w:pStyle w:val="Prrafodelista"/>
        <w:ind w:left="1080"/>
        <w:contextualSpacing/>
        <w:jc w:val="center"/>
        <w:rPr>
          <w:rFonts w:ascii="Trebuchet MS" w:hAnsi="Trebuchet MS" w:cs="Arial"/>
          <w:b/>
        </w:rPr>
      </w:pPr>
      <w:r>
        <w:rPr>
          <w:rFonts w:ascii="Trebuchet MS" w:hAnsi="Trebuchet MS" w:cs="Arial"/>
          <w:b/>
        </w:rPr>
        <w:lastRenderedPageBreak/>
        <w:t>Estado de Resultados Consolidado</w:t>
      </w:r>
    </w:p>
    <w:p w:rsidR="00015A4E" w:rsidRPr="00015A4E" w:rsidRDefault="00015A4E" w:rsidP="00015A4E">
      <w:pPr>
        <w:pStyle w:val="Prrafodelista"/>
        <w:ind w:left="1080"/>
        <w:contextualSpacing/>
        <w:jc w:val="center"/>
        <w:rPr>
          <w:rFonts w:ascii="Arial" w:hAnsi="Arial" w:cs="Arial"/>
          <w:b/>
        </w:rPr>
      </w:pPr>
      <w:r w:rsidRPr="00015A4E">
        <w:rPr>
          <w:rFonts w:ascii="Arial" w:hAnsi="Arial" w:cs="Arial"/>
          <w:b/>
        </w:rPr>
        <w:t>Fideicomiso 544 FONAFIFO CONSOLIDADO – BNCR</w:t>
      </w:r>
    </w:p>
    <w:p w:rsidR="00015A4E" w:rsidRPr="00015A4E" w:rsidRDefault="00AD0577" w:rsidP="00015A4E">
      <w:pPr>
        <w:pStyle w:val="Prrafodelista"/>
        <w:ind w:left="1080"/>
        <w:contextualSpacing/>
        <w:jc w:val="center"/>
        <w:rPr>
          <w:rFonts w:ascii="Arial" w:hAnsi="Arial" w:cs="Arial"/>
          <w:b/>
        </w:rPr>
      </w:pPr>
      <w:r>
        <w:rPr>
          <w:rFonts w:ascii="Arial" w:hAnsi="Arial" w:cs="Arial"/>
          <w:b/>
        </w:rPr>
        <w:t xml:space="preserve">Del 01 de </w:t>
      </w:r>
      <w:r w:rsidR="005A4966">
        <w:rPr>
          <w:rFonts w:ascii="Arial" w:hAnsi="Arial" w:cs="Arial"/>
          <w:b/>
        </w:rPr>
        <w:t>enero</w:t>
      </w:r>
      <w:r>
        <w:rPr>
          <w:rFonts w:ascii="Arial" w:hAnsi="Arial" w:cs="Arial"/>
          <w:b/>
        </w:rPr>
        <w:t xml:space="preserve"> a</w:t>
      </w:r>
      <w:r w:rsidR="00015A4E" w:rsidRPr="00015A4E">
        <w:rPr>
          <w:rFonts w:ascii="Arial" w:hAnsi="Arial" w:cs="Arial"/>
          <w:b/>
        </w:rPr>
        <w:t xml:space="preserve">l </w:t>
      </w:r>
      <w:r w:rsidR="00122F65">
        <w:rPr>
          <w:rFonts w:ascii="Arial" w:hAnsi="Arial" w:cs="Arial"/>
          <w:b/>
        </w:rPr>
        <w:t>3</w:t>
      </w:r>
      <w:r w:rsidR="001F238C">
        <w:rPr>
          <w:rFonts w:ascii="Arial" w:hAnsi="Arial" w:cs="Arial"/>
          <w:b/>
        </w:rPr>
        <w:t>1</w:t>
      </w:r>
      <w:r w:rsidR="00122F65">
        <w:rPr>
          <w:rFonts w:ascii="Arial" w:hAnsi="Arial" w:cs="Arial"/>
          <w:b/>
        </w:rPr>
        <w:t xml:space="preserve"> de </w:t>
      </w:r>
      <w:r w:rsidR="001F238C">
        <w:rPr>
          <w:rFonts w:ascii="Arial" w:hAnsi="Arial" w:cs="Arial"/>
          <w:b/>
        </w:rPr>
        <w:t>diciembre</w:t>
      </w:r>
      <w:r w:rsidR="00122F65">
        <w:rPr>
          <w:rFonts w:ascii="Arial" w:hAnsi="Arial" w:cs="Arial"/>
          <w:b/>
        </w:rPr>
        <w:t xml:space="preserve"> del 2018 y 2019</w:t>
      </w:r>
    </w:p>
    <w:p w:rsidR="00353A87" w:rsidRPr="00221468" w:rsidRDefault="00015A4E" w:rsidP="00221468">
      <w:pPr>
        <w:pStyle w:val="Prrafodelista"/>
        <w:ind w:left="1080"/>
        <w:contextualSpacing/>
        <w:jc w:val="center"/>
        <w:rPr>
          <w:rFonts w:ascii="Arial" w:hAnsi="Arial" w:cs="Arial"/>
          <w:b/>
        </w:rPr>
      </w:pPr>
      <w:r w:rsidRPr="00015A4E">
        <w:rPr>
          <w:rFonts w:ascii="Arial" w:hAnsi="Arial" w:cs="Arial"/>
          <w:b/>
        </w:rPr>
        <w:t>Cifras en co</w:t>
      </w:r>
      <w:r w:rsidR="00221468">
        <w:rPr>
          <w:rFonts w:ascii="Arial" w:hAnsi="Arial" w:cs="Arial"/>
          <w:b/>
        </w:rPr>
        <w:t>lones con dos decimales</w:t>
      </w:r>
    </w:p>
    <w:tbl>
      <w:tblPr>
        <w:tblW w:w="9460" w:type="dxa"/>
        <w:tblCellMar>
          <w:left w:w="70" w:type="dxa"/>
          <w:right w:w="70" w:type="dxa"/>
        </w:tblCellMar>
        <w:tblLook w:val="04A0" w:firstRow="1" w:lastRow="0" w:firstColumn="1" w:lastColumn="0" w:noHBand="0" w:noVBand="1"/>
      </w:tblPr>
      <w:tblGrid>
        <w:gridCol w:w="2996"/>
        <w:gridCol w:w="489"/>
        <w:gridCol w:w="1911"/>
        <w:gridCol w:w="2053"/>
        <w:gridCol w:w="2011"/>
      </w:tblGrid>
      <w:tr w:rsidR="00083E3C" w:rsidRPr="00083E3C" w:rsidTr="00083E3C">
        <w:trPr>
          <w:trHeight w:val="248"/>
        </w:trPr>
        <w:tc>
          <w:tcPr>
            <w:tcW w:w="0" w:type="auto"/>
            <w:tcBorders>
              <w:top w:val="single" w:sz="8" w:space="0" w:color="auto"/>
              <w:left w:val="single" w:sz="8" w:space="0" w:color="auto"/>
              <w:bottom w:val="single" w:sz="8" w:space="0" w:color="auto"/>
              <w:right w:val="nil"/>
            </w:tcBorders>
            <w:shd w:val="clear" w:color="000000" w:fill="00B050"/>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Detalle</w:t>
            </w:r>
          </w:p>
        </w:tc>
        <w:tc>
          <w:tcPr>
            <w:tcW w:w="0" w:type="auto"/>
            <w:tcBorders>
              <w:top w:val="single" w:sz="8" w:space="0" w:color="auto"/>
              <w:left w:val="nil"/>
              <w:bottom w:val="single" w:sz="8" w:space="0" w:color="auto"/>
              <w:right w:val="nil"/>
            </w:tcBorders>
            <w:shd w:val="clear" w:color="000000" w:fill="00B050"/>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Nota</w:t>
            </w:r>
          </w:p>
        </w:tc>
        <w:tc>
          <w:tcPr>
            <w:tcW w:w="0" w:type="auto"/>
            <w:tcBorders>
              <w:top w:val="single" w:sz="8" w:space="0" w:color="auto"/>
              <w:left w:val="nil"/>
              <w:bottom w:val="single" w:sz="8" w:space="0" w:color="auto"/>
              <w:right w:val="nil"/>
            </w:tcBorders>
            <w:shd w:val="clear" w:color="000000" w:fill="00B050"/>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Saldos a diciembre 2018</w:t>
            </w:r>
          </w:p>
        </w:tc>
        <w:tc>
          <w:tcPr>
            <w:tcW w:w="0" w:type="auto"/>
            <w:tcBorders>
              <w:top w:val="single" w:sz="8" w:space="0" w:color="auto"/>
              <w:left w:val="nil"/>
              <w:bottom w:val="single" w:sz="8" w:space="0" w:color="auto"/>
              <w:right w:val="nil"/>
            </w:tcBorders>
            <w:shd w:val="clear" w:color="000000" w:fill="00B050"/>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Movimiento Interanual</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Saldo a diciembre 2019</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Ingresos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Ingresos Operativos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Productos por cartera de crédito</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23</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156.628.510,53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21.237.015,77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177.865.526,30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Disminución Estimaciones por incobrables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24</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136.577.198,29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285.230.688,92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421.807.887,21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Ingresos por Afectaciones-PSA</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25</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37.025.342,58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16.289.854,37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53.315.196,95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Otros Ingresos Operativos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26</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588.850.835,42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280.771.711,28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869.622.546,70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Ingresos por bienes realizables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27</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7.039.168,34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7.039.168,34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Total Ingresoso operativos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926.121.055,16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596.490.102,00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1.522.611.157,16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Ingresos Financieros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Ingreso por diferencial cambiario</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28</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17.965.381,46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11.115.694,74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6.849.686,72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Ingresos Financieros por Disponibilidades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29</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627,28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627,28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   </w:t>
            </w:r>
          </w:p>
        </w:tc>
      </w:tr>
      <w:tr w:rsidR="00083E3C" w:rsidRPr="00083E3C" w:rsidTr="00083E3C">
        <w:trPr>
          <w:trHeight w:val="248"/>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Total ingresos financieros</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17.966.008,74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11.116.322,02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6.849.686,72 </w:t>
            </w:r>
          </w:p>
        </w:tc>
      </w:tr>
      <w:tr w:rsidR="00083E3C" w:rsidRPr="00083E3C" w:rsidTr="00083E3C">
        <w:trPr>
          <w:trHeight w:val="248"/>
        </w:trPr>
        <w:tc>
          <w:tcPr>
            <w:tcW w:w="0" w:type="auto"/>
            <w:tcBorders>
              <w:top w:val="nil"/>
              <w:left w:val="single" w:sz="8" w:space="0" w:color="auto"/>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Total ingresos</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944.087.063,90 </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585.373.779,98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1.529.460.843,88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Egresos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Gastos operativos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por estimación cartera crédito</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30</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87.149.493,47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333.158.660,10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420.308.153,57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por Bienes Realizables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31</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65.036.084,96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26.728.372,08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91.764.457,04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Servicios Ambietales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32</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1.840.913,92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978.676,12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862.237,80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Comisión por servicios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33</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125.869.211,76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125.869.211,76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Otros gastos operativos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34</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3.721.401,22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48.981.344,26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52.702.745,48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Total Gastos Operativos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283.617.105,33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282.020.488,56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565.637.593,89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Gastos Financieros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Diferencial cambiario</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28</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3.615.335,13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13.661.613,20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17.276.948,33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Total gastos Financieros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3.615.335,13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13.661.613,20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17.276.948,33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Gastos de Administración</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de personal</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35</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229.733.130,12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96.058.773,95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133.674.356,17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por provisiones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36</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88.555.136,29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40.788.769,21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47.766.367,08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por servicios externos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37</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556.664.031,77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73.640.159,33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630.304.191,10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de movilidad y comunicaciones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38</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27.148.495,42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1.257.294,03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28.405.789,45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de infraestructura</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39</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63.570.830,50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3.812.678,28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67.383.508,78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Gastos generales</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jc w:val="right"/>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40</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45.772.965,94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9.088.587,91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xml:space="preserve">                    36.684.378,03 </w:t>
            </w:r>
          </w:p>
        </w:tc>
      </w:tr>
      <w:tr w:rsidR="00083E3C" w:rsidRPr="00083E3C" w:rsidTr="00083E3C">
        <w:trPr>
          <w:trHeight w:val="236"/>
        </w:trPr>
        <w:tc>
          <w:tcPr>
            <w:tcW w:w="0" w:type="auto"/>
            <w:tcBorders>
              <w:top w:val="nil"/>
              <w:left w:val="single" w:sz="8" w:space="0" w:color="auto"/>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Total Gastos Administrativos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1.011.444.590,04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67.225.999,43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944.218.590,61 </w:t>
            </w:r>
          </w:p>
        </w:tc>
      </w:tr>
      <w:tr w:rsidR="00083E3C" w:rsidRPr="00083E3C" w:rsidTr="00083E3C">
        <w:trPr>
          <w:trHeight w:val="248"/>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48"/>
        </w:trPr>
        <w:tc>
          <w:tcPr>
            <w:tcW w:w="0" w:type="auto"/>
            <w:tcBorders>
              <w:top w:val="nil"/>
              <w:left w:val="single" w:sz="8" w:space="0" w:color="auto"/>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Total  Egresos</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1.298.677.030,50 </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228.456.102,33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1.527.133.132,83 </w:t>
            </w:r>
          </w:p>
        </w:tc>
      </w:tr>
      <w:tr w:rsidR="00083E3C" w:rsidRPr="00083E3C" w:rsidTr="00083E3C">
        <w:trPr>
          <w:trHeight w:val="236"/>
        </w:trPr>
        <w:tc>
          <w:tcPr>
            <w:tcW w:w="0" w:type="auto"/>
            <w:tcBorders>
              <w:top w:val="nil"/>
              <w:left w:val="single" w:sz="8" w:space="0" w:color="auto"/>
              <w:bottom w:val="nil"/>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nil"/>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r>
      <w:tr w:rsidR="00083E3C" w:rsidRPr="00083E3C" w:rsidTr="00083E3C">
        <w:trPr>
          <w:trHeight w:val="248"/>
        </w:trPr>
        <w:tc>
          <w:tcPr>
            <w:tcW w:w="0" w:type="auto"/>
            <w:tcBorders>
              <w:top w:val="nil"/>
              <w:left w:val="single" w:sz="8" w:space="0" w:color="auto"/>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Utilidad o (Perdida)</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color w:val="000000"/>
                <w:sz w:val="14"/>
                <w:szCs w:val="14"/>
                <w:lang w:val="es-MX" w:eastAsia="es-MX"/>
              </w:rPr>
            </w:pPr>
            <w:r w:rsidRPr="00083E3C">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354.589.966,60 </w:t>
            </w:r>
          </w:p>
        </w:tc>
        <w:tc>
          <w:tcPr>
            <w:tcW w:w="0" w:type="auto"/>
            <w:tcBorders>
              <w:top w:val="nil"/>
              <w:left w:val="nil"/>
              <w:bottom w:val="single" w:sz="8" w:space="0" w:color="auto"/>
              <w:right w:val="nil"/>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356.917.677,65 </w:t>
            </w:r>
          </w:p>
        </w:tc>
        <w:tc>
          <w:tcPr>
            <w:tcW w:w="0" w:type="auto"/>
            <w:tcBorders>
              <w:top w:val="nil"/>
              <w:left w:val="nil"/>
              <w:bottom w:val="single" w:sz="8" w:space="0" w:color="auto"/>
              <w:right w:val="single" w:sz="8" w:space="0" w:color="auto"/>
            </w:tcBorders>
            <w:shd w:val="clear" w:color="000000" w:fill="FFFFFF"/>
            <w:noWrap/>
            <w:vAlign w:val="bottom"/>
            <w:hideMark/>
          </w:tcPr>
          <w:p w:rsidR="00083E3C" w:rsidRPr="00083E3C" w:rsidRDefault="00083E3C" w:rsidP="00083E3C">
            <w:pPr>
              <w:rPr>
                <w:rFonts w:ascii="Arial" w:eastAsia="Times New Roman" w:hAnsi="Arial" w:cs="Arial"/>
                <w:b/>
                <w:bCs/>
                <w:color w:val="000000"/>
                <w:sz w:val="14"/>
                <w:szCs w:val="14"/>
                <w:lang w:val="es-MX" w:eastAsia="es-MX"/>
              </w:rPr>
            </w:pPr>
            <w:r w:rsidRPr="00083E3C">
              <w:rPr>
                <w:rFonts w:ascii="Arial" w:eastAsia="Times New Roman" w:hAnsi="Arial" w:cs="Arial"/>
                <w:b/>
                <w:bCs/>
                <w:color w:val="000000"/>
                <w:sz w:val="14"/>
                <w:szCs w:val="14"/>
                <w:lang w:val="es-MX" w:eastAsia="es-MX"/>
              </w:rPr>
              <w:t xml:space="preserve">                      2.327.711,05 </w:t>
            </w:r>
          </w:p>
        </w:tc>
      </w:tr>
    </w:tbl>
    <w:p w:rsidR="00015A4E" w:rsidRDefault="00015A4E" w:rsidP="00015A4E">
      <w:pPr>
        <w:contextualSpacing/>
        <w:jc w:val="both"/>
        <w:rPr>
          <w:rFonts w:ascii="Trebuchet MS" w:eastAsia="Times New Roman" w:hAnsi="Trebuchet MS" w:cs="Arial"/>
          <w:b/>
          <w:sz w:val="22"/>
          <w:szCs w:val="22"/>
          <w:lang w:eastAsia="en-US"/>
        </w:rPr>
      </w:pPr>
    </w:p>
    <w:p w:rsidR="0031149B" w:rsidRPr="00015A4E" w:rsidRDefault="0031149B" w:rsidP="00015A4E">
      <w:pPr>
        <w:contextualSpacing/>
        <w:jc w:val="both"/>
        <w:rPr>
          <w:rFonts w:ascii="Trebuchet MS" w:hAnsi="Trebuchet MS" w:cs="Arial"/>
          <w:b/>
        </w:rPr>
      </w:pPr>
    </w:p>
    <w:p w:rsidR="00F1343B" w:rsidRDefault="00F1343B" w:rsidP="005D360F">
      <w:pPr>
        <w:contextualSpacing/>
        <w:jc w:val="both"/>
        <w:rPr>
          <w:rFonts w:ascii="Trebuchet MS" w:hAnsi="Trebuchet MS" w:cs="Arial"/>
          <w:b/>
          <w:color w:val="FF0000"/>
        </w:rPr>
      </w:pPr>
    </w:p>
    <w:p w:rsidR="00F37A9C" w:rsidRDefault="00F37A9C" w:rsidP="005D360F">
      <w:pPr>
        <w:contextualSpacing/>
        <w:jc w:val="both"/>
        <w:rPr>
          <w:rFonts w:ascii="Trebuchet MS" w:hAnsi="Trebuchet MS" w:cs="Arial"/>
          <w:b/>
          <w:color w:val="FF0000"/>
        </w:rPr>
      </w:pPr>
    </w:p>
    <w:p w:rsidR="00F37A9C" w:rsidRDefault="00F37A9C" w:rsidP="005D360F">
      <w:pPr>
        <w:contextualSpacing/>
        <w:jc w:val="both"/>
        <w:rPr>
          <w:rFonts w:ascii="Trebuchet MS" w:hAnsi="Trebuchet MS" w:cs="Arial"/>
          <w:b/>
          <w:color w:val="FF0000"/>
        </w:rPr>
      </w:pPr>
    </w:p>
    <w:p w:rsidR="00083E3C" w:rsidRPr="00637712" w:rsidRDefault="00083E3C" w:rsidP="005D360F">
      <w:pPr>
        <w:contextualSpacing/>
        <w:jc w:val="both"/>
        <w:rPr>
          <w:rFonts w:ascii="Trebuchet MS" w:hAnsi="Trebuchet MS" w:cs="Arial"/>
          <w:b/>
          <w:color w:val="FF0000"/>
        </w:rPr>
      </w:pPr>
    </w:p>
    <w:p w:rsidR="00353A87" w:rsidRPr="00110E46" w:rsidRDefault="00353A87" w:rsidP="009B4919">
      <w:pPr>
        <w:pStyle w:val="Prrafodelista"/>
        <w:numPr>
          <w:ilvl w:val="1"/>
          <w:numId w:val="39"/>
        </w:numPr>
        <w:spacing w:after="0" w:line="240" w:lineRule="auto"/>
        <w:ind w:left="360" w:right="1372"/>
        <w:contextualSpacing/>
        <w:jc w:val="both"/>
        <w:outlineLvl w:val="1"/>
        <w:rPr>
          <w:rFonts w:ascii="Arial" w:eastAsia="SimSun" w:hAnsi="Arial" w:cs="Arial"/>
          <w:b/>
          <w:sz w:val="24"/>
          <w:szCs w:val="24"/>
          <w:lang w:eastAsia="es-ES"/>
        </w:rPr>
      </w:pPr>
      <w:bookmarkStart w:id="12" w:name="_Toc32593424"/>
      <w:r w:rsidRPr="00110E46">
        <w:rPr>
          <w:rFonts w:ascii="Arial" w:eastAsia="SimSun" w:hAnsi="Arial" w:cs="Arial"/>
          <w:b/>
          <w:sz w:val="24"/>
          <w:szCs w:val="24"/>
          <w:lang w:eastAsia="es-ES"/>
        </w:rPr>
        <w:lastRenderedPageBreak/>
        <w:t>Estado de Resultados</w:t>
      </w:r>
      <w:bookmarkEnd w:id="12"/>
    </w:p>
    <w:p w:rsidR="00FB50F1" w:rsidRDefault="00FB50F1" w:rsidP="00FB50F1">
      <w:pPr>
        <w:ind w:right="567"/>
        <w:contextualSpacing/>
        <w:jc w:val="both"/>
        <w:rPr>
          <w:rFonts w:ascii="Arial" w:hAnsi="Arial" w:cs="Arial"/>
          <w:b/>
          <w:color w:val="FF0000"/>
          <w:sz w:val="22"/>
          <w:szCs w:val="22"/>
        </w:rPr>
      </w:pPr>
    </w:p>
    <w:p w:rsidR="00072ED7" w:rsidRPr="00110E46" w:rsidRDefault="00072ED7" w:rsidP="00FB50F1">
      <w:pPr>
        <w:ind w:right="567"/>
        <w:contextualSpacing/>
        <w:jc w:val="both"/>
        <w:rPr>
          <w:rFonts w:ascii="Arial" w:hAnsi="Arial" w:cs="Arial"/>
          <w:sz w:val="24"/>
          <w:szCs w:val="24"/>
        </w:rPr>
      </w:pPr>
      <w:r w:rsidRPr="00110E46">
        <w:rPr>
          <w:rFonts w:ascii="Arial" w:hAnsi="Arial" w:cs="Arial"/>
          <w:b/>
          <w:sz w:val="24"/>
          <w:szCs w:val="24"/>
        </w:rPr>
        <w:t>Ingresos operativos</w:t>
      </w:r>
      <w:r w:rsidR="00353A87" w:rsidRPr="00110E46">
        <w:rPr>
          <w:rFonts w:ascii="Arial" w:hAnsi="Arial" w:cs="Arial"/>
          <w:sz w:val="24"/>
          <w:szCs w:val="24"/>
        </w:rPr>
        <w:t xml:space="preserve">, corresponden a ingresos </w:t>
      </w:r>
      <w:r w:rsidR="00227E75" w:rsidRPr="00110E46">
        <w:rPr>
          <w:rFonts w:ascii="Arial" w:hAnsi="Arial" w:cs="Arial"/>
          <w:sz w:val="24"/>
          <w:szCs w:val="24"/>
        </w:rPr>
        <w:t>derivados de</w:t>
      </w:r>
      <w:r w:rsidRPr="00110E46">
        <w:rPr>
          <w:rFonts w:ascii="Arial" w:hAnsi="Arial" w:cs="Arial"/>
          <w:sz w:val="24"/>
          <w:szCs w:val="24"/>
        </w:rPr>
        <w:t xml:space="preserve"> transferencias por concepto de donaciones y convenios.</w:t>
      </w:r>
      <w:r w:rsidR="00C61B92" w:rsidRPr="00110E46">
        <w:rPr>
          <w:rFonts w:ascii="Arial" w:hAnsi="Arial" w:cs="Arial"/>
          <w:sz w:val="24"/>
          <w:szCs w:val="24"/>
        </w:rPr>
        <w:t xml:space="preserve"> Entre los cuales encontramos:</w:t>
      </w:r>
    </w:p>
    <w:p w:rsidR="00FB50F1" w:rsidRDefault="00FB50F1" w:rsidP="00FB50F1">
      <w:pPr>
        <w:ind w:right="567"/>
        <w:contextualSpacing/>
        <w:jc w:val="both"/>
        <w:rPr>
          <w:rFonts w:ascii="Arial" w:hAnsi="Arial" w:cs="Arial"/>
          <w:b/>
          <w:sz w:val="24"/>
          <w:szCs w:val="24"/>
        </w:rPr>
      </w:pPr>
    </w:p>
    <w:p w:rsidR="00FB50F1" w:rsidRPr="00FB50F1" w:rsidRDefault="00A86876" w:rsidP="00FB50F1">
      <w:pPr>
        <w:pStyle w:val="Prrafodelista"/>
        <w:numPr>
          <w:ilvl w:val="0"/>
          <w:numId w:val="30"/>
        </w:numPr>
        <w:ind w:right="567"/>
        <w:contextualSpacing/>
        <w:jc w:val="both"/>
        <w:rPr>
          <w:rFonts w:ascii="Arial" w:hAnsi="Arial" w:cs="Arial"/>
          <w:sz w:val="24"/>
          <w:szCs w:val="24"/>
        </w:rPr>
      </w:pPr>
      <w:r w:rsidRPr="00FB50F1">
        <w:rPr>
          <w:rFonts w:ascii="Arial" w:hAnsi="Arial" w:cs="Arial"/>
          <w:b/>
          <w:sz w:val="24"/>
          <w:szCs w:val="24"/>
        </w:rPr>
        <w:t xml:space="preserve">Productos por </w:t>
      </w:r>
      <w:r w:rsidR="00FB50F1" w:rsidRPr="00FB50F1">
        <w:rPr>
          <w:rFonts w:ascii="Arial" w:hAnsi="Arial" w:cs="Arial"/>
          <w:b/>
          <w:sz w:val="24"/>
          <w:szCs w:val="24"/>
        </w:rPr>
        <w:t>cartera de crédito</w:t>
      </w:r>
      <w:r w:rsidR="00110E46" w:rsidRPr="00FB50F1">
        <w:rPr>
          <w:rFonts w:ascii="Arial" w:hAnsi="Arial" w:cs="Arial"/>
          <w:b/>
          <w:sz w:val="24"/>
          <w:szCs w:val="24"/>
        </w:rPr>
        <w:t xml:space="preserve">. </w:t>
      </w:r>
      <w:r w:rsidR="00FB50F1" w:rsidRPr="00FB50F1">
        <w:rPr>
          <w:rFonts w:ascii="Arial" w:eastAsia="SimSun" w:hAnsi="Arial" w:cs="Arial"/>
          <w:sz w:val="24"/>
          <w:szCs w:val="24"/>
        </w:rPr>
        <w:t>Son los ingresos obtenidos por los intereses ganados sobre préstamos, corresponden a la causación mensual que genera cada uno de los préstamos de la cartera de crédito concedidos a pequeños y medianos productores</w:t>
      </w:r>
      <w:r w:rsidR="00FB50F1" w:rsidRPr="00FB50F1">
        <w:rPr>
          <w:rFonts w:ascii="Arial" w:hAnsi="Arial" w:cs="Arial"/>
          <w:sz w:val="24"/>
          <w:szCs w:val="24"/>
        </w:rPr>
        <w:t xml:space="preserve">, por un total de </w:t>
      </w:r>
      <w:r w:rsidR="00FB50F1" w:rsidRPr="00FB50F1">
        <w:rPr>
          <w:rFonts w:ascii="Arial" w:hAnsi="Arial" w:cs="Arial"/>
          <w:b/>
          <w:sz w:val="24"/>
          <w:szCs w:val="24"/>
        </w:rPr>
        <w:t>¢</w:t>
      </w:r>
      <w:r w:rsidR="00C36EC3">
        <w:rPr>
          <w:rFonts w:ascii="Arial" w:hAnsi="Arial" w:cs="Arial"/>
          <w:b/>
          <w:sz w:val="24"/>
          <w:szCs w:val="24"/>
        </w:rPr>
        <w:t>177.865.526,30</w:t>
      </w:r>
      <w:r w:rsidR="00FB50F1" w:rsidRPr="00FB50F1">
        <w:rPr>
          <w:rFonts w:ascii="Arial" w:hAnsi="Arial" w:cs="Arial"/>
          <w:b/>
          <w:sz w:val="24"/>
          <w:szCs w:val="24"/>
        </w:rPr>
        <w:t xml:space="preserve">. </w:t>
      </w:r>
      <w:r w:rsidR="00FB50F1" w:rsidRPr="00FB50F1">
        <w:rPr>
          <w:rFonts w:ascii="Arial" w:eastAsia="SimSun" w:hAnsi="Arial" w:cs="Arial"/>
          <w:sz w:val="24"/>
          <w:szCs w:val="24"/>
        </w:rPr>
        <w:t>La comisión por morosidad de la cartera de crédito, corresponde al cobro de $10 (al tipo de cambio de venta), a todas aquellas operaciones de crédito que presenten atrasos.</w:t>
      </w:r>
    </w:p>
    <w:tbl>
      <w:tblPr>
        <w:tblW w:w="7225" w:type="dxa"/>
        <w:jc w:val="center"/>
        <w:tblCellMar>
          <w:left w:w="70" w:type="dxa"/>
          <w:right w:w="70" w:type="dxa"/>
        </w:tblCellMar>
        <w:tblLook w:val="04A0" w:firstRow="1" w:lastRow="0" w:firstColumn="1" w:lastColumn="0" w:noHBand="0" w:noVBand="1"/>
      </w:tblPr>
      <w:tblGrid>
        <w:gridCol w:w="5007"/>
        <w:gridCol w:w="2218"/>
      </w:tblGrid>
      <w:tr w:rsidR="00FB50F1" w:rsidRPr="00FB50F1" w:rsidTr="00D01065">
        <w:trPr>
          <w:trHeight w:val="396"/>
          <w:jc w:val="center"/>
        </w:trPr>
        <w:tc>
          <w:tcPr>
            <w:tcW w:w="5007" w:type="dxa"/>
            <w:tcBorders>
              <w:top w:val="single" w:sz="4" w:space="0" w:color="auto"/>
              <w:left w:val="single" w:sz="4" w:space="0" w:color="auto"/>
              <w:bottom w:val="single" w:sz="4" w:space="0" w:color="auto"/>
              <w:right w:val="nil"/>
            </w:tcBorders>
            <w:shd w:val="clear" w:color="auto" w:fill="00B050"/>
            <w:noWrap/>
            <w:vAlign w:val="center"/>
            <w:hideMark/>
          </w:tcPr>
          <w:p w:rsidR="00FB50F1" w:rsidRPr="002211A0" w:rsidRDefault="00FB50F1" w:rsidP="00FB50F1">
            <w:pPr>
              <w:jc w:val="center"/>
              <w:rPr>
                <w:rFonts w:ascii="Arial" w:eastAsia="Times New Roman" w:hAnsi="Arial" w:cs="Arial"/>
                <w:b/>
                <w:color w:val="000000"/>
                <w:sz w:val="22"/>
                <w:szCs w:val="22"/>
                <w:lang w:eastAsia="es-CR"/>
              </w:rPr>
            </w:pPr>
            <w:r w:rsidRPr="002211A0">
              <w:rPr>
                <w:rFonts w:ascii="Arial" w:eastAsia="Times New Roman" w:hAnsi="Arial" w:cs="Arial"/>
                <w:b/>
                <w:color w:val="000000"/>
                <w:sz w:val="22"/>
                <w:szCs w:val="22"/>
                <w:lang w:eastAsia="es-CR"/>
              </w:rPr>
              <w:t>Descripción</w:t>
            </w:r>
          </w:p>
        </w:tc>
        <w:tc>
          <w:tcPr>
            <w:tcW w:w="2218" w:type="dxa"/>
            <w:tcBorders>
              <w:top w:val="single" w:sz="4" w:space="0" w:color="auto"/>
              <w:left w:val="nil"/>
              <w:bottom w:val="single" w:sz="4" w:space="0" w:color="auto"/>
              <w:right w:val="single" w:sz="4" w:space="0" w:color="auto"/>
            </w:tcBorders>
            <w:shd w:val="clear" w:color="auto" w:fill="00B050"/>
            <w:noWrap/>
            <w:vAlign w:val="center"/>
            <w:hideMark/>
          </w:tcPr>
          <w:p w:rsidR="00FB50F1" w:rsidRPr="002211A0" w:rsidRDefault="00D01065" w:rsidP="00FB50F1">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diciembre</w:t>
            </w:r>
            <w:r w:rsidR="00F5580D" w:rsidRPr="002211A0">
              <w:rPr>
                <w:rFonts w:ascii="Arial" w:eastAsia="Times New Roman" w:hAnsi="Arial" w:cs="Arial"/>
                <w:b/>
                <w:color w:val="000000"/>
                <w:sz w:val="22"/>
                <w:szCs w:val="22"/>
                <w:lang w:eastAsia="es-CR"/>
              </w:rPr>
              <w:t xml:space="preserve"> 2019</w:t>
            </w:r>
          </w:p>
        </w:tc>
      </w:tr>
      <w:tr w:rsidR="00FB50F1" w:rsidRPr="00FB50F1" w:rsidTr="002211A0">
        <w:trPr>
          <w:trHeight w:val="300"/>
          <w:jc w:val="center"/>
        </w:trPr>
        <w:tc>
          <w:tcPr>
            <w:tcW w:w="5007" w:type="dxa"/>
            <w:tcBorders>
              <w:top w:val="nil"/>
              <w:left w:val="single" w:sz="4" w:space="0" w:color="auto"/>
              <w:bottom w:val="nil"/>
              <w:right w:val="nil"/>
            </w:tcBorders>
            <w:shd w:val="clear" w:color="auto" w:fill="auto"/>
            <w:noWrap/>
            <w:vAlign w:val="center"/>
            <w:hideMark/>
          </w:tcPr>
          <w:p w:rsidR="00FB50F1" w:rsidRPr="00FB50F1" w:rsidRDefault="00FB50F1" w:rsidP="00FB50F1">
            <w:pPr>
              <w:rPr>
                <w:rFonts w:ascii="Arial" w:eastAsia="Times New Roman" w:hAnsi="Arial" w:cs="Arial"/>
                <w:color w:val="000000"/>
                <w:sz w:val="22"/>
                <w:szCs w:val="22"/>
                <w:lang w:eastAsia="es-CR"/>
              </w:rPr>
            </w:pPr>
            <w:r w:rsidRPr="00FB50F1">
              <w:rPr>
                <w:rFonts w:ascii="Arial" w:eastAsia="Times New Roman" w:hAnsi="Arial" w:cs="Arial"/>
                <w:color w:val="000000"/>
                <w:sz w:val="22"/>
                <w:szCs w:val="22"/>
                <w:lang w:eastAsia="es-CR"/>
              </w:rPr>
              <w:t>Productos por intereses corrientes</w:t>
            </w:r>
          </w:p>
        </w:tc>
        <w:tc>
          <w:tcPr>
            <w:tcW w:w="2218" w:type="dxa"/>
            <w:tcBorders>
              <w:top w:val="nil"/>
              <w:left w:val="nil"/>
              <w:bottom w:val="nil"/>
              <w:right w:val="single" w:sz="4" w:space="0" w:color="auto"/>
            </w:tcBorders>
            <w:shd w:val="clear" w:color="auto" w:fill="auto"/>
            <w:noWrap/>
            <w:vAlign w:val="center"/>
            <w:hideMark/>
          </w:tcPr>
          <w:p w:rsidR="00FB50F1" w:rsidRPr="00FB50F1" w:rsidRDefault="00C36EC3" w:rsidP="00FB50F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175.853.769,96</w:t>
            </w:r>
          </w:p>
        </w:tc>
      </w:tr>
      <w:tr w:rsidR="00FB50F1" w:rsidRPr="00FB50F1" w:rsidTr="002211A0">
        <w:trPr>
          <w:trHeight w:val="300"/>
          <w:jc w:val="center"/>
        </w:trPr>
        <w:tc>
          <w:tcPr>
            <w:tcW w:w="5007" w:type="dxa"/>
            <w:tcBorders>
              <w:top w:val="nil"/>
              <w:left w:val="single" w:sz="4" w:space="0" w:color="auto"/>
              <w:bottom w:val="nil"/>
              <w:right w:val="nil"/>
            </w:tcBorders>
            <w:shd w:val="clear" w:color="auto" w:fill="auto"/>
            <w:noWrap/>
            <w:vAlign w:val="center"/>
            <w:hideMark/>
          </w:tcPr>
          <w:p w:rsidR="00FB50F1" w:rsidRPr="00FB50F1" w:rsidRDefault="00FB50F1" w:rsidP="00FB50F1">
            <w:pPr>
              <w:rPr>
                <w:rFonts w:ascii="Arial" w:eastAsia="Times New Roman" w:hAnsi="Arial" w:cs="Arial"/>
                <w:color w:val="000000"/>
                <w:sz w:val="22"/>
                <w:szCs w:val="22"/>
                <w:lang w:eastAsia="es-CR"/>
              </w:rPr>
            </w:pPr>
            <w:r w:rsidRPr="00FB50F1">
              <w:rPr>
                <w:rFonts w:ascii="Arial" w:eastAsia="Times New Roman" w:hAnsi="Arial" w:cs="Arial"/>
                <w:color w:val="000000"/>
                <w:sz w:val="22"/>
                <w:szCs w:val="22"/>
                <w:lang w:eastAsia="es-CR"/>
              </w:rPr>
              <w:t xml:space="preserve">Productos por intereses moratorios </w:t>
            </w:r>
          </w:p>
        </w:tc>
        <w:tc>
          <w:tcPr>
            <w:tcW w:w="2218" w:type="dxa"/>
            <w:tcBorders>
              <w:top w:val="nil"/>
              <w:left w:val="nil"/>
              <w:bottom w:val="nil"/>
              <w:right w:val="single" w:sz="4" w:space="0" w:color="auto"/>
            </w:tcBorders>
            <w:shd w:val="clear" w:color="auto" w:fill="auto"/>
            <w:noWrap/>
            <w:vAlign w:val="center"/>
            <w:hideMark/>
          </w:tcPr>
          <w:p w:rsidR="00FB50F1" w:rsidRPr="00FB50F1" w:rsidRDefault="00C36EC3" w:rsidP="00FB50F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1.577.381,84</w:t>
            </w:r>
          </w:p>
        </w:tc>
      </w:tr>
      <w:tr w:rsidR="00FB50F1" w:rsidRPr="00FB50F1" w:rsidTr="002211A0">
        <w:trPr>
          <w:trHeight w:val="300"/>
          <w:jc w:val="center"/>
        </w:trPr>
        <w:tc>
          <w:tcPr>
            <w:tcW w:w="5007" w:type="dxa"/>
            <w:tcBorders>
              <w:top w:val="nil"/>
              <w:left w:val="single" w:sz="4" w:space="0" w:color="auto"/>
              <w:bottom w:val="nil"/>
              <w:right w:val="nil"/>
            </w:tcBorders>
            <w:shd w:val="clear" w:color="auto" w:fill="auto"/>
            <w:noWrap/>
            <w:vAlign w:val="center"/>
            <w:hideMark/>
          </w:tcPr>
          <w:p w:rsidR="00FB50F1" w:rsidRPr="00FB50F1" w:rsidRDefault="00FB50F1" w:rsidP="00FB50F1">
            <w:pPr>
              <w:rPr>
                <w:rFonts w:ascii="Arial" w:eastAsia="Times New Roman" w:hAnsi="Arial" w:cs="Arial"/>
                <w:color w:val="000000"/>
                <w:sz w:val="22"/>
                <w:szCs w:val="22"/>
                <w:lang w:eastAsia="es-CR"/>
              </w:rPr>
            </w:pPr>
            <w:r w:rsidRPr="00FB50F1">
              <w:rPr>
                <w:rFonts w:ascii="Arial" w:eastAsia="Times New Roman" w:hAnsi="Arial" w:cs="Arial"/>
                <w:color w:val="000000"/>
                <w:sz w:val="22"/>
                <w:szCs w:val="22"/>
                <w:lang w:eastAsia="es-CR"/>
              </w:rPr>
              <w:t>Comisión por morosidad de la cartera de crédito</w:t>
            </w:r>
          </w:p>
        </w:tc>
        <w:tc>
          <w:tcPr>
            <w:tcW w:w="2218" w:type="dxa"/>
            <w:tcBorders>
              <w:top w:val="nil"/>
              <w:left w:val="nil"/>
              <w:bottom w:val="nil"/>
              <w:right w:val="single" w:sz="4" w:space="0" w:color="auto"/>
            </w:tcBorders>
            <w:shd w:val="clear" w:color="auto" w:fill="auto"/>
            <w:noWrap/>
            <w:vAlign w:val="center"/>
            <w:hideMark/>
          </w:tcPr>
          <w:p w:rsidR="00FB50F1" w:rsidRPr="00FB50F1" w:rsidRDefault="00C36EC3" w:rsidP="00FB50F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434.375.00</w:t>
            </w:r>
          </w:p>
        </w:tc>
      </w:tr>
      <w:tr w:rsidR="00FB50F1" w:rsidRPr="00FB50F1" w:rsidTr="00D01065">
        <w:trPr>
          <w:trHeight w:val="300"/>
          <w:jc w:val="center"/>
        </w:trPr>
        <w:tc>
          <w:tcPr>
            <w:tcW w:w="5007" w:type="dxa"/>
            <w:tcBorders>
              <w:top w:val="single" w:sz="4" w:space="0" w:color="auto"/>
              <w:left w:val="single" w:sz="4" w:space="0" w:color="auto"/>
              <w:bottom w:val="single" w:sz="4" w:space="0" w:color="auto"/>
              <w:right w:val="nil"/>
            </w:tcBorders>
            <w:shd w:val="clear" w:color="auto" w:fill="00B050"/>
            <w:noWrap/>
            <w:vAlign w:val="center"/>
            <w:hideMark/>
          </w:tcPr>
          <w:p w:rsidR="00FB50F1" w:rsidRPr="00FB50F1" w:rsidRDefault="00FB50F1" w:rsidP="00FB50F1">
            <w:pPr>
              <w:rPr>
                <w:rFonts w:ascii="Arial" w:eastAsia="Times New Roman" w:hAnsi="Arial" w:cs="Arial"/>
                <w:b/>
                <w:bCs/>
                <w:color w:val="000000"/>
                <w:sz w:val="22"/>
                <w:szCs w:val="22"/>
                <w:lang w:eastAsia="es-CR"/>
              </w:rPr>
            </w:pPr>
            <w:r w:rsidRPr="00FB50F1">
              <w:rPr>
                <w:rFonts w:ascii="Arial" w:eastAsia="Times New Roman" w:hAnsi="Arial" w:cs="Arial"/>
                <w:b/>
                <w:bCs/>
                <w:color w:val="000000"/>
                <w:sz w:val="22"/>
                <w:szCs w:val="22"/>
                <w:lang w:eastAsia="es-CR"/>
              </w:rPr>
              <w:t xml:space="preserve">Total productos por cartera de crédito </w:t>
            </w:r>
          </w:p>
        </w:tc>
        <w:tc>
          <w:tcPr>
            <w:tcW w:w="2218" w:type="dxa"/>
            <w:tcBorders>
              <w:top w:val="single" w:sz="4" w:space="0" w:color="auto"/>
              <w:left w:val="nil"/>
              <w:bottom w:val="single" w:sz="4" w:space="0" w:color="auto"/>
              <w:right w:val="single" w:sz="4" w:space="0" w:color="auto"/>
            </w:tcBorders>
            <w:shd w:val="clear" w:color="auto" w:fill="00B050"/>
            <w:noWrap/>
            <w:vAlign w:val="center"/>
            <w:hideMark/>
          </w:tcPr>
          <w:p w:rsidR="00FB50F1" w:rsidRPr="008F2018" w:rsidRDefault="00D01065" w:rsidP="00D01065">
            <w:pPr>
              <w:rPr>
                <w:rFonts w:ascii="Arial" w:eastAsia="Times New Roman" w:hAnsi="Arial" w:cs="Arial"/>
                <w:b/>
                <w:color w:val="000000"/>
                <w:sz w:val="22"/>
                <w:szCs w:val="22"/>
                <w:lang w:eastAsia="es-CR"/>
              </w:rPr>
            </w:pPr>
            <w:r w:rsidRPr="008F2018">
              <w:rPr>
                <w:rFonts w:ascii="Arial" w:eastAsia="Times New Roman" w:hAnsi="Arial" w:cs="Arial"/>
                <w:b/>
                <w:color w:val="000000"/>
                <w:sz w:val="22"/>
                <w:szCs w:val="22"/>
                <w:lang w:eastAsia="es-CR"/>
              </w:rPr>
              <w:t xml:space="preserve">        177.865.526,30</w:t>
            </w:r>
          </w:p>
        </w:tc>
      </w:tr>
    </w:tbl>
    <w:p w:rsidR="00FB50F1" w:rsidRDefault="00FB50F1" w:rsidP="00FB50F1">
      <w:pPr>
        <w:ind w:right="567"/>
        <w:contextualSpacing/>
        <w:jc w:val="both"/>
        <w:rPr>
          <w:rFonts w:ascii="Arial" w:hAnsi="Arial" w:cs="Arial"/>
          <w:sz w:val="24"/>
          <w:szCs w:val="24"/>
        </w:rPr>
      </w:pPr>
    </w:p>
    <w:p w:rsidR="00265AD3" w:rsidRPr="00FB50F1" w:rsidRDefault="00265AD3" w:rsidP="00FB50F1">
      <w:pPr>
        <w:ind w:right="567"/>
        <w:contextualSpacing/>
        <w:jc w:val="both"/>
        <w:rPr>
          <w:rFonts w:ascii="Arial" w:hAnsi="Arial" w:cs="Arial"/>
          <w:sz w:val="24"/>
          <w:szCs w:val="24"/>
        </w:rPr>
      </w:pPr>
    </w:p>
    <w:p w:rsidR="00FB50F1" w:rsidRDefault="00B45E4F" w:rsidP="00265AD3">
      <w:pPr>
        <w:pStyle w:val="Prrafodelista"/>
        <w:numPr>
          <w:ilvl w:val="0"/>
          <w:numId w:val="30"/>
        </w:numPr>
        <w:ind w:right="567"/>
        <w:contextualSpacing/>
        <w:jc w:val="both"/>
        <w:rPr>
          <w:rFonts w:ascii="Arial" w:hAnsi="Arial" w:cs="Arial"/>
          <w:sz w:val="24"/>
          <w:szCs w:val="24"/>
        </w:rPr>
      </w:pPr>
      <w:r w:rsidRPr="00110E46">
        <w:rPr>
          <w:rFonts w:ascii="Arial" w:hAnsi="Arial" w:cs="Arial"/>
          <w:b/>
          <w:sz w:val="24"/>
          <w:szCs w:val="24"/>
        </w:rPr>
        <w:t>Disminución estimaciones por incobrables y bienes realizables</w:t>
      </w:r>
      <w:r w:rsidR="00110E46" w:rsidRPr="00110E46">
        <w:rPr>
          <w:rFonts w:ascii="Arial" w:hAnsi="Arial" w:cs="Arial"/>
          <w:b/>
          <w:sz w:val="24"/>
          <w:szCs w:val="24"/>
        </w:rPr>
        <w:t xml:space="preserve">. </w:t>
      </w:r>
      <w:r w:rsidR="006B723F" w:rsidRPr="00110E46">
        <w:rPr>
          <w:rFonts w:ascii="Arial" w:hAnsi="Arial" w:cs="Arial"/>
          <w:sz w:val="24"/>
          <w:szCs w:val="24"/>
        </w:rPr>
        <w:t xml:space="preserve">Al cierre </w:t>
      </w:r>
      <w:r w:rsidR="00110E46" w:rsidRPr="00110E46">
        <w:rPr>
          <w:rFonts w:ascii="Arial" w:hAnsi="Arial" w:cs="Arial"/>
          <w:sz w:val="24"/>
          <w:szCs w:val="24"/>
        </w:rPr>
        <w:t xml:space="preserve">del </w:t>
      </w:r>
      <w:r w:rsidR="00D01065">
        <w:rPr>
          <w:rFonts w:ascii="Arial" w:hAnsi="Arial" w:cs="Arial"/>
          <w:sz w:val="24"/>
          <w:szCs w:val="24"/>
        </w:rPr>
        <w:t>segundo</w:t>
      </w:r>
      <w:r w:rsidR="00110E46" w:rsidRPr="00110E46">
        <w:rPr>
          <w:rFonts w:ascii="Arial" w:hAnsi="Arial" w:cs="Arial"/>
          <w:sz w:val="24"/>
          <w:szCs w:val="24"/>
        </w:rPr>
        <w:t xml:space="preserve"> semestre </w:t>
      </w:r>
      <w:r w:rsidR="006B723F" w:rsidRPr="00110E46">
        <w:rPr>
          <w:rFonts w:ascii="Arial" w:hAnsi="Arial" w:cs="Arial"/>
          <w:sz w:val="24"/>
          <w:szCs w:val="24"/>
        </w:rPr>
        <w:t>de</w:t>
      </w:r>
      <w:r w:rsidR="00110E46" w:rsidRPr="00110E46">
        <w:rPr>
          <w:rFonts w:ascii="Arial" w:hAnsi="Arial" w:cs="Arial"/>
          <w:sz w:val="24"/>
          <w:szCs w:val="24"/>
        </w:rPr>
        <w:t>l año 2019</w:t>
      </w:r>
      <w:r w:rsidR="006B723F" w:rsidRPr="00110E46">
        <w:rPr>
          <w:rFonts w:ascii="Arial" w:hAnsi="Arial" w:cs="Arial"/>
          <w:sz w:val="24"/>
          <w:szCs w:val="24"/>
        </w:rPr>
        <w:t xml:space="preserve"> se dio una estimación total por incobrables de </w:t>
      </w:r>
      <w:r w:rsidRPr="00110E46">
        <w:rPr>
          <w:rFonts w:ascii="Arial" w:hAnsi="Arial" w:cs="Arial"/>
          <w:b/>
          <w:sz w:val="24"/>
          <w:szCs w:val="24"/>
        </w:rPr>
        <w:t>¢</w:t>
      </w:r>
      <w:r w:rsidR="00412BB1">
        <w:rPr>
          <w:rFonts w:ascii="Arial" w:hAnsi="Arial" w:cs="Arial"/>
          <w:b/>
          <w:sz w:val="24"/>
          <w:szCs w:val="24"/>
        </w:rPr>
        <w:t>421.807.887,21</w:t>
      </w:r>
      <w:r w:rsidRPr="00110E46">
        <w:rPr>
          <w:rFonts w:ascii="Arial" w:hAnsi="Arial" w:cs="Arial"/>
          <w:sz w:val="24"/>
          <w:szCs w:val="24"/>
        </w:rPr>
        <w:t xml:space="preserve">, corresponde a la recuperación de créditos en cobro </w:t>
      </w:r>
      <w:r w:rsidR="00FB50F1">
        <w:rPr>
          <w:rFonts w:ascii="Arial" w:hAnsi="Arial" w:cs="Arial"/>
          <w:sz w:val="24"/>
          <w:szCs w:val="24"/>
        </w:rPr>
        <w:t>dudoso de cuentas por cobrar y bienes r</w:t>
      </w:r>
      <w:r w:rsidRPr="00110E46">
        <w:rPr>
          <w:rFonts w:ascii="Arial" w:hAnsi="Arial" w:cs="Arial"/>
          <w:sz w:val="24"/>
          <w:szCs w:val="24"/>
        </w:rPr>
        <w:t>ealizables, por lo que en algún momento le fue aplicada su respectiva estimación por incobrabilidad según política de estimación aprobada por el Fideicomiso.</w:t>
      </w:r>
    </w:p>
    <w:p w:rsidR="00265AD3" w:rsidRPr="00265AD3" w:rsidRDefault="00265AD3" w:rsidP="00265AD3">
      <w:pPr>
        <w:pStyle w:val="Prrafodelista"/>
        <w:ind w:left="765" w:right="567"/>
        <w:contextualSpacing/>
        <w:jc w:val="both"/>
        <w:rPr>
          <w:rFonts w:ascii="Arial" w:hAnsi="Arial" w:cs="Arial"/>
          <w:sz w:val="24"/>
          <w:szCs w:val="24"/>
        </w:rPr>
      </w:pPr>
    </w:p>
    <w:tbl>
      <w:tblPr>
        <w:tblW w:w="7225" w:type="dxa"/>
        <w:jc w:val="center"/>
        <w:tblCellMar>
          <w:left w:w="70" w:type="dxa"/>
          <w:right w:w="70" w:type="dxa"/>
        </w:tblCellMar>
        <w:tblLook w:val="04A0" w:firstRow="1" w:lastRow="0" w:firstColumn="1" w:lastColumn="0" w:noHBand="0" w:noVBand="1"/>
      </w:tblPr>
      <w:tblGrid>
        <w:gridCol w:w="4957"/>
        <w:gridCol w:w="2268"/>
      </w:tblGrid>
      <w:tr w:rsidR="00FB50F1" w:rsidRPr="00FB50F1" w:rsidTr="006541D9">
        <w:trPr>
          <w:trHeight w:val="300"/>
          <w:jc w:val="center"/>
        </w:trPr>
        <w:tc>
          <w:tcPr>
            <w:tcW w:w="4957" w:type="dxa"/>
            <w:tcBorders>
              <w:top w:val="single" w:sz="4" w:space="0" w:color="auto"/>
              <w:left w:val="single" w:sz="4" w:space="0" w:color="auto"/>
              <w:bottom w:val="single" w:sz="4" w:space="0" w:color="auto"/>
              <w:right w:val="nil"/>
            </w:tcBorders>
            <w:shd w:val="clear" w:color="auto" w:fill="00B050"/>
            <w:noWrap/>
            <w:vAlign w:val="center"/>
            <w:hideMark/>
          </w:tcPr>
          <w:p w:rsidR="00FB50F1" w:rsidRPr="002211A0" w:rsidRDefault="00FB50F1" w:rsidP="00FB50F1">
            <w:pPr>
              <w:jc w:val="center"/>
              <w:rPr>
                <w:rFonts w:ascii="Arial" w:eastAsia="Times New Roman" w:hAnsi="Arial" w:cs="Arial"/>
                <w:b/>
                <w:color w:val="000000"/>
                <w:sz w:val="22"/>
                <w:szCs w:val="22"/>
                <w:lang w:eastAsia="es-CR"/>
              </w:rPr>
            </w:pPr>
            <w:r w:rsidRPr="002211A0">
              <w:rPr>
                <w:rFonts w:ascii="Arial" w:eastAsia="Times New Roman" w:hAnsi="Arial" w:cs="Arial"/>
                <w:b/>
                <w:color w:val="000000"/>
                <w:sz w:val="22"/>
                <w:szCs w:val="22"/>
                <w:lang w:eastAsia="es-CR"/>
              </w:rPr>
              <w:t>Descripción</w:t>
            </w:r>
          </w:p>
        </w:tc>
        <w:tc>
          <w:tcPr>
            <w:tcW w:w="2268" w:type="dxa"/>
            <w:tcBorders>
              <w:top w:val="single" w:sz="4" w:space="0" w:color="auto"/>
              <w:left w:val="nil"/>
              <w:bottom w:val="single" w:sz="4" w:space="0" w:color="auto"/>
              <w:right w:val="single" w:sz="4" w:space="0" w:color="auto"/>
            </w:tcBorders>
            <w:shd w:val="clear" w:color="auto" w:fill="00B050"/>
            <w:noWrap/>
            <w:vAlign w:val="center"/>
            <w:hideMark/>
          </w:tcPr>
          <w:p w:rsidR="00FB50F1" w:rsidRPr="002211A0" w:rsidRDefault="00412BB1" w:rsidP="00FB50F1">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diciembre</w:t>
            </w:r>
            <w:r w:rsidR="00F5580D" w:rsidRPr="002211A0">
              <w:rPr>
                <w:rFonts w:ascii="Arial" w:eastAsia="Times New Roman" w:hAnsi="Arial" w:cs="Arial"/>
                <w:b/>
                <w:color w:val="000000"/>
                <w:sz w:val="22"/>
                <w:szCs w:val="22"/>
                <w:lang w:eastAsia="es-CR"/>
              </w:rPr>
              <w:t xml:space="preserve"> 2019</w:t>
            </w:r>
          </w:p>
        </w:tc>
      </w:tr>
      <w:tr w:rsidR="00FB50F1" w:rsidRPr="00FB50F1" w:rsidTr="00FB50F1">
        <w:trPr>
          <w:trHeight w:val="300"/>
          <w:jc w:val="center"/>
        </w:trPr>
        <w:tc>
          <w:tcPr>
            <w:tcW w:w="4957" w:type="dxa"/>
            <w:tcBorders>
              <w:top w:val="nil"/>
              <w:left w:val="single" w:sz="4" w:space="0" w:color="auto"/>
              <w:bottom w:val="nil"/>
              <w:right w:val="nil"/>
            </w:tcBorders>
            <w:shd w:val="clear" w:color="auto" w:fill="auto"/>
            <w:noWrap/>
            <w:vAlign w:val="center"/>
            <w:hideMark/>
          </w:tcPr>
          <w:p w:rsidR="00FB50F1" w:rsidRPr="00FB50F1" w:rsidRDefault="00FB50F1" w:rsidP="00FB50F1">
            <w:pPr>
              <w:rPr>
                <w:rFonts w:ascii="Arial" w:eastAsia="Times New Roman" w:hAnsi="Arial" w:cs="Arial"/>
                <w:color w:val="000000"/>
                <w:sz w:val="22"/>
                <w:szCs w:val="22"/>
                <w:lang w:eastAsia="es-CR"/>
              </w:rPr>
            </w:pPr>
            <w:r w:rsidRPr="00FB50F1">
              <w:rPr>
                <w:rFonts w:ascii="Arial" w:eastAsia="Times New Roman" w:hAnsi="Arial" w:cs="Arial"/>
                <w:color w:val="000000"/>
                <w:sz w:val="22"/>
                <w:szCs w:val="22"/>
                <w:lang w:eastAsia="es-CR"/>
              </w:rPr>
              <w:t xml:space="preserve">Disminución estimación por incobrables </w:t>
            </w:r>
          </w:p>
        </w:tc>
        <w:tc>
          <w:tcPr>
            <w:tcW w:w="2268" w:type="dxa"/>
            <w:tcBorders>
              <w:top w:val="nil"/>
              <w:left w:val="nil"/>
              <w:bottom w:val="nil"/>
              <w:right w:val="single" w:sz="4" w:space="0" w:color="auto"/>
            </w:tcBorders>
            <w:shd w:val="clear" w:color="auto" w:fill="auto"/>
            <w:noWrap/>
            <w:vAlign w:val="center"/>
            <w:hideMark/>
          </w:tcPr>
          <w:p w:rsidR="00FB50F1" w:rsidRPr="00FB50F1" w:rsidRDefault="00412BB1" w:rsidP="00FB50F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401.845.702,14</w:t>
            </w:r>
          </w:p>
        </w:tc>
      </w:tr>
      <w:tr w:rsidR="00FB50F1" w:rsidRPr="00FB50F1" w:rsidTr="00FB50F1">
        <w:trPr>
          <w:trHeight w:val="300"/>
          <w:jc w:val="center"/>
        </w:trPr>
        <w:tc>
          <w:tcPr>
            <w:tcW w:w="4957" w:type="dxa"/>
            <w:tcBorders>
              <w:top w:val="nil"/>
              <w:left w:val="single" w:sz="4" w:space="0" w:color="auto"/>
              <w:bottom w:val="nil"/>
              <w:right w:val="nil"/>
            </w:tcBorders>
            <w:shd w:val="clear" w:color="auto" w:fill="auto"/>
            <w:noWrap/>
            <w:vAlign w:val="center"/>
            <w:hideMark/>
          </w:tcPr>
          <w:p w:rsidR="00FB50F1" w:rsidRPr="00FB50F1" w:rsidRDefault="00FB50F1" w:rsidP="00FB50F1">
            <w:pPr>
              <w:rPr>
                <w:rFonts w:ascii="Arial" w:eastAsia="Times New Roman" w:hAnsi="Arial" w:cs="Arial"/>
                <w:color w:val="000000"/>
                <w:sz w:val="22"/>
                <w:szCs w:val="22"/>
                <w:lang w:eastAsia="es-CR"/>
              </w:rPr>
            </w:pPr>
            <w:r w:rsidRPr="00FB50F1">
              <w:rPr>
                <w:rFonts w:ascii="Arial" w:eastAsia="Times New Roman" w:hAnsi="Arial" w:cs="Arial"/>
                <w:color w:val="000000"/>
                <w:sz w:val="22"/>
                <w:szCs w:val="22"/>
                <w:lang w:eastAsia="es-CR"/>
              </w:rPr>
              <w:t>Disminución estimación por deterioro de bienes realizables</w:t>
            </w:r>
          </w:p>
        </w:tc>
        <w:tc>
          <w:tcPr>
            <w:tcW w:w="2268" w:type="dxa"/>
            <w:tcBorders>
              <w:top w:val="nil"/>
              <w:left w:val="nil"/>
              <w:bottom w:val="nil"/>
              <w:right w:val="single" w:sz="4" w:space="0" w:color="auto"/>
            </w:tcBorders>
            <w:shd w:val="clear" w:color="auto" w:fill="auto"/>
            <w:noWrap/>
            <w:vAlign w:val="center"/>
            <w:hideMark/>
          </w:tcPr>
          <w:p w:rsidR="00FB50F1" w:rsidRPr="00FB50F1" w:rsidRDefault="00412BB1" w:rsidP="00FB50F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19.962.185,07</w:t>
            </w:r>
          </w:p>
        </w:tc>
      </w:tr>
      <w:tr w:rsidR="00FB50F1" w:rsidRPr="00FB50F1" w:rsidTr="006541D9">
        <w:trPr>
          <w:trHeight w:val="300"/>
          <w:jc w:val="center"/>
        </w:trPr>
        <w:tc>
          <w:tcPr>
            <w:tcW w:w="4957" w:type="dxa"/>
            <w:tcBorders>
              <w:top w:val="single" w:sz="4" w:space="0" w:color="auto"/>
              <w:left w:val="single" w:sz="4" w:space="0" w:color="auto"/>
              <w:bottom w:val="single" w:sz="4" w:space="0" w:color="auto"/>
              <w:right w:val="nil"/>
            </w:tcBorders>
            <w:shd w:val="clear" w:color="auto" w:fill="00B050"/>
            <w:noWrap/>
            <w:vAlign w:val="center"/>
            <w:hideMark/>
          </w:tcPr>
          <w:p w:rsidR="00FB50F1" w:rsidRPr="00FB50F1" w:rsidRDefault="00FB50F1" w:rsidP="00FB50F1">
            <w:pPr>
              <w:rPr>
                <w:rFonts w:ascii="Arial" w:eastAsia="Times New Roman" w:hAnsi="Arial" w:cs="Arial"/>
                <w:b/>
                <w:bCs/>
                <w:color w:val="000000"/>
                <w:sz w:val="22"/>
                <w:szCs w:val="22"/>
                <w:lang w:eastAsia="es-CR"/>
              </w:rPr>
            </w:pPr>
            <w:r w:rsidRPr="00FB50F1">
              <w:rPr>
                <w:rFonts w:ascii="Arial" w:eastAsia="Times New Roman" w:hAnsi="Arial" w:cs="Arial"/>
                <w:b/>
                <w:bCs/>
                <w:color w:val="000000"/>
                <w:sz w:val="22"/>
                <w:szCs w:val="22"/>
                <w:lang w:eastAsia="es-CR"/>
              </w:rPr>
              <w:t>Total disminución de la estimación</w:t>
            </w:r>
          </w:p>
        </w:tc>
        <w:tc>
          <w:tcPr>
            <w:tcW w:w="2268" w:type="dxa"/>
            <w:tcBorders>
              <w:top w:val="single" w:sz="4" w:space="0" w:color="auto"/>
              <w:left w:val="nil"/>
              <w:bottom w:val="single" w:sz="4" w:space="0" w:color="auto"/>
              <w:right w:val="single" w:sz="4" w:space="0" w:color="auto"/>
            </w:tcBorders>
            <w:shd w:val="clear" w:color="auto" w:fill="00B050"/>
            <w:noWrap/>
            <w:vAlign w:val="center"/>
            <w:hideMark/>
          </w:tcPr>
          <w:p w:rsidR="00FB50F1" w:rsidRPr="008F2018" w:rsidRDefault="008F2018" w:rsidP="00FB50F1">
            <w:pPr>
              <w:jc w:val="right"/>
              <w:rPr>
                <w:rFonts w:ascii="Arial" w:eastAsia="Times New Roman" w:hAnsi="Arial" w:cs="Arial"/>
                <w:b/>
                <w:color w:val="000000"/>
                <w:sz w:val="22"/>
                <w:szCs w:val="22"/>
                <w:lang w:eastAsia="es-CR"/>
              </w:rPr>
            </w:pPr>
            <w:r w:rsidRPr="008F2018">
              <w:rPr>
                <w:rFonts w:ascii="Arial" w:eastAsia="Times New Roman" w:hAnsi="Arial" w:cs="Arial"/>
                <w:b/>
                <w:color w:val="000000"/>
                <w:sz w:val="22"/>
                <w:szCs w:val="22"/>
                <w:lang w:eastAsia="es-CR"/>
              </w:rPr>
              <w:t>421.807.887,21</w:t>
            </w:r>
          </w:p>
        </w:tc>
      </w:tr>
    </w:tbl>
    <w:p w:rsidR="00FB50F1" w:rsidRDefault="00FB50F1" w:rsidP="00FB50F1">
      <w:pPr>
        <w:ind w:right="567"/>
        <w:contextualSpacing/>
        <w:jc w:val="both"/>
        <w:rPr>
          <w:rFonts w:ascii="Arial" w:hAnsi="Arial" w:cs="Arial"/>
          <w:sz w:val="24"/>
          <w:szCs w:val="24"/>
        </w:rPr>
      </w:pPr>
    </w:p>
    <w:p w:rsidR="00265AD3" w:rsidRPr="00FB50F1" w:rsidRDefault="00265AD3" w:rsidP="00FB50F1">
      <w:pPr>
        <w:ind w:right="567"/>
        <w:contextualSpacing/>
        <w:jc w:val="both"/>
        <w:rPr>
          <w:rFonts w:ascii="Arial" w:hAnsi="Arial" w:cs="Arial"/>
          <w:sz w:val="24"/>
          <w:szCs w:val="24"/>
        </w:rPr>
      </w:pPr>
    </w:p>
    <w:p w:rsidR="0029157D" w:rsidRDefault="0029157D" w:rsidP="00481AF4">
      <w:pPr>
        <w:pStyle w:val="Prrafodelista"/>
        <w:numPr>
          <w:ilvl w:val="0"/>
          <w:numId w:val="30"/>
        </w:numPr>
        <w:ind w:right="567"/>
        <w:contextualSpacing/>
        <w:jc w:val="both"/>
        <w:rPr>
          <w:rFonts w:ascii="Arial" w:hAnsi="Arial" w:cs="Arial"/>
          <w:sz w:val="24"/>
          <w:szCs w:val="24"/>
        </w:rPr>
      </w:pPr>
      <w:r>
        <w:rPr>
          <w:rFonts w:ascii="Arial" w:hAnsi="Arial" w:cs="Arial"/>
          <w:b/>
          <w:sz w:val="24"/>
          <w:szCs w:val="24"/>
        </w:rPr>
        <w:t>Otros i</w:t>
      </w:r>
      <w:r w:rsidR="00A86876" w:rsidRPr="00481AF4">
        <w:rPr>
          <w:rFonts w:ascii="Arial" w:hAnsi="Arial" w:cs="Arial"/>
          <w:b/>
          <w:sz w:val="24"/>
          <w:szCs w:val="24"/>
        </w:rPr>
        <w:t xml:space="preserve">ngresos </w:t>
      </w:r>
      <w:r>
        <w:rPr>
          <w:rFonts w:ascii="Arial" w:hAnsi="Arial" w:cs="Arial"/>
          <w:b/>
          <w:sz w:val="24"/>
          <w:szCs w:val="24"/>
        </w:rPr>
        <w:t>operativos</w:t>
      </w:r>
      <w:r w:rsidR="00481AF4" w:rsidRPr="00481AF4">
        <w:rPr>
          <w:rFonts w:ascii="Arial" w:hAnsi="Arial" w:cs="Arial"/>
          <w:b/>
          <w:sz w:val="24"/>
          <w:szCs w:val="24"/>
        </w:rPr>
        <w:t>.</w:t>
      </w:r>
      <w:r w:rsidR="00481AF4" w:rsidRPr="00481AF4">
        <w:rPr>
          <w:rFonts w:ascii="Arial" w:hAnsi="Arial" w:cs="Arial"/>
          <w:sz w:val="24"/>
          <w:szCs w:val="24"/>
        </w:rPr>
        <w:t xml:space="preserve"> </w:t>
      </w:r>
      <w:r>
        <w:rPr>
          <w:rFonts w:ascii="Arial" w:hAnsi="Arial" w:cs="Arial"/>
          <w:sz w:val="24"/>
          <w:szCs w:val="24"/>
        </w:rPr>
        <w:t xml:space="preserve">Corresponde a los depósitos efectuados por donaciones, venta de servicios ambientales entre otros por un monto de </w:t>
      </w:r>
      <w:r w:rsidRPr="0029157D">
        <w:rPr>
          <w:rFonts w:ascii="Arial" w:hAnsi="Arial" w:cs="Arial"/>
          <w:b/>
          <w:sz w:val="24"/>
          <w:szCs w:val="24"/>
        </w:rPr>
        <w:t>¢</w:t>
      </w:r>
      <w:r w:rsidR="001576D2">
        <w:rPr>
          <w:rFonts w:ascii="Arial" w:hAnsi="Arial" w:cs="Arial"/>
          <w:b/>
          <w:sz w:val="24"/>
          <w:szCs w:val="24"/>
        </w:rPr>
        <w:t>869.622.546,70</w:t>
      </w:r>
      <w:r>
        <w:rPr>
          <w:rFonts w:ascii="Arial" w:hAnsi="Arial" w:cs="Arial"/>
          <w:sz w:val="24"/>
          <w:szCs w:val="24"/>
        </w:rPr>
        <w:t xml:space="preserve"> según se detalla a continuación: </w:t>
      </w:r>
    </w:p>
    <w:p w:rsidR="0029157D" w:rsidRDefault="0029157D" w:rsidP="0029157D">
      <w:pPr>
        <w:pStyle w:val="Prrafodelista"/>
        <w:rPr>
          <w:rFonts w:ascii="Arial" w:hAnsi="Arial" w:cs="Arial"/>
          <w:sz w:val="24"/>
          <w:szCs w:val="24"/>
        </w:rPr>
      </w:pPr>
    </w:p>
    <w:p w:rsidR="00F5580D" w:rsidRDefault="00F5580D" w:rsidP="0029157D">
      <w:pPr>
        <w:pStyle w:val="Prrafodelista"/>
        <w:rPr>
          <w:rFonts w:ascii="Arial" w:hAnsi="Arial" w:cs="Arial"/>
          <w:sz w:val="24"/>
          <w:szCs w:val="24"/>
        </w:rPr>
      </w:pPr>
    </w:p>
    <w:p w:rsidR="00265AD3" w:rsidRDefault="00265AD3" w:rsidP="0029157D">
      <w:pPr>
        <w:pStyle w:val="Prrafodelista"/>
        <w:rPr>
          <w:rFonts w:ascii="Arial" w:hAnsi="Arial" w:cs="Arial"/>
          <w:sz w:val="24"/>
          <w:szCs w:val="24"/>
        </w:rPr>
      </w:pPr>
    </w:p>
    <w:tbl>
      <w:tblPr>
        <w:tblW w:w="7083" w:type="dxa"/>
        <w:jc w:val="center"/>
        <w:tblCellMar>
          <w:left w:w="70" w:type="dxa"/>
          <w:right w:w="70" w:type="dxa"/>
        </w:tblCellMar>
        <w:tblLook w:val="04A0" w:firstRow="1" w:lastRow="0" w:firstColumn="1" w:lastColumn="0" w:noHBand="0" w:noVBand="1"/>
      </w:tblPr>
      <w:tblGrid>
        <w:gridCol w:w="4600"/>
        <w:gridCol w:w="2483"/>
      </w:tblGrid>
      <w:tr w:rsidR="00E55D55" w:rsidRPr="00E55D55" w:rsidTr="001576D2">
        <w:trPr>
          <w:trHeight w:val="459"/>
          <w:jc w:val="center"/>
        </w:trPr>
        <w:tc>
          <w:tcPr>
            <w:tcW w:w="4600" w:type="dxa"/>
            <w:tcBorders>
              <w:top w:val="single" w:sz="4" w:space="0" w:color="auto"/>
              <w:left w:val="single" w:sz="4" w:space="0" w:color="auto"/>
              <w:bottom w:val="single" w:sz="4" w:space="0" w:color="auto"/>
              <w:right w:val="nil"/>
            </w:tcBorders>
            <w:shd w:val="clear" w:color="auto" w:fill="00B050"/>
            <w:noWrap/>
            <w:vAlign w:val="center"/>
            <w:hideMark/>
          </w:tcPr>
          <w:p w:rsidR="00E55D55" w:rsidRPr="002211A0" w:rsidRDefault="00E55D55" w:rsidP="00E55D55">
            <w:pPr>
              <w:jc w:val="center"/>
              <w:rPr>
                <w:rFonts w:ascii="Arial" w:eastAsia="Times New Roman" w:hAnsi="Arial" w:cs="Arial"/>
                <w:b/>
                <w:color w:val="000000"/>
                <w:sz w:val="22"/>
                <w:szCs w:val="22"/>
                <w:lang w:eastAsia="es-CR"/>
              </w:rPr>
            </w:pPr>
            <w:r w:rsidRPr="002211A0">
              <w:rPr>
                <w:rFonts w:ascii="Arial" w:eastAsia="Times New Roman" w:hAnsi="Arial" w:cs="Arial"/>
                <w:b/>
                <w:color w:val="000000"/>
                <w:sz w:val="22"/>
                <w:szCs w:val="22"/>
                <w:lang w:eastAsia="es-CR"/>
              </w:rPr>
              <w:lastRenderedPageBreak/>
              <w:t>Descripción</w:t>
            </w:r>
          </w:p>
        </w:tc>
        <w:tc>
          <w:tcPr>
            <w:tcW w:w="2483" w:type="dxa"/>
            <w:tcBorders>
              <w:top w:val="single" w:sz="4" w:space="0" w:color="auto"/>
              <w:left w:val="nil"/>
              <w:bottom w:val="single" w:sz="4" w:space="0" w:color="auto"/>
              <w:right w:val="single" w:sz="4" w:space="0" w:color="auto"/>
            </w:tcBorders>
            <w:shd w:val="clear" w:color="auto" w:fill="00B050"/>
            <w:noWrap/>
            <w:vAlign w:val="center"/>
            <w:hideMark/>
          </w:tcPr>
          <w:p w:rsidR="00E55D55" w:rsidRPr="002211A0" w:rsidRDefault="001576D2" w:rsidP="00E55D55">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diciembre</w:t>
            </w:r>
            <w:r w:rsidR="001F6C49" w:rsidRPr="002211A0">
              <w:rPr>
                <w:rFonts w:ascii="Arial" w:eastAsia="Times New Roman" w:hAnsi="Arial" w:cs="Arial"/>
                <w:b/>
                <w:color w:val="000000"/>
                <w:sz w:val="22"/>
                <w:szCs w:val="22"/>
                <w:lang w:eastAsia="es-CR"/>
              </w:rPr>
              <w:t xml:space="preserve"> 2019</w:t>
            </w:r>
          </w:p>
        </w:tc>
      </w:tr>
      <w:tr w:rsidR="001576D2" w:rsidRPr="00E55D55" w:rsidTr="001576D2">
        <w:trPr>
          <w:trHeight w:val="227"/>
          <w:jc w:val="center"/>
        </w:trPr>
        <w:tc>
          <w:tcPr>
            <w:tcW w:w="4600" w:type="dxa"/>
            <w:tcBorders>
              <w:top w:val="nil"/>
              <w:left w:val="single" w:sz="4" w:space="0" w:color="auto"/>
              <w:bottom w:val="nil"/>
              <w:right w:val="nil"/>
            </w:tcBorders>
            <w:shd w:val="clear" w:color="auto" w:fill="auto"/>
            <w:noWrap/>
            <w:vAlign w:val="center"/>
          </w:tcPr>
          <w:p w:rsidR="001576D2" w:rsidRPr="00E55D55" w:rsidRDefault="001576D2" w:rsidP="00E55D55">
            <w:pPr>
              <w:rPr>
                <w:rFonts w:ascii="Arial" w:eastAsia="Times New Roman" w:hAnsi="Arial" w:cs="Arial"/>
                <w:color w:val="000000"/>
                <w:sz w:val="22"/>
                <w:szCs w:val="22"/>
                <w:lang w:eastAsia="es-CR"/>
              </w:rPr>
            </w:pPr>
            <w:r w:rsidRPr="001576D2">
              <w:rPr>
                <w:rFonts w:ascii="Arial" w:eastAsia="Times New Roman" w:hAnsi="Arial" w:cs="Arial"/>
                <w:color w:val="000000"/>
                <w:sz w:val="22"/>
                <w:szCs w:val="22"/>
                <w:lang w:eastAsia="es-CR"/>
              </w:rPr>
              <w:t>Reintegro de desembolsos</w:t>
            </w:r>
          </w:p>
        </w:tc>
        <w:tc>
          <w:tcPr>
            <w:tcW w:w="2483" w:type="dxa"/>
            <w:tcBorders>
              <w:top w:val="nil"/>
              <w:left w:val="nil"/>
              <w:bottom w:val="nil"/>
              <w:right w:val="single" w:sz="4" w:space="0" w:color="auto"/>
            </w:tcBorders>
            <w:shd w:val="clear" w:color="auto" w:fill="auto"/>
            <w:noWrap/>
            <w:vAlign w:val="center"/>
          </w:tcPr>
          <w:p w:rsidR="001576D2" w:rsidRPr="00E55D55" w:rsidRDefault="001576D2" w:rsidP="00E55D55">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203.725.469,75</w:t>
            </w:r>
          </w:p>
        </w:tc>
      </w:tr>
      <w:tr w:rsidR="00E55D55" w:rsidRPr="00E55D55" w:rsidTr="001576D2">
        <w:trPr>
          <w:trHeight w:val="227"/>
          <w:jc w:val="center"/>
        </w:trPr>
        <w:tc>
          <w:tcPr>
            <w:tcW w:w="4600" w:type="dxa"/>
            <w:tcBorders>
              <w:top w:val="nil"/>
              <w:left w:val="single" w:sz="4" w:space="0" w:color="auto"/>
              <w:bottom w:val="nil"/>
              <w:right w:val="nil"/>
            </w:tcBorders>
            <w:shd w:val="clear" w:color="auto" w:fill="auto"/>
            <w:noWrap/>
            <w:vAlign w:val="center"/>
            <w:hideMark/>
          </w:tcPr>
          <w:p w:rsidR="00E55D55" w:rsidRPr="00E55D55" w:rsidRDefault="00E55D55" w:rsidP="00E55D55">
            <w:pPr>
              <w:rPr>
                <w:rFonts w:ascii="Arial" w:eastAsia="Times New Roman" w:hAnsi="Arial" w:cs="Arial"/>
                <w:color w:val="000000"/>
                <w:sz w:val="22"/>
                <w:szCs w:val="22"/>
                <w:lang w:eastAsia="es-CR"/>
              </w:rPr>
            </w:pPr>
            <w:r w:rsidRPr="00E55D55">
              <w:rPr>
                <w:rFonts w:ascii="Arial" w:eastAsia="Times New Roman" w:hAnsi="Arial" w:cs="Arial"/>
                <w:color w:val="000000"/>
                <w:sz w:val="22"/>
                <w:szCs w:val="22"/>
                <w:lang w:eastAsia="es-CR"/>
              </w:rPr>
              <w:t>Reintegros de PSA</w:t>
            </w:r>
          </w:p>
        </w:tc>
        <w:tc>
          <w:tcPr>
            <w:tcW w:w="2483" w:type="dxa"/>
            <w:tcBorders>
              <w:top w:val="nil"/>
              <w:left w:val="nil"/>
              <w:bottom w:val="nil"/>
              <w:right w:val="single" w:sz="4" w:space="0" w:color="auto"/>
            </w:tcBorders>
            <w:shd w:val="clear" w:color="auto" w:fill="auto"/>
            <w:noWrap/>
            <w:vAlign w:val="center"/>
            <w:hideMark/>
          </w:tcPr>
          <w:p w:rsidR="00E55D55" w:rsidRPr="00E55D55" w:rsidRDefault="001576D2" w:rsidP="001576D2">
            <w:pPr>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 xml:space="preserve">               88.058.928,25</w:t>
            </w:r>
          </w:p>
        </w:tc>
      </w:tr>
      <w:tr w:rsidR="00E55D55" w:rsidRPr="00E55D55" w:rsidTr="001576D2">
        <w:trPr>
          <w:trHeight w:val="256"/>
          <w:jc w:val="center"/>
        </w:trPr>
        <w:tc>
          <w:tcPr>
            <w:tcW w:w="4600" w:type="dxa"/>
            <w:tcBorders>
              <w:top w:val="nil"/>
              <w:left w:val="single" w:sz="4" w:space="0" w:color="auto"/>
              <w:bottom w:val="nil"/>
              <w:right w:val="nil"/>
            </w:tcBorders>
            <w:shd w:val="clear" w:color="auto" w:fill="auto"/>
            <w:noWrap/>
            <w:vAlign w:val="center"/>
            <w:hideMark/>
          </w:tcPr>
          <w:p w:rsidR="00E55D55" w:rsidRPr="00E55D55" w:rsidRDefault="001576D2" w:rsidP="00E55D55">
            <w:pPr>
              <w:rPr>
                <w:rFonts w:ascii="Arial" w:eastAsia="Times New Roman" w:hAnsi="Arial" w:cs="Arial"/>
                <w:color w:val="000000"/>
                <w:sz w:val="22"/>
                <w:szCs w:val="22"/>
                <w:lang w:eastAsia="es-CR"/>
              </w:rPr>
            </w:pPr>
            <w:r w:rsidRPr="001576D2">
              <w:rPr>
                <w:rFonts w:ascii="Arial" w:eastAsia="Times New Roman" w:hAnsi="Arial" w:cs="Arial"/>
                <w:color w:val="000000"/>
                <w:sz w:val="22"/>
                <w:szCs w:val="22"/>
                <w:lang w:eastAsia="es-CR"/>
              </w:rPr>
              <w:t>Ingreso por Donación TF0A2303 y TF1-2692-CR Proyecto REED</w:t>
            </w:r>
          </w:p>
        </w:tc>
        <w:tc>
          <w:tcPr>
            <w:tcW w:w="2483" w:type="dxa"/>
            <w:tcBorders>
              <w:top w:val="nil"/>
              <w:left w:val="nil"/>
              <w:bottom w:val="nil"/>
              <w:right w:val="single" w:sz="4" w:space="0" w:color="auto"/>
            </w:tcBorders>
            <w:shd w:val="clear" w:color="auto" w:fill="auto"/>
            <w:noWrap/>
            <w:vAlign w:val="center"/>
            <w:hideMark/>
          </w:tcPr>
          <w:p w:rsidR="00E55D55" w:rsidRPr="00E55D55" w:rsidRDefault="001576D2" w:rsidP="00E55D55">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569.342.501,12</w:t>
            </w:r>
          </w:p>
        </w:tc>
      </w:tr>
      <w:tr w:rsidR="00E55D55" w:rsidRPr="00E55D55" w:rsidTr="001576D2">
        <w:trPr>
          <w:trHeight w:val="288"/>
          <w:jc w:val="center"/>
        </w:trPr>
        <w:tc>
          <w:tcPr>
            <w:tcW w:w="4600" w:type="dxa"/>
            <w:tcBorders>
              <w:top w:val="nil"/>
              <w:left w:val="single" w:sz="4" w:space="0" w:color="auto"/>
              <w:bottom w:val="nil"/>
              <w:right w:val="nil"/>
            </w:tcBorders>
            <w:shd w:val="clear" w:color="auto" w:fill="auto"/>
            <w:noWrap/>
            <w:vAlign w:val="center"/>
            <w:hideMark/>
          </w:tcPr>
          <w:p w:rsidR="00E55D55" w:rsidRPr="00E55D55" w:rsidRDefault="00E55D55" w:rsidP="00E55D55">
            <w:pPr>
              <w:rPr>
                <w:rFonts w:ascii="Arial" w:eastAsia="Times New Roman" w:hAnsi="Arial" w:cs="Arial"/>
                <w:color w:val="000000"/>
                <w:sz w:val="22"/>
                <w:szCs w:val="22"/>
                <w:lang w:eastAsia="es-CR"/>
              </w:rPr>
            </w:pPr>
            <w:r w:rsidRPr="00E55D55">
              <w:rPr>
                <w:rFonts w:ascii="Arial" w:eastAsia="Times New Roman" w:hAnsi="Arial" w:cs="Arial"/>
                <w:color w:val="000000"/>
                <w:sz w:val="22"/>
                <w:szCs w:val="22"/>
                <w:lang w:eastAsia="es-CR"/>
              </w:rPr>
              <w:t xml:space="preserve">Otros ingresos operativos diversos </w:t>
            </w:r>
          </w:p>
        </w:tc>
        <w:tc>
          <w:tcPr>
            <w:tcW w:w="2483" w:type="dxa"/>
            <w:tcBorders>
              <w:top w:val="nil"/>
              <w:left w:val="nil"/>
              <w:bottom w:val="nil"/>
              <w:right w:val="single" w:sz="4" w:space="0" w:color="auto"/>
            </w:tcBorders>
            <w:shd w:val="clear" w:color="auto" w:fill="auto"/>
            <w:noWrap/>
            <w:vAlign w:val="center"/>
            <w:hideMark/>
          </w:tcPr>
          <w:p w:rsidR="00E55D55" w:rsidRPr="00E55D55" w:rsidRDefault="00E55D55" w:rsidP="00E55D55">
            <w:pPr>
              <w:jc w:val="right"/>
              <w:rPr>
                <w:rFonts w:ascii="Arial" w:eastAsia="Times New Roman" w:hAnsi="Arial" w:cs="Arial"/>
                <w:color w:val="000000"/>
                <w:sz w:val="22"/>
                <w:szCs w:val="22"/>
                <w:lang w:eastAsia="es-CR"/>
              </w:rPr>
            </w:pPr>
            <w:r w:rsidRPr="00E55D55">
              <w:rPr>
                <w:rFonts w:ascii="Arial" w:eastAsia="Times New Roman" w:hAnsi="Arial" w:cs="Arial"/>
                <w:color w:val="000000"/>
                <w:sz w:val="22"/>
                <w:szCs w:val="22"/>
                <w:lang w:eastAsia="es-CR"/>
              </w:rPr>
              <w:t>1,962.94</w:t>
            </w:r>
          </w:p>
        </w:tc>
      </w:tr>
      <w:tr w:rsidR="001576D2" w:rsidRPr="00E55D55" w:rsidTr="001576D2">
        <w:trPr>
          <w:trHeight w:val="288"/>
          <w:jc w:val="center"/>
        </w:trPr>
        <w:tc>
          <w:tcPr>
            <w:tcW w:w="4600" w:type="dxa"/>
            <w:tcBorders>
              <w:top w:val="nil"/>
              <w:left w:val="single" w:sz="4" w:space="0" w:color="auto"/>
              <w:bottom w:val="nil"/>
              <w:right w:val="nil"/>
            </w:tcBorders>
            <w:shd w:val="clear" w:color="auto" w:fill="auto"/>
            <w:noWrap/>
            <w:vAlign w:val="center"/>
          </w:tcPr>
          <w:p w:rsidR="001576D2" w:rsidRPr="00E55D55" w:rsidRDefault="001576D2" w:rsidP="00E55D55">
            <w:pPr>
              <w:rPr>
                <w:rFonts w:ascii="Arial" w:eastAsia="Times New Roman" w:hAnsi="Arial" w:cs="Arial"/>
                <w:color w:val="000000"/>
                <w:sz w:val="22"/>
                <w:szCs w:val="22"/>
                <w:lang w:eastAsia="es-CR"/>
              </w:rPr>
            </w:pPr>
            <w:r w:rsidRPr="001576D2">
              <w:rPr>
                <w:rFonts w:ascii="Arial" w:eastAsia="Times New Roman" w:hAnsi="Arial" w:cs="Arial"/>
                <w:color w:val="000000"/>
                <w:sz w:val="22"/>
                <w:szCs w:val="22"/>
                <w:lang w:eastAsia="es-CR"/>
              </w:rPr>
              <w:t>Ingreso por reversión de provision sobre vacaciones</w:t>
            </w:r>
          </w:p>
        </w:tc>
        <w:tc>
          <w:tcPr>
            <w:tcW w:w="2483" w:type="dxa"/>
            <w:tcBorders>
              <w:top w:val="nil"/>
              <w:left w:val="nil"/>
              <w:bottom w:val="nil"/>
              <w:right w:val="single" w:sz="4" w:space="0" w:color="auto"/>
            </w:tcBorders>
            <w:shd w:val="clear" w:color="auto" w:fill="auto"/>
            <w:noWrap/>
            <w:vAlign w:val="center"/>
          </w:tcPr>
          <w:p w:rsidR="001576D2" w:rsidRPr="00E55D55" w:rsidRDefault="001576D2" w:rsidP="00E55D55">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8.275.866,63</w:t>
            </w:r>
          </w:p>
        </w:tc>
      </w:tr>
      <w:tr w:rsidR="00E55D55" w:rsidRPr="00E55D55" w:rsidTr="001576D2">
        <w:trPr>
          <w:trHeight w:val="291"/>
          <w:jc w:val="center"/>
        </w:trPr>
        <w:tc>
          <w:tcPr>
            <w:tcW w:w="4600" w:type="dxa"/>
            <w:tcBorders>
              <w:top w:val="nil"/>
              <w:left w:val="single" w:sz="4" w:space="0" w:color="auto"/>
              <w:bottom w:val="nil"/>
              <w:right w:val="nil"/>
            </w:tcBorders>
            <w:shd w:val="clear" w:color="auto" w:fill="auto"/>
            <w:noWrap/>
            <w:vAlign w:val="center"/>
            <w:hideMark/>
          </w:tcPr>
          <w:p w:rsidR="00E55D55" w:rsidRPr="00E55D55" w:rsidRDefault="00E55D55" w:rsidP="00E55D55">
            <w:pPr>
              <w:rPr>
                <w:rFonts w:ascii="Arial" w:eastAsia="Times New Roman" w:hAnsi="Arial" w:cs="Arial"/>
                <w:color w:val="000000"/>
                <w:sz w:val="22"/>
                <w:szCs w:val="22"/>
                <w:lang w:eastAsia="es-CR"/>
              </w:rPr>
            </w:pPr>
            <w:r w:rsidRPr="00E55D55">
              <w:rPr>
                <w:rFonts w:ascii="Arial" w:eastAsia="Times New Roman" w:hAnsi="Arial" w:cs="Arial"/>
                <w:color w:val="000000"/>
                <w:sz w:val="22"/>
                <w:szCs w:val="22"/>
                <w:lang w:eastAsia="es-CR"/>
              </w:rPr>
              <w:t>Ingreso donación proyecto bosque vivo ME</w:t>
            </w:r>
          </w:p>
        </w:tc>
        <w:tc>
          <w:tcPr>
            <w:tcW w:w="2483" w:type="dxa"/>
            <w:tcBorders>
              <w:top w:val="nil"/>
              <w:left w:val="nil"/>
              <w:bottom w:val="nil"/>
              <w:right w:val="single" w:sz="4" w:space="0" w:color="auto"/>
            </w:tcBorders>
            <w:shd w:val="clear" w:color="auto" w:fill="auto"/>
            <w:noWrap/>
            <w:vAlign w:val="center"/>
            <w:hideMark/>
          </w:tcPr>
          <w:p w:rsidR="00E55D55" w:rsidRPr="00E55D55" w:rsidRDefault="00E55D55" w:rsidP="00E55D55">
            <w:pPr>
              <w:jc w:val="right"/>
              <w:rPr>
                <w:rFonts w:ascii="Arial" w:eastAsia="Times New Roman" w:hAnsi="Arial" w:cs="Arial"/>
                <w:color w:val="000000"/>
                <w:sz w:val="22"/>
                <w:szCs w:val="22"/>
                <w:lang w:eastAsia="es-CR"/>
              </w:rPr>
            </w:pPr>
            <w:r w:rsidRPr="00E55D55">
              <w:rPr>
                <w:rFonts w:ascii="Arial" w:eastAsia="Times New Roman" w:hAnsi="Arial" w:cs="Arial"/>
                <w:color w:val="000000"/>
                <w:sz w:val="22"/>
                <w:szCs w:val="22"/>
                <w:lang w:eastAsia="es-CR"/>
              </w:rPr>
              <w:t>217,818.00</w:t>
            </w:r>
          </w:p>
        </w:tc>
      </w:tr>
      <w:tr w:rsidR="00E55D55" w:rsidRPr="00E55D55" w:rsidTr="001576D2">
        <w:trPr>
          <w:trHeight w:val="413"/>
          <w:jc w:val="center"/>
        </w:trPr>
        <w:tc>
          <w:tcPr>
            <w:tcW w:w="4600" w:type="dxa"/>
            <w:tcBorders>
              <w:top w:val="single" w:sz="4" w:space="0" w:color="auto"/>
              <w:left w:val="single" w:sz="4" w:space="0" w:color="auto"/>
              <w:bottom w:val="single" w:sz="4" w:space="0" w:color="auto"/>
              <w:right w:val="nil"/>
            </w:tcBorders>
            <w:shd w:val="clear" w:color="auto" w:fill="00B050"/>
            <w:noWrap/>
            <w:vAlign w:val="center"/>
            <w:hideMark/>
          </w:tcPr>
          <w:p w:rsidR="00E55D55" w:rsidRPr="00E55D55" w:rsidRDefault="00E55D55" w:rsidP="00E55D55">
            <w:pPr>
              <w:rPr>
                <w:rFonts w:ascii="Arial" w:eastAsia="Times New Roman" w:hAnsi="Arial" w:cs="Arial"/>
                <w:b/>
                <w:bCs/>
                <w:color w:val="000000"/>
                <w:sz w:val="22"/>
                <w:szCs w:val="22"/>
                <w:lang w:eastAsia="es-CR"/>
              </w:rPr>
            </w:pPr>
            <w:r w:rsidRPr="00E55D55">
              <w:rPr>
                <w:rFonts w:ascii="Arial" w:eastAsia="Times New Roman" w:hAnsi="Arial" w:cs="Arial"/>
                <w:b/>
                <w:bCs/>
                <w:color w:val="000000"/>
                <w:sz w:val="22"/>
                <w:szCs w:val="22"/>
                <w:lang w:eastAsia="es-CR"/>
              </w:rPr>
              <w:t xml:space="preserve">Total general otros ingresos operativos </w:t>
            </w:r>
          </w:p>
        </w:tc>
        <w:tc>
          <w:tcPr>
            <w:tcW w:w="2483" w:type="dxa"/>
            <w:tcBorders>
              <w:top w:val="single" w:sz="4" w:space="0" w:color="auto"/>
              <w:left w:val="nil"/>
              <w:bottom w:val="single" w:sz="4" w:space="0" w:color="auto"/>
              <w:right w:val="single" w:sz="4" w:space="0" w:color="auto"/>
            </w:tcBorders>
            <w:shd w:val="clear" w:color="auto" w:fill="00B050"/>
            <w:noWrap/>
            <w:vAlign w:val="center"/>
            <w:hideMark/>
          </w:tcPr>
          <w:p w:rsidR="00E55D55" w:rsidRPr="00E55D55" w:rsidRDefault="001576D2" w:rsidP="00E55D55">
            <w:pPr>
              <w:jc w:val="right"/>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869.622.546,69</w:t>
            </w:r>
          </w:p>
        </w:tc>
      </w:tr>
    </w:tbl>
    <w:p w:rsidR="00A12C95" w:rsidRPr="005D5DC3" w:rsidRDefault="00A12C95" w:rsidP="005D5DC3">
      <w:pPr>
        <w:tabs>
          <w:tab w:val="left" w:pos="6663"/>
        </w:tabs>
        <w:ind w:right="567"/>
        <w:contextualSpacing/>
        <w:jc w:val="both"/>
        <w:rPr>
          <w:rFonts w:ascii="Arial" w:hAnsi="Arial" w:cs="Arial"/>
          <w:sz w:val="24"/>
          <w:szCs w:val="24"/>
          <w:highlight w:val="yellow"/>
        </w:rPr>
      </w:pPr>
    </w:p>
    <w:p w:rsidR="00265AD3" w:rsidRPr="00FE38FA" w:rsidRDefault="00265AD3" w:rsidP="00FE38FA">
      <w:pPr>
        <w:ind w:right="567"/>
        <w:contextualSpacing/>
        <w:jc w:val="both"/>
        <w:rPr>
          <w:rFonts w:ascii="Arial" w:hAnsi="Arial" w:cs="Arial"/>
          <w:b/>
          <w:sz w:val="24"/>
          <w:szCs w:val="24"/>
        </w:rPr>
      </w:pPr>
    </w:p>
    <w:p w:rsidR="00231FC1" w:rsidRDefault="00231FC1" w:rsidP="00FD4F24">
      <w:pPr>
        <w:pStyle w:val="Prrafodelista"/>
        <w:ind w:left="567" w:right="567"/>
        <w:contextualSpacing/>
        <w:jc w:val="both"/>
        <w:rPr>
          <w:rFonts w:ascii="Arial" w:hAnsi="Arial" w:cs="Arial"/>
          <w:b/>
          <w:sz w:val="24"/>
          <w:szCs w:val="24"/>
        </w:rPr>
      </w:pPr>
      <w:r>
        <w:rPr>
          <w:rFonts w:ascii="Arial" w:hAnsi="Arial" w:cs="Arial"/>
          <w:b/>
          <w:sz w:val="24"/>
          <w:szCs w:val="24"/>
        </w:rPr>
        <w:t xml:space="preserve">Ingresos </w:t>
      </w:r>
      <w:r w:rsidR="002C1327">
        <w:rPr>
          <w:rFonts w:ascii="Arial" w:hAnsi="Arial" w:cs="Arial"/>
          <w:b/>
          <w:sz w:val="24"/>
          <w:szCs w:val="24"/>
        </w:rPr>
        <w:t>F</w:t>
      </w:r>
      <w:r>
        <w:rPr>
          <w:rFonts w:ascii="Arial" w:hAnsi="Arial" w:cs="Arial"/>
          <w:b/>
          <w:sz w:val="24"/>
          <w:szCs w:val="24"/>
        </w:rPr>
        <w:t xml:space="preserve">inancieros </w:t>
      </w:r>
    </w:p>
    <w:p w:rsidR="00231FC1" w:rsidRDefault="00231FC1" w:rsidP="00FD4F24">
      <w:pPr>
        <w:pStyle w:val="Prrafodelista"/>
        <w:ind w:left="567" w:right="567"/>
        <w:contextualSpacing/>
        <w:jc w:val="both"/>
        <w:rPr>
          <w:rFonts w:ascii="Arial" w:hAnsi="Arial" w:cs="Arial"/>
          <w:b/>
          <w:sz w:val="24"/>
          <w:szCs w:val="24"/>
        </w:rPr>
      </w:pPr>
    </w:p>
    <w:p w:rsidR="00231FC1" w:rsidRPr="00231FC1" w:rsidRDefault="00231FC1" w:rsidP="00FD4F24">
      <w:pPr>
        <w:pStyle w:val="Prrafodelista"/>
        <w:ind w:left="567" w:right="567"/>
        <w:contextualSpacing/>
        <w:jc w:val="both"/>
        <w:rPr>
          <w:rFonts w:ascii="Arial" w:hAnsi="Arial" w:cs="Arial"/>
          <w:color w:val="000000"/>
          <w:lang w:eastAsia="es-CR"/>
        </w:rPr>
      </w:pPr>
      <w:r>
        <w:rPr>
          <w:rFonts w:ascii="Arial" w:hAnsi="Arial" w:cs="Arial"/>
          <w:b/>
          <w:sz w:val="24"/>
          <w:szCs w:val="24"/>
        </w:rPr>
        <w:t>Ingresos por diferencias de cambio:</w:t>
      </w:r>
      <w:r w:rsidRPr="00B35E7C">
        <w:rPr>
          <w:rFonts w:ascii="Arial" w:hAnsi="Arial" w:cs="Arial"/>
          <w:b/>
          <w:sz w:val="24"/>
          <w:szCs w:val="24"/>
        </w:rPr>
        <w:t xml:space="preserve"> </w:t>
      </w:r>
      <w:r w:rsidRPr="00B35E7C">
        <w:rPr>
          <w:rFonts w:ascii="Arial" w:hAnsi="Arial" w:cs="Arial"/>
          <w:color w:val="000000"/>
          <w:sz w:val="24"/>
          <w:szCs w:val="24"/>
          <w:lang w:eastAsia="es-CR"/>
        </w:rPr>
        <w:t>en esta partida se cargan los ingresos por diferencias de cambio que generan las cuentas contables que se encuentran registradas en moneda extranjera, debido a que los activos y pasivos se expresan a un tipo de cambio establecido por el área de finanzas y las diferencias de cambio al realizar las transacciones multi-moneda.</w:t>
      </w:r>
    </w:p>
    <w:p w:rsidR="00231FC1" w:rsidRDefault="00231FC1" w:rsidP="00FD4F24">
      <w:pPr>
        <w:pStyle w:val="Prrafodelista"/>
        <w:ind w:left="567" w:right="567"/>
        <w:contextualSpacing/>
        <w:jc w:val="both"/>
        <w:rPr>
          <w:rFonts w:ascii="Arial" w:hAnsi="Arial" w:cs="Arial"/>
          <w:b/>
          <w:sz w:val="24"/>
          <w:szCs w:val="24"/>
        </w:rPr>
      </w:pPr>
    </w:p>
    <w:tbl>
      <w:tblPr>
        <w:tblW w:w="7449" w:type="dxa"/>
        <w:jc w:val="center"/>
        <w:tblCellMar>
          <w:left w:w="70" w:type="dxa"/>
          <w:right w:w="70" w:type="dxa"/>
        </w:tblCellMar>
        <w:tblLook w:val="04A0" w:firstRow="1" w:lastRow="0" w:firstColumn="1" w:lastColumn="0" w:noHBand="0" w:noVBand="1"/>
      </w:tblPr>
      <w:tblGrid>
        <w:gridCol w:w="5254"/>
        <w:gridCol w:w="2195"/>
      </w:tblGrid>
      <w:tr w:rsidR="00231FC1" w:rsidRPr="00231FC1" w:rsidTr="00476307">
        <w:trPr>
          <w:trHeight w:val="300"/>
          <w:jc w:val="center"/>
        </w:trPr>
        <w:tc>
          <w:tcPr>
            <w:tcW w:w="5254" w:type="dxa"/>
            <w:tcBorders>
              <w:top w:val="single" w:sz="4" w:space="0" w:color="auto"/>
              <w:left w:val="single" w:sz="4" w:space="0" w:color="auto"/>
              <w:bottom w:val="single" w:sz="4" w:space="0" w:color="auto"/>
              <w:right w:val="nil"/>
            </w:tcBorders>
            <w:shd w:val="clear" w:color="auto" w:fill="00B050"/>
            <w:noWrap/>
            <w:vAlign w:val="center"/>
            <w:hideMark/>
          </w:tcPr>
          <w:p w:rsidR="00231FC1" w:rsidRPr="00231FC1" w:rsidRDefault="00231FC1" w:rsidP="00231FC1">
            <w:pPr>
              <w:jc w:val="center"/>
              <w:rPr>
                <w:rFonts w:ascii="Arial" w:eastAsia="Times New Roman" w:hAnsi="Arial" w:cs="Arial"/>
                <w:b/>
                <w:bCs/>
                <w:color w:val="000000"/>
                <w:sz w:val="22"/>
                <w:szCs w:val="22"/>
                <w:lang w:eastAsia="es-CR"/>
              </w:rPr>
            </w:pPr>
            <w:r w:rsidRPr="00231FC1">
              <w:rPr>
                <w:rFonts w:ascii="Arial" w:eastAsia="Times New Roman" w:hAnsi="Arial" w:cs="Arial"/>
                <w:b/>
                <w:bCs/>
                <w:color w:val="000000"/>
                <w:sz w:val="22"/>
                <w:szCs w:val="22"/>
                <w:lang w:eastAsia="es-CR"/>
              </w:rPr>
              <w:t>Descripción</w:t>
            </w:r>
          </w:p>
        </w:tc>
        <w:tc>
          <w:tcPr>
            <w:tcW w:w="2195" w:type="dxa"/>
            <w:tcBorders>
              <w:top w:val="single" w:sz="4" w:space="0" w:color="auto"/>
              <w:left w:val="nil"/>
              <w:bottom w:val="single" w:sz="4" w:space="0" w:color="auto"/>
              <w:right w:val="single" w:sz="4" w:space="0" w:color="auto"/>
            </w:tcBorders>
            <w:shd w:val="clear" w:color="auto" w:fill="00B050"/>
            <w:noWrap/>
            <w:vAlign w:val="center"/>
            <w:hideMark/>
          </w:tcPr>
          <w:p w:rsidR="00231FC1" w:rsidRPr="00231FC1" w:rsidRDefault="00476307" w:rsidP="00476307">
            <w:pPr>
              <w:jc w:val="center"/>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Diciembre 2019</w:t>
            </w:r>
          </w:p>
        </w:tc>
      </w:tr>
      <w:tr w:rsidR="00231FC1" w:rsidRPr="00231FC1" w:rsidTr="00476307">
        <w:trPr>
          <w:trHeight w:val="300"/>
          <w:jc w:val="center"/>
        </w:trPr>
        <w:tc>
          <w:tcPr>
            <w:tcW w:w="5254" w:type="dxa"/>
            <w:tcBorders>
              <w:top w:val="nil"/>
              <w:left w:val="single" w:sz="4" w:space="0" w:color="auto"/>
              <w:bottom w:val="nil"/>
              <w:right w:val="nil"/>
            </w:tcBorders>
            <w:shd w:val="clear" w:color="auto" w:fill="auto"/>
            <w:noWrap/>
            <w:vAlign w:val="center"/>
            <w:hideMark/>
          </w:tcPr>
          <w:p w:rsidR="00231FC1" w:rsidRPr="00231FC1" w:rsidRDefault="00231FC1" w:rsidP="00231FC1">
            <w:pPr>
              <w:rPr>
                <w:rFonts w:ascii="Arial" w:eastAsia="Times New Roman" w:hAnsi="Arial" w:cs="Arial"/>
                <w:color w:val="000000"/>
                <w:sz w:val="22"/>
                <w:szCs w:val="22"/>
                <w:lang w:eastAsia="es-CR"/>
              </w:rPr>
            </w:pPr>
            <w:r w:rsidRPr="00231FC1">
              <w:rPr>
                <w:rFonts w:ascii="Arial" w:eastAsia="Times New Roman" w:hAnsi="Arial" w:cs="Arial"/>
                <w:color w:val="000000"/>
                <w:sz w:val="22"/>
                <w:szCs w:val="22"/>
                <w:lang w:eastAsia="es-CR"/>
              </w:rPr>
              <w:t xml:space="preserve">Ingresos financieros por diferencial cambiario </w:t>
            </w:r>
          </w:p>
        </w:tc>
        <w:tc>
          <w:tcPr>
            <w:tcW w:w="2195" w:type="dxa"/>
            <w:tcBorders>
              <w:top w:val="nil"/>
              <w:left w:val="nil"/>
              <w:bottom w:val="nil"/>
              <w:right w:val="single" w:sz="4" w:space="0" w:color="auto"/>
            </w:tcBorders>
            <w:shd w:val="clear" w:color="auto" w:fill="auto"/>
            <w:noWrap/>
            <w:vAlign w:val="center"/>
            <w:hideMark/>
          </w:tcPr>
          <w:p w:rsidR="00231FC1" w:rsidRPr="00231FC1" w:rsidRDefault="00476307" w:rsidP="00231FC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6.300.708,50</w:t>
            </w:r>
          </w:p>
        </w:tc>
      </w:tr>
      <w:tr w:rsidR="00231FC1" w:rsidRPr="00231FC1" w:rsidTr="00476307">
        <w:trPr>
          <w:trHeight w:val="300"/>
          <w:jc w:val="center"/>
        </w:trPr>
        <w:tc>
          <w:tcPr>
            <w:tcW w:w="5254" w:type="dxa"/>
            <w:tcBorders>
              <w:top w:val="nil"/>
              <w:left w:val="single" w:sz="4" w:space="0" w:color="auto"/>
              <w:bottom w:val="nil"/>
              <w:right w:val="nil"/>
            </w:tcBorders>
            <w:shd w:val="clear" w:color="auto" w:fill="auto"/>
            <w:noWrap/>
            <w:vAlign w:val="center"/>
            <w:hideMark/>
          </w:tcPr>
          <w:p w:rsidR="00231FC1" w:rsidRPr="00231FC1" w:rsidRDefault="00231FC1" w:rsidP="00231FC1">
            <w:pPr>
              <w:rPr>
                <w:rFonts w:ascii="Arial" w:eastAsia="Times New Roman" w:hAnsi="Arial" w:cs="Arial"/>
                <w:color w:val="000000"/>
                <w:sz w:val="22"/>
                <w:szCs w:val="22"/>
                <w:lang w:eastAsia="es-CR"/>
              </w:rPr>
            </w:pPr>
            <w:r w:rsidRPr="00231FC1">
              <w:rPr>
                <w:rFonts w:ascii="Arial" w:eastAsia="Times New Roman" w:hAnsi="Arial" w:cs="Arial"/>
                <w:color w:val="000000"/>
                <w:sz w:val="22"/>
                <w:szCs w:val="22"/>
                <w:lang w:eastAsia="es-CR"/>
              </w:rPr>
              <w:t>Ingresos diferencias de cambio op multi-moneda</w:t>
            </w:r>
          </w:p>
        </w:tc>
        <w:tc>
          <w:tcPr>
            <w:tcW w:w="2195" w:type="dxa"/>
            <w:tcBorders>
              <w:top w:val="nil"/>
              <w:left w:val="nil"/>
              <w:bottom w:val="nil"/>
              <w:right w:val="single" w:sz="4" w:space="0" w:color="auto"/>
            </w:tcBorders>
            <w:shd w:val="clear" w:color="auto" w:fill="auto"/>
            <w:noWrap/>
            <w:vAlign w:val="center"/>
            <w:hideMark/>
          </w:tcPr>
          <w:p w:rsidR="00231FC1" w:rsidRPr="00231FC1" w:rsidRDefault="00476307" w:rsidP="00231FC1">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548.978,22</w:t>
            </w:r>
          </w:p>
        </w:tc>
      </w:tr>
      <w:tr w:rsidR="00231FC1" w:rsidRPr="00231FC1" w:rsidTr="00476307">
        <w:trPr>
          <w:trHeight w:val="300"/>
          <w:jc w:val="center"/>
        </w:trPr>
        <w:tc>
          <w:tcPr>
            <w:tcW w:w="5254" w:type="dxa"/>
            <w:tcBorders>
              <w:top w:val="single" w:sz="4" w:space="0" w:color="auto"/>
              <w:left w:val="single" w:sz="4" w:space="0" w:color="auto"/>
              <w:bottom w:val="single" w:sz="4" w:space="0" w:color="auto"/>
              <w:right w:val="nil"/>
            </w:tcBorders>
            <w:shd w:val="clear" w:color="auto" w:fill="00B050"/>
            <w:noWrap/>
            <w:vAlign w:val="center"/>
            <w:hideMark/>
          </w:tcPr>
          <w:p w:rsidR="00231FC1" w:rsidRPr="00231FC1" w:rsidRDefault="00231FC1" w:rsidP="00231FC1">
            <w:pPr>
              <w:rPr>
                <w:rFonts w:ascii="Arial" w:eastAsia="Times New Roman" w:hAnsi="Arial" w:cs="Arial"/>
                <w:b/>
                <w:bCs/>
                <w:color w:val="000000"/>
                <w:sz w:val="22"/>
                <w:szCs w:val="22"/>
                <w:lang w:eastAsia="es-CR"/>
              </w:rPr>
            </w:pPr>
            <w:r w:rsidRPr="00231FC1">
              <w:rPr>
                <w:rFonts w:ascii="Arial" w:eastAsia="Times New Roman" w:hAnsi="Arial" w:cs="Arial"/>
                <w:b/>
                <w:bCs/>
                <w:color w:val="000000"/>
                <w:sz w:val="22"/>
                <w:szCs w:val="22"/>
                <w:lang w:eastAsia="es-CR"/>
              </w:rPr>
              <w:t>Total gastos de infraestructura</w:t>
            </w:r>
          </w:p>
        </w:tc>
        <w:tc>
          <w:tcPr>
            <w:tcW w:w="2195" w:type="dxa"/>
            <w:tcBorders>
              <w:top w:val="single" w:sz="4" w:space="0" w:color="auto"/>
              <w:left w:val="nil"/>
              <w:bottom w:val="single" w:sz="4" w:space="0" w:color="auto"/>
              <w:right w:val="single" w:sz="4" w:space="0" w:color="auto"/>
            </w:tcBorders>
            <w:shd w:val="clear" w:color="auto" w:fill="00B050"/>
            <w:noWrap/>
            <w:vAlign w:val="center"/>
            <w:hideMark/>
          </w:tcPr>
          <w:p w:rsidR="00231FC1" w:rsidRPr="00231FC1" w:rsidRDefault="00476307" w:rsidP="00231FC1">
            <w:pPr>
              <w:jc w:val="right"/>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6.849.686,72</w:t>
            </w:r>
          </w:p>
        </w:tc>
      </w:tr>
    </w:tbl>
    <w:p w:rsidR="00231FC1" w:rsidRDefault="00231FC1" w:rsidP="00B35E7C">
      <w:pPr>
        <w:ind w:right="567"/>
        <w:contextualSpacing/>
        <w:jc w:val="both"/>
        <w:rPr>
          <w:rFonts w:ascii="Arial" w:eastAsia="Times New Roman" w:hAnsi="Arial" w:cs="Arial"/>
          <w:b/>
          <w:sz w:val="24"/>
          <w:szCs w:val="24"/>
          <w:lang w:eastAsia="en-US"/>
        </w:rPr>
      </w:pPr>
    </w:p>
    <w:p w:rsidR="00B35E7C" w:rsidRPr="00B35E7C" w:rsidRDefault="00B35E7C" w:rsidP="00B35E7C">
      <w:pPr>
        <w:ind w:right="567"/>
        <w:contextualSpacing/>
        <w:jc w:val="both"/>
        <w:rPr>
          <w:rFonts w:ascii="Arial" w:hAnsi="Arial" w:cs="Arial"/>
          <w:b/>
          <w:sz w:val="24"/>
          <w:szCs w:val="24"/>
        </w:rPr>
      </w:pPr>
    </w:p>
    <w:p w:rsidR="00353A87" w:rsidRDefault="00EF6567" w:rsidP="00FD4F24">
      <w:pPr>
        <w:pStyle w:val="Prrafodelista"/>
        <w:ind w:left="567" w:right="567"/>
        <w:contextualSpacing/>
        <w:jc w:val="both"/>
        <w:rPr>
          <w:rFonts w:ascii="Arial" w:hAnsi="Arial" w:cs="Arial"/>
          <w:b/>
          <w:sz w:val="24"/>
          <w:szCs w:val="24"/>
        </w:rPr>
      </w:pPr>
      <w:r w:rsidRPr="003F3CFB">
        <w:rPr>
          <w:rFonts w:ascii="Arial" w:hAnsi="Arial" w:cs="Arial"/>
          <w:b/>
          <w:sz w:val="24"/>
          <w:szCs w:val="24"/>
        </w:rPr>
        <w:t>Gastos Operativos</w:t>
      </w:r>
    </w:p>
    <w:p w:rsidR="003F3CFB" w:rsidRPr="003F3CFB" w:rsidRDefault="003F3CFB" w:rsidP="00FD4F24">
      <w:pPr>
        <w:pStyle w:val="Prrafodelista"/>
        <w:ind w:left="567" w:right="567"/>
        <w:contextualSpacing/>
        <w:jc w:val="both"/>
        <w:rPr>
          <w:rFonts w:ascii="Arial" w:hAnsi="Arial" w:cs="Arial"/>
          <w:b/>
          <w:sz w:val="24"/>
          <w:szCs w:val="24"/>
        </w:rPr>
      </w:pPr>
    </w:p>
    <w:p w:rsidR="00EF6567" w:rsidRPr="002211A0" w:rsidRDefault="00EF6567" w:rsidP="002211A0">
      <w:pPr>
        <w:pStyle w:val="Prrafodelista"/>
        <w:ind w:left="567" w:right="567"/>
        <w:contextualSpacing/>
        <w:jc w:val="both"/>
        <w:rPr>
          <w:rFonts w:ascii="Arial" w:hAnsi="Arial" w:cs="Arial"/>
          <w:b/>
          <w:sz w:val="24"/>
          <w:szCs w:val="24"/>
        </w:rPr>
      </w:pPr>
      <w:r w:rsidRPr="003F3CFB">
        <w:rPr>
          <w:rFonts w:ascii="Arial" w:hAnsi="Arial" w:cs="Arial"/>
          <w:b/>
          <w:sz w:val="24"/>
          <w:szCs w:val="24"/>
        </w:rPr>
        <w:t xml:space="preserve">Gastos por Estimación de </w:t>
      </w:r>
      <w:r w:rsidR="00FD69BD" w:rsidRPr="003F3CFB">
        <w:rPr>
          <w:rFonts w:ascii="Arial" w:hAnsi="Arial" w:cs="Arial"/>
          <w:b/>
          <w:sz w:val="24"/>
          <w:szCs w:val="24"/>
        </w:rPr>
        <w:t>d</w:t>
      </w:r>
      <w:r w:rsidRPr="003F3CFB">
        <w:rPr>
          <w:rFonts w:ascii="Arial" w:hAnsi="Arial" w:cs="Arial"/>
          <w:b/>
          <w:sz w:val="24"/>
          <w:szCs w:val="24"/>
        </w:rPr>
        <w:t xml:space="preserve">eterioro </w:t>
      </w:r>
      <w:r w:rsidR="00B5737F" w:rsidRPr="003F3CFB">
        <w:rPr>
          <w:rFonts w:ascii="Arial" w:hAnsi="Arial" w:cs="Arial"/>
          <w:b/>
          <w:sz w:val="24"/>
          <w:szCs w:val="24"/>
        </w:rPr>
        <w:t>d</w:t>
      </w:r>
      <w:r w:rsidRPr="003F3CFB">
        <w:rPr>
          <w:rFonts w:ascii="Arial" w:hAnsi="Arial" w:cs="Arial"/>
          <w:b/>
          <w:sz w:val="24"/>
          <w:szCs w:val="24"/>
        </w:rPr>
        <w:t xml:space="preserve">e </w:t>
      </w:r>
      <w:r w:rsidR="00FD69BD" w:rsidRPr="003F3CFB">
        <w:rPr>
          <w:rFonts w:ascii="Arial" w:hAnsi="Arial" w:cs="Arial"/>
          <w:b/>
          <w:sz w:val="24"/>
          <w:szCs w:val="24"/>
        </w:rPr>
        <w:t>c</w:t>
      </w:r>
      <w:r w:rsidRPr="003F3CFB">
        <w:rPr>
          <w:rFonts w:ascii="Arial" w:hAnsi="Arial" w:cs="Arial"/>
          <w:b/>
          <w:sz w:val="24"/>
          <w:szCs w:val="24"/>
        </w:rPr>
        <w:t xml:space="preserve">artera de </w:t>
      </w:r>
      <w:r w:rsidR="00FD69BD" w:rsidRPr="003F3CFB">
        <w:rPr>
          <w:rFonts w:ascii="Arial" w:hAnsi="Arial" w:cs="Arial"/>
          <w:b/>
          <w:sz w:val="24"/>
          <w:szCs w:val="24"/>
        </w:rPr>
        <w:t>c</w:t>
      </w:r>
      <w:r w:rsidRPr="003F3CFB">
        <w:rPr>
          <w:rFonts w:ascii="Arial" w:hAnsi="Arial" w:cs="Arial"/>
          <w:b/>
          <w:sz w:val="24"/>
          <w:szCs w:val="24"/>
        </w:rPr>
        <w:t>rédito, comisiones y cuentas por Cobrar</w:t>
      </w:r>
      <w:r w:rsidR="002211A0">
        <w:rPr>
          <w:rFonts w:ascii="Arial" w:hAnsi="Arial" w:cs="Arial"/>
          <w:b/>
          <w:sz w:val="24"/>
          <w:szCs w:val="24"/>
        </w:rPr>
        <w:t xml:space="preserve">. </w:t>
      </w:r>
      <w:r w:rsidRPr="002211A0">
        <w:rPr>
          <w:rFonts w:ascii="Arial" w:hAnsi="Arial" w:cs="Arial"/>
          <w:sz w:val="24"/>
          <w:szCs w:val="24"/>
        </w:rPr>
        <w:t>Contempla el registro del gasto de la estimación del deterioro de la cartera de crédito, comisiones y cuentas por cobrar de la cartera de crédito que mantiene el fideicomiso según las políticas de estimación establecidas por el Fideicomiso</w:t>
      </w:r>
      <w:r w:rsidR="00B5737F" w:rsidRPr="002211A0">
        <w:rPr>
          <w:rFonts w:ascii="Arial" w:hAnsi="Arial" w:cs="Arial"/>
          <w:sz w:val="24"/>
          <w:szCs w:val="24"/>
        </w:rPr>
        <w:t xml:space="preserve">, al </w:t>
      </w:r>
      <w:r w:rsidR="00FD69BD" w:rsidRPr="002211A0">
        <w:rPr>
          <w:rFonts w:ascii="Arial" w:hAnsi="Arial" w:cs="Arial"/>
          <w:sz w:val="24"/>
          <w:szCs w:val="24"/>
        </w:rPr>
        <w:t xml:space="preserve">cierre del </w:t>
      </w:r>
      <w:r w:rsidR="006541D9">
        <w:rPr>
          <w:rFonts w:ascii="Arial" w:hAnsi="Arial" w:cs="Arial"/>
          <w:sz w:val="24"/>
          <w:szCs w:val="24"/>
        </w:rPr>
        <w:t>segundo</w:t>
      </w:r>
      <w:r w:rsidR="003F3CFB" w:rsidRPr="002211A0">
        <w:rPr>
          <w:rFonts w:ascii="Arial" w:hAnsi="Arial" w:cs="Arial"/>
          <w:sz w:val="24"/>
          <w:szCs w:val="24"/>
        </w:rPr>
        <w:t xml:space="preserve"> semestre del 2019</w:t>
      </w:r>
      <w:r w:rsidR="00FD69BD" w:rsidRPr="002211A0">
        <w:rPr>
          <w:rFonts w:ascii="Arial" w:hAnsi="Arial" w:cs="Arial"/>
          <w:sz w:val="24"/>
          <w:szCs w:val="24"/>
        </w:rPr>
        <w:t xml:space="preserve"> fue por un total de </w:t>
      </w:r>
      <w:r w:rsidR="00B5737F" w:rsidRPr="002211A0">
        <w:rPr>
          <w:rFonts w:ascii="Arial" w:hAnsi="Arial" w:cs="Arial"/>
          <w:b/>
          <w:sz w:val="24"/>
          <w:szCs w:val="24"/>
        </w:rPr>
        <w:t>¢</w:t>
      </w:r>
      <w:r w:rsidR="006541D9">
        <w:rPr>
          <w:rFonts w:ascii="Arial" w:hAnsi="Arial" w:cs="Arial"/>
          <w:b/>
          <w:sz w:val="24"/>
          <w:szCs w:val="24"/>
        </w:rPr>
        <w:t>420.308.153,57</w:t>
      </w:r>
      <w:r w:rsidR="003F3CFB" w:rsidRPr="002211A0">
        <w:rPr>
          <w:rFonts w:ascii="Arial" w:hAnsi="Arial" w:cs="Arial"/>
          <w:b/>
          <w:sz w:val="24"/>
          <w:szCs w:val="24"/>
        </w:rPr>
        <w:t>.</w:t>
      </w:r>
    </w:p>
    <w:p w:rsidR="00B5737F" w:rsidRPr="00215940" w:rsidRDefault="00B5737F" w:rsidP="00FD4F24">
      <w:pPr>
        <w:pStyle w:val="Prrafodelista"/>
        <w:ind w:left="567" w:right="567"/>
        <w:contextualSpacing/>
        <w:jc w:val="both"/>
        <w:rPr>
          <w:rFonts w:ascii="Arial" w:hAnsi="Arial" w:cs="Arial"/>
          <w:sz w:val="24"/>
          <w:szCs w:val="24"/>
          <w:highlight w:val="yellow"/>
        </w:rPr>
      </w:pPr>
    </w:p>
    <w:p w:rsidR="003F51DB" w:rsidRPr="002211A0" w:rsidRDefault="00AA0341" w:rsidP="002211A0">
      <w:pPr>
        <w:pStyle w:val="Prrafodelista"/>
        <w:ind w:left="567" w:right="567"/>
        <w:contextualSpacing/>
        <w:jc w:val="both"/>
        <w:rPr>
          <w:rFonts w:ascii="Arial" w:hAnsi="Arial" w:cs="Arial"/>
          <w:b/>
          <w:sz w:val="24"/>
          <w:szCs w:val="24"/>
        </w:rPr>
      </w:pPr>
      <w:r w:rsidRPr="003F51DB">
        <w:rPr>
          <w:rFonts w:ascii="Arial" w:hAnsi="Arial" w:cs="Arial"/>
          <w:b/>
          <w:sz w:val="24"/>
          <w:szCs w:val="24"/>
        </w:rPr>
        <w:t>G</w:t>
      </w:r>
      <w:r w:rsidR="002211A0">
        <w:rPr>
          <w:rFonts w:ascii="Arial" w:hAnsi="Arial" w:cs="Arial"/>
          <w:b/>
          <w:sz w:val="24"/>
          <w:szCs w:val="24"/>
        </w:rPr>
        <w:t xml:space="preserve">astos por Bienes Realizables. </w:t>
      </w:r>
      <w:r w:rsidRPr="002211A0">
        <w:rPr>
          <w:rFonts w:ascii="Arial" w:hAnsi="Arial" w:cs="Arial"/>
          <w:sz w:val="24"/>
          <w:szCs w:val="24"/>
        </w:rPr>
        <w:t xml:space="preserve">En esta cuenta se registran los gastos incurridos en el período relacionadas con el deterioro de los bienes realizables, así como los gastos por su mantenimiento e impuestos municipales; reparaciones y las pérdidas por desvalorización de dichos bienes en el período, </w:t>
      </w:r>
      <w:r w:rsidR="00650550" w:rsidRPr="002211A0">
        <w:rPr>
          <w:rFonts w:ascii="Arial" w:hAnsi="Arial" w:cs="Arial"/>
          <w:sz w:val="24"/>
          <w:szCs w:val="24"/>
        </w:rPr>
        <w:lastRenderedPageBreak/>
        <w:t>al cierre</w:t>
      </w:r>
      <w:r w:rsidR="006464B0" w:rsidRPr="002211A0">
        <w:rPr>
          <w:rFonts w:ascii="Arial" w:hAnsi="Arial" w:cs="Arial"/>
          <w:sz w:val="24"/>
          <w:szCs w:val="24"/>
        </w:rPr>
        <w:t xml:space="preserve"> del </w:t>
      </w:r>
      <w:r w:rsidR="006541D9">
        <w:rPr>
          <w:rFonts w:ascii="Arial" w:hAnsi="Arial" w:cs="Arial"/>
          <w:sz w:val="24"/>
          <w:szCs w:val="24"/>
        </w:rPr>
        <w:t>segundo</w:t>
      </w:r>
      <w:r w:rsidR="003F51DB" w:rsidRPr="002211A0">
        <w:rPr>
          <w:rFonts w:ascii="Arial" w:hAnsi="Arial" w:cs="Arial"/>
          <w:sz w:val="24"/>
          <w:szCs w:val="24"/>
        </w:rPr>
        <w:t xml:space="preserve"> semestre del año 2019</w:t>
      </w:r>
      <w:r w:rsidR="006464B0" w:rsidRPr="002211A0">
        <w:rPr>
          <w:rFonts w:ascii="Arial" w:hAnsi="Arial" w:cs="Arial"/>
          <w:sz w:val="24"/>
          <w:szCs w:val="24"/>
        </w:rPr>
        <w:t xml:space="preserve"> fue por un monto total de </w:t>
      </w:r>
      <w:r w:rsidRPr="002211A0">
        <w:rPr>
          <w:rFonts w:ascii="Arial" w:hAnsi="Arial" w:cs="Arial"/>
          <w:b/>
          <w:sz w:val="24"/>
          <w:szCs w:val="24"/>
        </w:rPr>
        <w:t>¢</w:t>
      </w:r>
      <w:r w:rsidR="006541D9">
        <w:rPr>
          <w:rFonts w:ascii="Arial" w:hAnsi="Arial" w:cs="Arial"/>
          <w:b/>
          <w:sz w:val="24"/>
          <w:szCs w:val="24"/>
        </w:rPr>
        <w:t>91.764.457,04</w:t>
      </w:r>
      <w:r w:rsidR="003F51DB" w:rsidRPr="002211A0">
        <w:rPr>
          <w:rFonts w:ascii="Arial" w:hAnsi="Arial" w:cs="Arial"/>
          <w:b/>
          <w:sz w:val="24"/>
          <w:szCs w:val="24"/>
        </w:rPr>
        <w:t xml:space="preserve"> </w:t>
      </w:r>
      <w:r w:rsidR="003F51DB" w:rsidRPr="002211A0">
        <w:rPr>
          <w:rFonts w:ascii="Arial" w:hAnsi="Arial" w:cs="Arial"/>
          <w:sz w:val="24"/>
          <w:szCs w:val="24"/>
        </w:rPr>
        <w:t>según se detalla:</w:t>
      </w:r>
      <w:r w:rsidR="003F51DB" w:rsidRPr="002211A0">
        <w:rPr>
          <w:rFonts w:ascii="Arial" w:hAnsi="Arial" w:cs="Arial"/>
          <w:b/>
          <w:sz w:val="24"/>
          <w:szCs w:val="24"/>
        </w:rPr>
        <w:t xml:space="preserve"> </w:t>
      </w:r>
    </w:p>
    <w:p w:rsidR="00265AD3" w:rsidRPr="00265AD3" w:rsidRDefault="00265AD3" w:rsidP="00265AD3">
      <w:pPr>
        <w:pStyle w:val="Prrafodelista"/>
        <w:ind w:left="567" w:right="567"/>
        <w:contextualSpacing/>
        <w:jc w:val="both"/>
        <w:rPr>
          <w:rFonts w:ascii="Arial" w:hAnsi="Arial" w:cs="Arial"/>
          <w:b/>
          <w:sz w:val="24"/>
          <w:szCs w:val="24"/>
        </w:rPr>
      </w:pPr>
    </w:p>
    <w:tbl>
      <w:tblPr>
        <w:tblW w:w="8000" w:type="dxa"/>
        <w:jc w:val="center"/>
        <w:tblCellMar>
          <w:left w:w="70" w:type="dxa"/>
          <w:right w:w="70" w:type="dxa"/>
        </w:tblCellMar>
        <w:tblLook w:val="04A0" w:firstRow="1" w:lastRow="0" w:firstColumn="1" w:lastColumn="0" w:noHBand="0" w:noVBand="1"/>
      </w:tblPr>
      <w:tblGrid>
        <w:gridCol w:w="5860"/>
        <w:gridCol w:w="2140"/>
      </w:tblGrid>
      <w:tr w:rsidR="00970C0F" w:rsidRPr="00970C0F" w:rsidTr="006541D9">
        <w:trPr>
          <w:trHeight w:val="300"/>
          <w:jc w:val="center"/>
        </w:trPr>
        <w:tc>
          <w:tcPr>
            <w:tcW w:w="5860" w:type="dxa"/>
            <w:tcBorders>
              <w:top w:val="single" w:sz="4" w:space="0" w:color="auto"/>
              <w:left w:val="single" w:sz="4" w:space="0" w:color="auto"/>
              <w:bottom w:val="single" w:sz="4" w:space="0" w:color="auto"/>
              <w:right w:val="nil"/>
            </w:tcBorders>
            <w:shd w:val="clear" w:color="auto" w:fill="00B050"/>
            <w:noWrap/>
            <w:vAlign w:val="center"/>
            <w:hideMark/>
          </w:tcPr>
          <w:p w:rsidR="00970C0F" w:rsidRPr="00970C0F" w:rsidRDefault="00970C0F" w:rsidP="00970C0F">
            <w:pPr>
              <w:jc w:val="center"/>
              <w:rPr>
                <w:rFonts w:ascii="Arial" w:eastAsia="Times New Roman" w:hAnsi="Arial" w:cs="Arial"/>
                <w:b/>
                <w:color w:val="000000"/>
                <w:sz w:val="22"/>
                <w:szCs w:val="22"/>
                <w:lang w:eastAsia="es-CR"/>
              </w:rPr>
            </w:pPr>
            <w:r w:rsidRPr="00970C0F">
              <w:rPr>
                <w:rFonts w:ascii="Arial" w:eastAsia="Times New Roman" w:hAnsi="Arial" w:cs="Arial"/>
                <w:b/>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970C0F" w:rsidRPr="00970C0F" w:rsidRDefault="006541D9" w:rsidP="00970C0F">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diciembre</w:t>
            </w:r>
            <w:r w:rsidR="00970C0F" w:rsidRPr="001806B5">
              <w:rPr>
                <w:rFonts w:ascii="Arial" w:eastAsia="Times New Roman" w:hAnsi="Arial" w:cs="Arial"/>
                <w:b/>
                <w:color w:val="000000"/>
                <w:sz w:val="22"/>
                <w:szCs w:val="22"/>
                <w:lang w:eastAsia="es-CR"/>
              </w:rPr>
              <w:t xml:space="preserve"> 2019</w:t>
            </w:r>
          </w:p>
        </w:tc>
      </w:tr>
      <w:tr w:rsidR="00970C0F" w:rsidRPr="00970C0F" w:rsidTr="00970C0F">
        <w:trPr>
          <w:trHeight w:val="300"/>
          <w:jc w:val="center"/>
        </w:trPr>
        <w:tc>
          <w:tcPr>
            <w:tcW w:w="5860" w:type="dxa"/>
            <w:tcBorders>
              <w:top w:val="nil"/>
              <w:left w:val="single" w:sz="4" w:space="0" w:color="auto"/>
              <w:bottom w:val="nil"/>
              <w:right w:val="nil"/>
            </w:tcBorders>
            <w:shd w:val="clear" w:color="auto" w:fill="auto"/>
            <w:noWrap/>
            <w:vAlign w:val="center"/>
            <w:hideMark/>
          </w:tcPr>
          <w:p w:rsidR="00970C0F" w:rsidRPr="00970C0F" w:rsidRDefault="00970C0F" w:rsidP="00970C0F">
            <w:pPr>
              <w:rPr>
                <w:rFonts w:ascii="Arial" w:eastAsia="Times New Roman" w:hAnsi="Arial" w:cs="Arial"/>
                <w:color w:val="000000"/>
                <w:sz w:val="22"/>
                <w:szCs w:val="22"/>
                <w:lang w:eastAsia="es-CR"/>
              </w:rPr>
            </w:pPr>
            <w:r w:rsidRPr="00970C0F">
              <w:rPr>
                <w:rFonts w:ascii="Arial" w:eastAsia="Times New Roman" w:hAnsi="Arial" w:cs="Arial"/>
                <w:color w:val="000000"/>
                <w:sz w:val="22"/>
                <w:szCs w:val="22"/>
                <w:lang w:eastAsia="es-CR"/>
              </w:rPr>
              <w:t>Gastos por bienes realizables</w:t>
            </w:r>
          </w:p>
        </w:tc>
        <w:tc>
          <w:tcPr>
            <w:tcW w:w="2140" w:type="dxa"/>
            <w:tcBorders>
              <w:top w:val="nil"/>
              <w:left w:val="nil"/>
              <w:bottom w:val="nil"/>
              <w:right w:val="single" w:sz="4" w:space="0" w:color="auto"/>
            </w:tcBorders>
            <w:shd w:val="clear" w:color="auto" w:fill="auto"/>
            <w:noWrap/>
            <w:vAlign w:val="center"/>
            <w:hideMark/>
          </w:tcPr>
          <w:p w:rsidR="00970C0F" w:rsidRPr="00970C0F" w:rsidRDefault="006541D9" w:rsidP="00970C0F">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8.977.300,79</w:t>
            </w:r>
          </w:p>
        </w:tc>
      </w:tr>
      <w:tr w:rsidR="00970C0F" w:rsidRPr="00970C0F" w:rsidTr="00970C0F">
        <w:trPr>
          <w:trHeight w:val="300"/>
          <w:jc w:val="center"/>
        </w:trPr>
        <w:tc>
          <w:tcPr>
            <w:tcW w:w="5860" w:type="dxa"/>
            <w:tcBorders>
              <w:top w:val="nil"/>
              <w:left w:val="single" w:sz="4" w:space="0" w:color="auto"/>
              <w:bottom w:val="nil"/>
              <w:right w:val="nil"/>
            </w:tcBorders>
            <w:shd w:val="clear" w:color="auto" w:fill="auto"/>
            <w:noWrap/>
            <w:vAlign w:val="center"/>
            <w:hideMark/>
          </w:tcPr>
          <w:p w:rsidR="00970C0F" w:rsidRPr="00970C0F" w:rsidRDefault="00970C0F" w:rsidP="00970C0F">
            <w:pPr>
              <w:rPr>
                <w:rFonts w:ascii="Arial" w:eastAsia="Times New Roman" w:hAnsi="Arial" w:cs="Arial"/>
                <w:color w:val="000000"/>
                <w:sz w:val="22"/>
                <w:szCs w:val="22"/>
                <w:lang w:eastAsia="es-CR"/>
              </w:rPr>
            </w:pPr>
            <w:r w:rsidRPr="00970C0F">
              <w:rPr>
                <w:rFonts w:ascii="Arial" w:eastAsia="Times New Roman" w:hAnsi="Arial" w:cs="Arial"/>
                <w:color w:val="000000"/>
                <w:sz w:val="22"/>
                <w:szCs w:val="22"/>
                <w:lang w:eastAsia="es-CR"/>
              </w:rPr>
              <w:t xml:space="preserve">Gasto por deterioro de bienes realizables </w:t>
            </w:r>
          </w:p>
        </w:tc>
        <w:tc>
          <w:tcPr>
            <w:tcW w:w="2140" w:type="dxa"/>
            <w:tcBorders>
              <w:top w:val="nil"/>
              <w:left w:val="nil"/>
              <w:bottom w:val="nil"/>
              <w:right w:val="single" w:sz="4" w:space="0" w:color="auto"/>
            </w:tcBorders>
            <w:shd w:val="clear" w:color="auto" w:fill="auto"/>
            <w:noWrap/>
            <w:vAlign w:val="center"/>
            <w:hideMark/>
          </w:tcPr>
          <w:p w:rsidR="00970C0F" w:rsidRPr="00970C0F" w:rsidRDefault="006541D9" w:rsidP="00970C0F">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82.787.156,25</w:t>
            </w:r>
          </w:p>
        </w:tc>
      </w:tr>
      <w:tr w:rsidR="00970C0F" w:rsidRPr="00970C0F" w:rsidTr="006541D9">
        <w:trPr>
          <w:trHeight w:val="300"/>
          <w:jc w:val="center"/>
        </w:trPr>
        <w:tc>
          <w:tcPr>
            <w:tcW w:w="5860" w:type="dxa"/>
            <w:tcBorders>
              <w:top w:val="single" w:sz="4" w:space="0" w:color="auto"/>
              <w:left w:val="single" w:sz="4" w:space="0" w:color="auto"/>
              <w:bottom w:val="single" w:sz="4" w:space="0" w:color="auto"/>
              <w:right w:val="nil"/>
            </w:tcBorders>
            <w:shd w:val="clear" w:color="auto" w:fill="00B050"/>
            <w:noWrap/>
            <w:vAlign w:val="center"/>
            <w:hideMark/>
          </w:tcPr>
          <w:p w:rsidR="00970C0F" w:rsidRPr="00970C0F" w:rsidRDefault="00970C0F" w:rsidP="00970C0F">
            <w:pPr>
              <w:rPr>
                <w:rFonts w:ascii="Arial" w:eastAsia="Times New Roman" w:hAnsi="Arial" w:cs="Arial"/>
                <w:b/>
                <w:bCs/>
                <w:color w:val="000000"/>
                <w:sz w:val="22"/>
                <w:szCs w:val="22"/>
                <w:lang w:eastAsia="es-CR"/>
              </w:rPr>
            </w:pPr>
            <w:r w:rsidRPr="00970C0F">
              <w:rPr>
                <w:rFonts w:ascii="Arial" w:eastAsia="Times New Roman" w:hAnsi="Arial" w:cs="Arial"/>
                <w:b/>
                <w:bCs/>
                <w:color w:val="000000"/>
                <w:sz w:val="22"/>
                <w:szCs w:val="22"/>
                <w:lang w:eastAsia="es-CR"/>
              </w:rPr>
              <w:t>Total disminución de la estimación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970C0F" w:rsidRPr="00970C0F" w:rsidRDefault="006541D9" w:rsidP="00970C0F">
            <w:pPr>
              <w:jc w:val="right"/>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91.764.457,04</w:t>
            </w:r>
          </w:p>
        </w:tc>
      </w:tr>
    </w:tbl>
    <w:p w:rsidR="00265AD3" w:rsidRDefault="00265AD3" w:rsidP="00FD4F24">
      <w:pPr>
        <w:pStyle w:val="Prrafodelista"/>
        <w:ind w:left="567" w:right="567"/>
        <w:contextualSpacing/>
        <w:jc w:val="both"/>
        <w:rPr>
          <w:rFonts w:ascii="Arial" w:hAnsi="Arial" w:cs="Arial"/>
          <w:b/>
          <w:sz w:val="24"/>
          <w:szCs w:val="24"/>
        </w:rPr>
      </w:pPr>
    </w:p>
    <w:p w:rsidR="002211A0" w:rsidRDefault="002211A0" w:rsidP="00FD4F24">
      <w:pPr>
        <w:pStyle w:val="Prrafodelista"/>
        <w:ind w:left="567" w:right="567"/>
        <w:contextualSpacing/>
        <w:jc w:val="both"/>
        <w:rPr>
          <w:rFonts w:ascii="Arial" w:hAnsi="Arial" w:cs="Arial"/>
          <w:b/>
          <w:sz w:val="24"/>
          <w:szCs w:val="24"/>
        </w:rPr>
      </w:pPr>
    </w:p>
    <w:p w:rsidR="003F51DB" w:rsidRPr="002211A0" w:rsidRDefault="00D82AA6" w:rsidP="002211A0">
      <w:pPr>
        <w:pStyle w:val="Prrafodelista"/>
        <w:ind w:left="567" w:right="567"/>
        <w:contextualSpacing/>
        <w:jc w:val="both"/>
        <w:rPr>
          <w:rFonts w:ascii="Arial" w:hAnsi="Arial" w:cs="Arial"/>
          <w:b/>
          <w:sz w:val="24"/>
          <w:szCs w:val="24"/>
        </w:rPr>
      </w:pPr>
      <w:r w:rsidRPr="00D82AA6">
        <w:rPr>
          <w:rFonts w:ascii="Arial" w:hAnsi="Arial" w:cs="Arial"/>
          <w:b/>
          <w:sz w:val="24"/>
          <w:szCs w:val="24"/>
        </w:rPr>
        <w:t xml:space="preserve">Pago </w:t>
      </w:r>
      <w:r w:rsidR="002211A0">
        <w:rPr>
          <w:rFonts w:ascii="Arial" w:hAnsi="Arial" w:cs="Arial"/>
          <w:b/>
          <w:sz w:val="24"/>
          <w:szCs w:val="24"/>
        </w:rPr>
        <w:t xml:space="preserve">por Servicios Ambientales (PSA). </w:t>
      </w:r>
      <w:r w:rsidRPr="002211A0">
        <w:rPr>
          <w:rFonts w:ascii="Arial" w:hAnsi="Arial" w:cs="Arial"/>
          <w:sz w:val="24"/>
          <w:szCs w:val="24"/>
        </w:rPr>
        <w:t xml:space="preserve">Es un reconocimiento financiero por parte del estado, a través del FONAFIFO, a los y las propietarios (as) y poseedores (as) de bosques y plantaciones forestales por los servicios ambientales que estos proveen y que inciden directamente en la protección y mejoramiento del medio ambiente, al cierre </w:t>
      </w:r>
      <w:r w:rsidR="00B11598">
        <w:rPr>
          <w:rFonts w:ascii="Arial" w:hAnsi="Arial" w:cs="Arial"/>
          <w:sz w:val="24"/>
          <w:szCs w:val="24"/>
        </w:rPr>
        <w:t>año</w:t>
      </w:r>
      <w:r w:rsidRPr="002211A0">
        <w:rPr>
          <w:rFonts w:ascii="Arial" w:hAnsi="Arial" w:cs="Arial"/>
          <w:sz w:val="24"/>
          <w:szCs w:val="24"/>
        </w:rPr>
        <w:t xml:space="preserve"> 2019 se refleja un saldo de </w:t>
      </w:r>
      <w:r w:rsidRPr="002211A0">
        <w:rPr>
          <w:rFonts w:ascii="Arial" w:hAnsi="Arial" w:cs="Arial"/>
          <w:b/>
          <w:sz w:val="24"/>
          <w:szCs w:val="24"/>
        </w:rPr>
        <w:t>¢862,237.80.</w:t>
      </w:r>
    </w:p>
    <w:p w:rsidR="00D82AA6" w:rsidRPr="00B35E7C" w:rsidRDefault="00D82AA6" w:rsidP="00B35E7C">
      <w:pPr>
        <w:ind w:right="567"/>
        <w:contextualSpacing/>
        <w:jc w:val="both"/>
        <w:rPr>
          <w:rFonts w:ascii="Arial" w:hAnsi="Arial" w:cs="Arial"/>
          <w:sz w:val="24"/>
          <w:szCs w:val="24"/>
        </w:rPr>
      </w:pPr>
    </w:p>
    <w:p w:rsidR="009F0447" w:rsidRDefault="009F0447" w:rsidP="00FD4F24">
      <w:pPr>
        <w:pStyle w:val="Prrafodelista"/>
        <w:ind w:left="567" w:right="567"/>
        <w:contextualSpacing/>
        <w:jc w:val="both"/>
        <w:rPr>
          <w:rFonts w:ascii="Arial" w:hAnsi="Arial" w:cs="Arial"/>
          <w:sz w:val="24"/>
          <w:szCs w:val="24"/>
        </w:rPr>
      </w:pPr>
      <w:r w:rsidRPr="009F0447">
        <w:rPr>
          <w:rFonts w:ascii="Arial" w:hAnsi="Arial" w:cs="Arial"/>
          <w:b/>
          <w:sz w:val="24"/>
          <w:szCs w:val="24"/>
        </w:rPr>
        <w:t>Otros gastos operativos:</w:t>
      </w:r>
      <w:r>
        <w:rPr>
          <w:rFonts w:ascii="Arial" w:hAnsi="Arial" w:cs="Arial"/>
          <w:sz w:val="24"/>
          <w:szCs w:val="24"/>
        </w:rPr>
        <w:t xml:space="preserve"> En esta cuenta se registran los siguientes gastos: </w:t>
      </w:r>
    </w:p>
    <w:p w:rsidR="009F0447" w:rsidRPr="009F0447" w:rsidRDefault="009F0447" w:rsidP="009F0447">
      <w:pPr>
        <w:ind w:right="567"/>
        <w:contextualSpacing/>
        <w:jc w:val="both"/>
        <w:rPr>
          <w:rFonts w:ascii="Arial" w:hAnsi="Arial" w:cs="Arial"/>
          <w:sz w:val="24"/>
          <w:szCs w:val="24"/>
        </w:rPr>
      </w:pPr>
    </w:p>
    <w:tbl>
      <w:tblPr>
        <w:tblW w:w="8000" w:type="dxa"/>
        <w:jc w:val="center"/>
        <w:tblCellMar>
          <w:left w:w="70" w:type="dxa"/>
          <w:right w:w="70" w:type="dxa"/>
        </w:tblCellMar>
        <w:tblLook w:val="04A0" w:firstRow="1" w:lastRow="0" w:firstColumn="1" w:lastColumn="0" w:noHBand="0" w:noVBand="1"/>
      </w:tblPr>
      <w:tblGrid>
        <w:gridCol w:w="5860"/>
        <w:gridCol w:w="2140"/>
      </w:tblGrid>
      <w:tr w:rsidR="009F0447" w:rsidRPr="009F0447" w:rsidTr="00F00AFC">
        <w:trPr>
          <w:trHeight w:val="300"/>
          <w:jc w:val="center"/>
        </w:trPr>
        <w:tc>
          <w:tcPr>
            <w:tcW w:w="5860" w:type="dxa"/>
            <w:tcBorders>
              <w:top w:val="single" w:sz="4" w:space="0" w:color="auto"/>
              <w:left w:val="single" w:sz="4" w:space="0" w:color="auto"/>
              <w:bottom w:val="single" w:sz="4" w:space="0" w:color="auto"/>
              <w:right w:val="nil"/>
            </w:tcBorders>
            <w:shd w:val="clear" w:color="auto" w:fill="00B050"/>
            <w:noWrap/>
            <w:vAlign w:val="center"/>
            <w:hideMark/>
          </w:tcPr>
          <w:p w:rsidR="009F0447" w:rsidRPr="009F0447" w:rsidRDefault="009F0447" w:rsidP="009F0447">
            <w:pPr>
              <w:jc w:val="center"/>
              <w:rPr>
                <w:rFonts w:ascii="Arial" w:eastAsia="Times New Roman" w:hAnsi="Arial" w:cs="Arial"/>
                <w:b/>
                <w:color w:val="000000"/>
                <w:sz w:val="22"/>
                <w:szCs w:val="22"/>
                <w:lang w:eastAsia="es-CR"/>
              </w:rPr>
            </w:pPr>
            <w:r w:rsidRPr="009F0447">
              <w:rPr>
                <w:rFonts w:ascii="Arial" w:eastAsia="Times New Roman" w:hAnsi="Arial" w:cs="Arial"/>
                <w:b/>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9F0447" w:rsidRPr="009F0447" w:rsidRDefault="00F00AFC" w:rsidP="009F0447">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Diciembre</w:t>
            </w:r>
            <w:r w:rsidR="00C8774A" w:rsidRPr="00C8774A">
              <w:rPr>
                <w:rFonts w:ascii="Arial" w:eastAsia="Times New Roman" w:hAnsi="Arial" w:cs="Arial"/>
                <w:b/>
                <w:color w:val="000000"/>
                <w:sz w:val="22"/>
                <w:szCs w:val="22"/>
                <w:lang w:eastAsia="es-CR"/>
              </w:rPr>
              <w:t xml:space="preserve"> 2019</w:t>
            </w:r>
          </w:p>
        </w:tc>
      </w:tr>
      <w:tr w:rsidR="00F00AFC" w:rsidRPr="009F0447" w:rsidTr="009F0447">
        <w:trPr>
          <w:trHeight w:val="300"/>
          <w:jc w:val="center"/>
        </w:trPr>
        <w:tc>
          <w:tcPr>
            <w:tcW w:w="5860" w:type="dxa"/>
            <w:tcBorders>
              <w:top w:val="nil"/>
              <w:left w:val="single" w:sz="4" w:space="0" w:color="auto"/>
              <w:bottom w:val="nil"/>
              <w:right w:val="nil"/>
            </w:tcBorders>
            <w:shd w:val="clear" w:color="auto" w:fill="auto"/>
            <w:noWrap/>
            <w:vAlign w:val="center"/>
          </w:tcPr>
          <w:p w:rsidR="00F00AFC" w:rsidRPr="009F0447" w:rsidRDefault="00F00AFC" w:rsidP="009F0447">
            <w:pPr>
              <w:rPr>
                <w:rFonts w:ascii="Arial" w:eastAsia="Times New Roman" w:hAnsi="Arial" w:cs="Arial"/>
                <w:color w:val="000000"/>
                <w:sz w:val="22"/>
                <w:szCs w:val="22"/>
                <w:lang w:eastAsia="es-CR"/>
              </w:rPr>
            </w:pPr>
            <w:r w:rsidRPr="00F00AFC">
              <w:rPr>
                <w:rFonts w:ascii="Arial" w:eastAsia="Times New Roman" w:hAnsi="Arial" w:cs="Arial"/>
                <w:color w:val="000000"/>
                <w:sz w:val="22"/>
                <w:szCs w:val="22"/>
                <w:lang w:eastAsia="es-CR"/>
              </w:rPr>
              <w:t>Devolución de ingresos ya liquidados M.N</w:t>
            </w:r>
          </w:p>
        </w:tc>
        <w:tc>
          <w:tcPr>
            <w:tcW w:w="2140" w:type="dxa"/>
            <w:tcBorders>
              <w:top w:val="nil"/>
              <w:left w:val="nil"/>
              <w:bottom w:val="nil"/>
              <w:right w:val="single" w:sz="4" w:space="0" w:color="auto"/>
            </w:tcBorders>
            <w:shd w:val="clear" w:color="auto" w:fill="auto"/>
            <w:noWrap/>
            <w:vAlign w:val="center"/>
          </w:tcPr>
          <w:p w:rsidR="00F00AFC" w:rsidRPr="009F0447" w:rsidRDefault="00F00AFC" w:rsidP="009F0447">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175.000,00</w:t>
            </w:r>
          </w:p>
        </w:tc>
      </w:tr>
      <w:tr w:rsidR="009F0447" w:rsidRPr="009F0447" w:rsidTr="009F0447">
        <w:trPr>
          <w:trHeight w:val="300"/>
          <w:jc w:val="center"/>
        </w:trPr>
        <w:tc>
          <w:tcPr>
            <w:tcW w:w="5860" w:type="dxa"/>
            <w:tcBorders>
              <w:top w:val="nil"/>
              <w:left w:val="single" w:sz="4" w:space="0" w:color="auto"/>
              <w:bottom w:val="nil"/>
              <w:right w:val="nil"/>
            </w:tcBorders>
            <w:shd w:val="clear" w:color="auto" w:fill="auto"/>
            <w:noWrap/>
            <w:vAlign w:val="center"/>
            <w:hideMark/>
          </w:tcPr>
          <w:p w:rsidR="009F0447" w:rsidRPr="009F0447" w:rsidRDefault="009F0447" w:rsidP="009F0447">
            <w:pPr>
              <w:rPr>
                <w:rFonts w:ascii="Arial" w:eastAsia="Times New Roman" w:hAnsi="Arial" w:cs="Arial"/>
                <w:color w:val="000000"/>
                <w:sz w:val="22"/>
                <w:szCs w:val="22"/>
                <w:lang w:eastAsia="es-CR"/>
              </w:rPr>
            </w:pPr>
            <w:r w:rsidRPr="009F0447">
              <w:rPr>
                <w:rFonts w:ascii="Arial" w:eastAsia="Times New Roman" w:hAnsi="Arial" w:cs="Arial"/>
                <w:color w:val="000000"/>
                <w:sz w:val="22"/>
                <w:szCs w:val="22"/>
                <w:lang w:eastAsia="es-CR"/>
              </w:rPr>
              <w:t>Amortización de software</w:t>
            </w:r>
          </w:p>
        </w:tc>
        <w:tc>
          <w:tcPr>
            <w:tcW w:w="2140" w:type="dxa"/>
            <w:tcBorders>
              <w:top w:val="nil"/>
              <w:left w:val="nil"/>
              <w:bottom w:val="nil"/>
              <w:right w:val="single" w:sz="4" w:space="0" w:color="auto"/>
            </w:tcBorders>
            <w:shd w:val="clear" w:color="auto" w:fill="auto"/>
            <w:noWrap/>
            <w:vAlign w:val="center"/>
            <w:hideMark/>
          </w:tcPr>
          <w:p w:rsidR="009F0447" w:rsidRPr="009F0447" w:rsidRDefault="00F00AFC" w:rsidP="009F0447">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10.886.231,43</w:t>
            </w:r>
          </w:p>
        </w:tc>
      </w:tr>
      <w:tr w:rsidR="00F00AFC" w:rsidRPr="009F0447" w:rsidTr="009F0447">
        <w:trPr>
          <w:trHeight w:val="300"/>
          <w:jc w:val="center"/>
        </w:trPr>
        <w:tc>
          <w:tcPr>
            <w:tcW w:w="5860" w:type="dxa"/>
            <w:tcBorders>
              <w:top w:val="nil"/>
              <w:left w:val="single" w:sz="4" w:space="0" w:color="auto"/>
              <w:bottom w:val="nil"/>
              <w:right w:val="nil"/>
            </w:tcBorders>
            <w:shd w:val="clear" w:color="auto" w:fill="auto"/>
            <w:noWrap/>
            <w:vAlign w:val="center"/>
          </w:tcPr>
          <w:p w:rsidR="00F00AFC" w:rsidRPr="009F0447" w:rsidRDefault="00F00AFC" w:rsidP="009F0447">
            <w:pPr>
              <w:rPr>
                <w:rFonts w:ascii="Arial" w:eastAsia="Times New Roman" w:hAnsi="Arial" w:cs="Arial"/>
                <w:color w:val="000000"/>
                <w:sz w:val="22"/>
                <w:szCs w:val="22"/>
                <w:lang w:eastAsia="es-CR"/>
              </w:rPr>
            </w:pPr>
            <w:r w:rsidRPr="00F00AFC">
              <w:rPr>
                <w:rFonts w:ascii="Arial" w:eastAsia="Times New Roman" w:hAnsi="Arial" w:cs="Arial"/>
                <w:color w:val="000000"/>
                <w:sz w:val="22"/>
                <w:szCs w:val="22"/>
                <w:lang w:eastAsia="es-CR"/>
              </w:rPr>
              <w:t>Gastos IVA</w:t>
            </w:r>
          </w:p>
        </w:tc>
        <w:tc>
          <w:tcPr>
            <w:tcW w:w="2140" w:type="dxa"/>
            <w:tcBorders>
              <w:top w:val="nil"/>
              <w:left w:val="nil"/>
              <w:bottom w:val="nil"/>
              <w:right w:val="single" w:sz="4" w:space="0" w:color="auto"/>
            </w:tcBorders>
            <w:shd w:val="clear" w:color="auto" w:fill="auto"/>
            <w:noWrap/>
            <w:vAlign w:val="center"/>
          </w:tcPr>
          <w:p w:rsidR="00F00AFC" w:rsidRPr="009F0447" w:rsidRDefault="00F00AFC" w:rsidP="009F0447">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41.641.514,05</w:t>
            </w:r>
          </w:p>
        </w:tc>
      </w:tr>
      <w:tr w:rsidR="009F0447" w:rsidRPr="009F0447" w:rsidTr="00F00AFC">
        <w:trPr>
          <w:trHeight w:val="300"/>
          <w:jc w:val="center"/>
        </w:trPr>
        <w:tc>
          <w:tcPr>
            <w:tcW w:w="5860" w:type="dxa"/>
            <w:tcBorders>
              <w:top w:val="single" w:sz="4" w:space="0" w:color="auto"/>
              <w:left w:val="single" w:sz="4" w:space="0" w:color="auto"/>
              <w:bottom w:val="single" w:sz="4" w:space="0" w:color="auto"/>
              <w:right w:val="nil"/>
            </w:tcBorders>
            <w:shd w:val="clear" w:color="auto" w:fill="00B050"/>
            <w:noWrap/>
            <w:vAlign w:val="center"/>
            <w:hideMark/>
          </w:tcPr>
          <w:p w:rsidR="009F0447" w:rsidRPr="009F0447" w:rsidRDefault="009F0447" w:rsidP="009F0447">
            <w:pPr>
              <w:rPr>
                <w:rFonts w:ascii="Arial" w:eastAsia="Times New Roman" w:hAnsi="Arial" w:cs="Arial"/>
                <w:b/>
                <w:bCs/>
                <w:color w:val="000000"/>
                <w:sz w:val="22"/>
                <w:szCs w:val="22"/>
                <w:lang w:eastAsia="es-CR"/>
              </w:rPr>
            </w:pPr>
            <w:r w:rsidRPr="009F0447">
              <w:rPr>
                <w:rFonts w:ascii="Arial" w:eastAsia="Times New Roman" w:hAnsi="Arial" w:cs="Arial"/>
                <w:b/>
                <w:bCs/>
                <w:color w:val="000000"/>
                <w:sz w:val="22"/>
                <w:szCs w:val="22"/>
                <w:lang w:eastAsia="es-CR"/>
              </w:rPr>
              <w:t xml:space="preserve">Total general de gastos operativos </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9F0447" w:rsidRPr="00F00AFC" w:rsidRDefault="00F00AFC" w:rsidP="009F0447">
            <w:pPr>
              <w:jc w:val="right"/>
              <w:rPr>
                <w:rFonts w:ascii="Arial" w:eastAsia="Times New Roman" w:hAnsi="Arial" w:cs="Arial"/>
                <w:b/>
                <w:color w:val="000000"/>
                <w:sz w:val="22"/>
                <w:szCs w:val="22"/>
                <w:lang w:eastAsia="es-CR"/>
              </w:rPr>
            </w:pPr>
            <w:r w:rsidRPr="00F00AFC">
              <w:rPr>
                <w:rFonts w:ascii="Arial" w:eastAsia="Times New Roman" w:hAnsi="Arial" w:cs="Arial"/>
                <w:b/>
                <w:color w:val="000000"/>
                <w:sz w:val="22"/>
                <w:szCs w:val="22"/>
                <w:lang w:eastAsia="es-CR"/>
              </w:rPr>
              <w:t>52.702.745,48</w:t>
            </w:r>
          </w:p>
        </w:tc>
      </w:tr>
    </w:tbl>
    <w:p w:rsidR="009F0447" w:rsidRPr="003F51DB" w:rsidRDefault="009F0447" w:rsidP="00FD4F24">
      <w:pPr>
        <w:pStyle w:val="Prrafodelista"/>
        <w:ind w:left="567" w:right="567"/>
        <w:contextualSpacing/>
        <w:jc w:val="both"/>
        <w:rPr>
          <w:rFonts w:ascii="Arial" w:hAnsi="Arial" w:cs="Arial"/>
          <w:sz w:val="24"/>
          <w:szCs w:val="24"/>
        </w:rPr>
      </w:pPr>
    </w:p>
    <w:p w:rsidR="00353A87" w:rsidRDefault="00532B92" w:rsidP="00FD4F24">
      <w:pPr>
        <w:ind w:left="567" w:right="567"/>
        <w:contextualSpacing/>
        <w:jc w:val="both"/>
        <w:rPr>
          <w:rFonts w:ascii="Arial" w:hAnsi="Arial" w:cs="Arial"/>
          <w:sz w:val="24"/>
          <w:szCs w:val="24"/>
        </w:rPr>
      </w:pPr>
      <w:r w:rsidRPr="009F0447">
        <w:rPr>
          <w:rFonts w:ascii="Arial" w:hAnsi="Arial" w:cs="Arial"/>
          <w:b/>
          <w:sz w:val="24"/>
          <w:szCs w:val="24"/>
        </w:rPr>
        <w:t xml:space="preserve">Gastos Financieros, </w:t>
      </w:r>
      <w:r w:rsidRPr="009F0447">
        <w:rPr>
          <w:rFonts w:ascii="Arial" w:hAnsi="Arial" w:cs="Arial"/>
          <w:sz w:val="24"/>
          <w:szCs w:val="24"/>
        </w:rPr>
        <w:t xml:space="preserve">corresponden a los gastos en que incurra la institución y en que el fideicomiso será el responsable de realizar el gasto o desembolso. </w:t>
      </w:r>
      <w:r w:rsidR="003D3415" w:rsidRPr="009F0447">
        <w:rPr>
          <w:rFonts w:ascii="Arial" w:hAnsi="Arial" w:cs="Arial"/>
          <w:sz w:val="24"/>
          <w:szCs w:val="24"/>
        </w:rPr>
        <w:t>Entre los cuales encontramos:</w:t>
      </w:r>
    </w:p>
    <w:p w:rsidR="009F0447" w:rsidRDefault="009F0447" w:rsidP="00FD4F24">
      <w:pPr>
        <w:ind w:left="567" w:right="567"/>
        <w:contextualSpacing/>
        <w:jc w:val="both"/>
        <w:rPr>
          <w:rFonts w:ascii="Arial" w:hAnsi="Arial" w:cs="Arial"/>
          <w:sz w:val="24"/>
          <w:szCs w:val="24"/>
        </w:rPr>
      </w:pPr>
    </w:p>
    <w:p w:rsidR="009B0DEB" w:rsidRPr="009B0DEB" w:rsidRDefault="009F0447" w:rsidP="00A60944">
      <w:pPr>
        <w:pStyle w:val="Prrafodelista"/>
        <w:numPr>
          <w:ilvl w:val="0"/>
          <w:numId w:val="30"/>
        </w:numPr>
        <w:ind w:right="567"/>
        <w:contextualSpacing/>
        <w:jc w:val="both"/>
        <w:rPr>
          <w:rFonts w:ascii="Arial" w:hAnsi="Arial" w:cs="Arial"/>
          <w:sz w:val="24"/>
          <w:szCs w:val="24"/>
        </w:rPr>
      </w:pPr>
      <w:r w:rsidRPr="009B0DEB">
        <w:rPr>
          <w:rFonts w:ascii="Arial" w:hAnsi="Arial" w:cs="Arial"/>
          <w:b/>
          <w:sz w:val="24"/>
          <w:szCs w:val="24"/>
        </w:rPr>
        <w:t>Gastos por diferencial cambiario:</w:t>
      </w:r>
      <w:r w:rsidRPr="009B0DEB">
        <w:rPr>
          <w:rFonts w:ascii="Arial" w:hAnsi="Arial" w:cs="Arial"/>
          <w:sz w:val="24"/>
          <w:szCs w:val="24"/>
        </w:rPr>
        <w:t xml:space="preserve"> en esta partida se cargan las diferencias de cambio que generan las cuentas contables que se encuentran registradas en moneda extranjera, debido a que los activos y pasivos se expresan a un tipo de cambio establecido por el Área de Finanzas del Banco Nacional de Costa Rica y las diferencias de cambio al realizar las transacciones multi-moneda. Al cierre del primer semestre el monto es de </w:t>
      </w:r>
      <w:r w:rsidRPr="009B0DEB">
        <w:rPr>
          <w:rFonts w:ascii="Arial" w:hAnsi="Arial" w:cs="Arial"/>
          <w:b/>
          <w:sz w:val="24"/>
          <w:szCs w:val="24"/>
        </w:rPr>
        <w:t>¢</w:t>
      </w:r>
      <w:r w:rsidR="00B747C6" w:rsidRPr="009B0DEB">
        <w:rPr>
          <w:rFonts w:ascii="Arial" w:hAnsi="Arial" w:cs="Arial"/>
          <w:b/>
          <w:sz w:val="24"/>
          <w:szCs w:val="24"/>
        </w:rPr>
        <w:t>17.276.948,33</w:t>
      </w:r>
      <w:r w:rsidRPr="009B0DEB">
        <w:rPr>
          <w:rFonts w:ascii="Arial" w:hAnsi="Arial" w:cs="Arial"/>
          <w:b/>
          <w:sz w:val="24"/>
          <w:szCs w:val="24"/>
        </w:rPr>
        <w:t>.</w:t>
      </w:r>
    </w:p>
    <w:p w:rsidR="009B0DEB" w:rsidRPr="009B0DEB" w:rsidRDefault="009B0DEB" w:rsidP="009B0DEB">
      <w:pPr>
        <w:pStyle w:val="Prrafodelista"/>
        <w:ind w:left="765" w:right="567"/>
        <w:contextualSpacing/>
        <w:jc w:val="both"/>
        <w:rPr>
          <w:rFonts w:ascii="Arial" w:hAnsi="Arial" w:cs="Arial"/>
          <w:sz w:val="24"/>
          <w:szCs w:val="24"/>
        </w:rPr>
      </w:pPr>
    </w:p>
    <w:p w:rsidR="009B0DEB" w:rsidRPr="009B0DEB" w:rsidRDefault="009B0DEB" w:rsidP="009B0DEB">
      <w:pPr>
        <w:ind w:right="567"/>
        <w:contextualSpacing/>
        <w:jc w:val="both"/>
        <w:rPr>
          <w:rFonts w:ascii="Arial" w:hAnsi="Arial" w:cs="Arial"/>
          <w:sz w:val="24"/>
          <w:szCs w:val="24"/>
        </w:rPr>
      </w:pPr>
    </w:p>
    <w:p w:rsidR="009F0447" w:rsidRDefault="009F0447" w:rsidP="009F0447">
      <w:pPr>
        <w:ind w:right="567"/>
        <w:contextualSpacing/>
        <w:jc w:val="both"/>
        <w:rPr>
          <w:rFonts w:ascii="Arial" w:hAnsi="Arial" w:cs="Arial"/>
          <w:sz w:val="24"/>
          <w:szCs w:val="24"/>
        </w:rPr>
      </w:pPr>
    </w:p>
    <w:p w:rsidR="00A6130F" w:rsidRPr="00215940" w:rsidRDefault="00A6130F" w:rsidP="003D3415">
      <w:pPr>
        <w:ind w:right="567"/>
        <w:contextualSpacing/>
        <w:jc w:val="both"/>
        <w:rPr>
          <w:rFonts w:ascii="Arial" w:hAnsi="Arial" w:cs="Arial"/>
          <w:sz w:val="22"/>
          <w:szCs w:val="22"/>
          <w:highlight w:val="yellow"/>
        </w:rPr>
      </w:pPr>
    </w:p>
    <w:p w:rsidR="00B35E7C" w:rsidRDefault="00B71DDA" w:rsidP="00265AD3">
      <w:pPr>
        <w:pStyle w:val="Prrafodelista"/>
        <w:numPr>
          <w:ilvl w:val="0"/>
          <w:numId w:val="30"/>
        </w:numPr>
        <w:ind w:right="567"/>
        <w:contextualSpacing/>
        <w:jc w:val="both"/>
        <w:rPr>
          <w:rFonts w:ascii="Arial" w:hAnsi="Arial" w:cs="Arial"/>
          <w:sz w:val="24"/>
          <w:szCs w:val="24"/>
        </w:rPr>
      </w:pPr>
      <w:r w:rsidRPr="00D26E2D">
        <w:rPr>
          <w:rFonts w:ascii="Arial" w:hAnsi="Arial" w:cs="Arial"/>
          <w:b/>
          <w:sz w:val="24"/>
          <w:szCs w:val="24"/>
        </w:rPr>
        <w:lastRenderedPageBreak/>
        <w:t>Gastos por personal</w:t>
      </w:r>
      <w:r w:rsidR="00265518" w:rsidRPr="00D26E2D">
        <w:rPr>
          <w:rFonts w:ascii="Arial" w:hAnsi="Arial" w:cs="Arial"/>
          <w:sz w:val="24"/>
          <w:szCs w:val="24"/>
        </w:rPr>
        <w:t xml:space="preserve"> </w:t>
      </w:r>
      <w:r w:rsidR="00265518" w:rsidRPr="00D26E2D">
        <w:rPr>
          <w:rFonts w:ascii="Arial" w:hAnsi="Arial" w:cs="Arial"/>
          <w:b/>
          <w:sz w:val="24"/>
          <w:szCs w:val="24"/>
        </w:rPr>
        <w:t>(remuneraciones)</w:t>
      </w:r>
      <w:r w:rsidR="00D26E2D" w:rsidRPr="00D26E2D">
        <w:rPr>
          <w:rFonts w:ascii="Arial" w:hAnsi="Arial" w:cs="Arial"/>
          <w:sz w:val="24"/>
          <w:szCs w:val="24"/>
        </w:rPr>
        <w:t xml:space="preserve">: </w:t>
      </w:r>
      <w:r w:rsidR="007F3D8B" w:rsidRPr="00D26E2D">
        <w:rPr>
          <w:rFonts w:ascii="Arial" w:hAnsi="Arial" w:cs="Arial"/>
          <w:sz w:val="24"/>
          <w:szCs w:val="24"/>
        </w:rPr>
        <w:t>C</w:t>
      </w:r>
      <w:r w:rsidR="00A6130F" w:rsidRPr="00D26E2D">
        <w:rPr>
          <w:rFonts w:ascii="Arial" w:hAnsi="Arial" w:cs="Arial"/>
          <w:sz w:val="24"/>
          <w:szCs w:val="24"/>
        </w:rPr>
        <w:t>orresponde al gasto registrado por concepto de la planilla y demás beneficios a los colaboradores del Fideicomiso.</w:t>
      </w:r>
      <w:r w:rsidRPr="00D26E2D">
        <w:rPr>
          <w:rFonts w:ascii="Arial" w:hAnsi="Arial" w:cs="Arial"/>
          <w:sz w:val="24"/>
          <w:szCs w:val="24"/>
        </w:rPr>
        <w:t xml:space="preserve"> </w:t>
      </w:r>
    </w:p>
    <w:p w:rsidR="00B35E7C" w:rsidRDefault="00B35E7C" w:rsidP="00B35E7C">
      <w:pPr>
        <w:pStyle w:val="Prrafodelista"/>
        <w:ind w:left="765" w:right="567"/>
        <w:contextualSpacing/>
        <w:jc w:val="both"/>
        <w:rPr>
          <w:rFonts w:ascii="Arial" w:hAnsi="Arial" w:cs="Arial"/>
          <w:b/>
          <w:sz w:val="24"/>
          <w:szCs w:val="24"/>
        </w:rPr>
      </w:pPr>
    </w:p>
    <w:p w:rsidR="0083405A" w:rsidRPr="00265AD3" w:rsidRDefault="000564CD" w:rsidP="00B35E7C">
      <w:pPr>
        <w:pStyle w:val="Prrafodelista"/>
        <w:ind w:left="765" w:right="567"/>
        <w:contextualSpacing/>
        <w:jc w:val="both"/>
        <w:rPr>
          <w:rFonts w:ascii="Arial" w:hAnsi="Arial" w:cs="Arial"/>
          <w:sz w:val="24"/>
          <w:szCs w:val="24"/>
        </w:rPr>
      </w:pPr>
      <w:r w:rsidRPr="00D26E2D">
        <w:rPr>
          <w:rFonts w:ascii="Arial" w:hAnsi="Arial" w:cs="Arial"/>
          <w:sz w:val="24"/>
          <w:szCs w:val="24"/>
        </w:rPr>
        <w:t xml:space="preserve">Al cierre del </w:t>
      </w:r>
      <w:r w:rsidR="00851C55" w:rsidRPr="00D26E2D">
        <w:rPr>
          <w:rFonts w:ascii="Arial" w:hAnsi="Arial" w:cs="Arial"/>
          <w:sz w:val="24"/>
          <w:szCs w:val="24"/>
        </w:rPr>
        <w:t>p</w:t>
      </w:r>
      <w:r w:rsidR="009B0DEB">
        <w:rPr>
          <w:rFonts w:ascii="Arial" w:hAnsi="Arial" w:cs="Arial"/>
          <w:sz w:val="24"/>
          <w:szCs w:val="24"/>
        </w:rPr>
        <w:t>eriodo</w:t>
      </w:r>
      <w:r w:rsidR="00851C55" w:rsidRPr="00D26E2D">
        <w:rPr>
          <w:rFonts w:ascii="Arial" w:hAnsi="Arial" w:cs="Arial"/>
          <w:sz w:val="24"/>
          <w:szCs w:val="24"/>
        </w:rPr>
        <w:t xml:space="preserve"> 2019 </w:t>
      </w:r>
      <w:r w:rsidRPr="00D26E2D">
        <w:rPr>
          <w:rFonts w:ascii="Arial" w:hAnsi="Arial" w:cs="Arial"/>
          <w:sz w:val="24"/>
          <w:szCs w:val="24"/>
        </w:rPr>
        <w:t xml:space="preserve">el monto es por un total de </w:t>
      </w:r>
      <w:r w:rsidR="00175E5E" w:rsidRPr="00D26E2D">
        <w:rPr>
          <w:rFonts w:ascii="Arial" w:hAnsi="Arial" w:cs="Arial"/>
          <w:b/>
          <w:sz w:val="24"/>
          <w:szCs w:val="24"/>
        </w:rPr>
        <w:t>¢</w:t>
      </w:r>
      <w:r w:rsidR="00851C55" w:rsidRPr="00D26E2D">
        <w:rPr>
          <w:rFonts w:ascii="Arial" w:hAnsi="Arial" w:cs="Arial"/>
          <w:b/>
          <w:sz w:val="24"/>
          <w:szCs w:val="24"/>
        </w:rPr>
        <w:t>1</w:t>
      </w:r>
      <w:r w:rsidR="009B0DEB">
        <w:rPr>
          <w:rFonts w:ascii="Arial" w:hAnsi="Arial" w:cs="Arial"/>
          <w:b/>
          <w:sz w:val="24"/>
          <w:szCs w:val="24"/>
        </w:rPr>
        <w:t>3</w:t>
      </w:r>
      <w:r w:rsidR="00851C55" w:rsidRPr="00D26E2D">
        <w:rPr>
          <w:rFonts w:ascii="Arial" w:hAnsi="Arial" w:cs="Arial"/>
          <w:b/>
          <w:sz w:val="24"/>
          <w:szCs w:val="24"/>
        </w:rPr>
        <w:t>3.</w:t>
      </w:r>
      <w:r w:rsidR="009B0DEB">
        <w:rPr>
          <w:rFonts w:ascii="Arial" w:hAnsi="Arial" w:cs="Arial"/>
          <w:b/>
          <w:sz w:val="24"/>
          <w:szCs w:val="24"/>
        </w:rPr>
        <w:t>674.356,17</w:t>
      </w:r>
    </w:p>
    <w:tbl>
      <w:tblPr>
        <w:tblW w:w="8098" w:type="dxa"/>
        <w:jc w:val="center"/>
        <w:tblCellMar>
          <w:left w:w="70" w:type="dxa"/>
          <w:right w:w="70" w:type="dxa"/>
        </w:tblCellMar>
        <w:tblLook w:val="04A0" w:firstRow="1" w:lastRow="0" w:firstColumn="1" w:lastColumn="0" w:noHBand="0" w:noVBand="1"/>
      </w:tblPr>
      <w:tblGrid>
        <w:gridCol w:w="5958"/>
        <w:gridCol w:w="2140"/>
      </w:tblGrid>
      <w:tr w:rsidR="00D26E2D" w:rsidRPr="00D26E2D" w:rsidTr="006A0E5E">
        <w:trPr>
          <w:trHeight w:val="300"/>
          <w:jc w:val="center"/>
        </w:trPr>
        <w:tc>
          <w:tcPr>
            <w:tcW w:w="5958" w:type="dxa"/>
            <w:tcBorders>
              <w:top w:val="single" w:sz="4" w:space="0" w:color="auto"/>
              <w:left w:val="single" w:sz="4" w:space="0" w:color="auto"/>
              <w:bottom w:val="single" w:sz="4" w:space="0" w:color="auto"/>
              <w:right w:val="nil"/>
            </w:tcBorders>
            <w:shd w:val="clear" w:color="auto" w:fill="00B050"/>
            <w:noWrap/>
            <w:vAlign w:val="center"/>
            <w:hideMark/>
          </w:tcPr>
          <w:p w:rsidR="00D26E2D" w:rsidRPr="00D26E2D" w:rsidRDefault="00D26E2D" w:rsidP="00D26E2D">
            <w:pPr>
              <w:jc w:val="center"/>
              <w:rPr>
                <w:rFonts w:ascii="Arial" w:eastAsia="Times New Roman" w:hAnsi="Arial" w:cs="Arial"/>
                <w:b/>
                <w:color w:val="000000"/>
                <w:sz w:val="22"/>
                <w:szCs w:val="22"/>
                <w:lang w:eastAsia="es-CR"/>
              </w:rPr>
            </w:pPr>
            <w:r w:rsidRPr="00D26E2D">
              <w:rPr>
                <w:rFonts w:ascii="Arial" w:eastAsia="Times New Roman" w:hAnsi="Arial" w:cs="Arial"/>
                <w:b/>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D26E2D" w:rsidRPr="00D26E2D" w:rsidRDefault="006A0E5E" w:rsidP="00D26E2D">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w:t>
            </w:r>
            <w:r w:rsidR="007F2192">
              <w:rPr>
                <w:rFonts w:ascii="Arial" w:eastAsia="Times New Roman" w:hAnsi="Arial" w:cs="Arial"/>
                <w:b/>
                <w:color w:val="000000"/>
                <w:sz w:val="22"/>
                <w:szCs w:val="22"/>
                <w:lang w:eastAsia="es-CR"/>
              </w:rPr>
              <w:t>iciembre</w:t>
            </w:r>
            <w:r w:rsidR="00FC07DF" w:rsidRPr="00FC07DF">
              <w:rPr>
                <w:rFonts w:ascii="Arial" w:eastAsia="Times New Roman" w:hAnsi="Arial" w:cs="Arial"/>
                <w:b/>
                <w:color w:val="000000"/>
                <w:sz w:val="22"/>
                <w:szCs w:val="22"/>
                <w:lang w:eastAsia="es-CR"/>
              </w:rPr>
              <w:t xml:space="preserve"> 2019</w:t>
            </w:r>
          </w:p>
        </w:tc>
      </w:tr>
      <w:tr w:rsidR="00D26E2D" w:rsidRPr="00D26E2D" w:rsidTr="00443F72">
        <w:trPr>
          <w:trHeight w:val="300"/>
          <w:jc w:val="center"/>
        </w:trPr>
        <w:tc>
          <w:tcPr>
            <w:tcW w:w="5958" w:type="dxa"/>
            <w:tcBorders>
              <w:top w:val="nil"/>
              <w:left w:val="single" w:sz="4" w:space="0" w:color="auto"/>
              <w:bottom w:val="nil"/>
              <w:right w:val="nil"/>
            </w:tcBorders>
            <w:shd w:val="clear" w:color="auto" w:fill="auto"/>
            <w:noWrap/>
            <w:vAlign w:val="center"/>
            <w:hideMark/>
          </w:tcPr>
          <w:p w:rsidR="00D26E2D" w:rsidRPr="00D26E2D" w:rsidRDefault="00D26E2D" w:rsidP="00D26E2D">
            <w:pPr>
              <w:rPr>
                <w:rFonts w:ascii="Arial" w:eastAsia="Times New Roman" w:hAnsi="Arial" w:cs="Arial"/>
                <w:color w:val="000000"/>
                <w:sz w:val="22"/>
                <w:szCs w:val="22"/>
                <w:lang w:eastAsia="es-CR"/>
              </w:rPr>
            </w:pPr>
            <w:r w:rsidRPr="00D26E2D">
              <w:rPr>
                <w:rFonts w:ascii="Arial" w:eastAsia="Times New Roman" w:hAnsi="Arial" w:cs="Arial"/>
                <w:color w:val="000000"/>
                <w:sz w:val="22"/>
                <w:szCs w:val="22"/>
                <w:lang w:eastAsia="es-CR"/>
              </w:rPr>
              <w:t xml:space="preserve">Sueldos y bonificaciones de personal permanente </w:t>
            </w:r>
          </w:p>
        </w:tc>
        <w:tc>
          <w:tcPr>
            <w:tcW w:w="2140" w:type="dxa"/>
            <w:tcBorders>
              <w:top w:val="nil"/>
              <w:left w:val="nil"/>
              <w:bottom w:val="nil"/>
              <w:right w:val="single" w:sz="4" w:space="0" w:color="auto"/>
            </w:tcBorders>
            <w:shd w:val="clear" w:color="auto" w:fill="auto"/>
            <w:noWrap/>
            <w:vAlign w:val="center"/>
          </w:tcPr>
          <w:p w:rsidR="00D26E2D" w:rsidRPr="00D26E2D" w:rsidRDefault="00443F72" w:rsidP="00D26E2D">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116.782.767,33</w:t>
            </w:r>
          </w:p>
        </w:tc>
      </w:tr>
      <w:tr w:rsidR="00D26E2D" w:rsidRPr="00D26E2D" w:rsidTr="00443F72">
        <w:trPr>
          <w:trHeight w:val="300"/>
          <w:jc w:val="center"/>
        </w:trPr>
        <w:tc>
          <w:tcPr>
            <w:tcW w:w="5958" w:type="dxa"/>
            <w:tcBorders>
              <w:top w:val="nil"/>
              <w:left w:val="single" w:sz="4" w:space="0" w:color="auto"/>
              <w:bottom w:val="nil"/>
              <w:right w:val="nil"/>
            </w:tcBorders>
            <w:shd w:val="clear" w:color="auto" w:fill="auto"/>
            <w:noWrap/>
            <w:vAlign w:val="center"/>
            <w:hideMark/>
          </w:tcPr>
          <w:p w:rsidR="00D26E2D" w:rsidRPr="00D26E2D" w:rsidRDefault="00D26E2D" w:rsidP="00D26E2D">
            <w:pPr>
              <w:rPr>
                <w:rFonts w:ascii="Arial" w:eastAsia="Times New Roman" w:hAnsi="Arial" w:cs="Arial"/>
                <w:color w:val="000000"/>
                <w:sz w:val="22"/>
                <w:szCs w:val="22"/>
                <w:lang w:eastAsia="es-CR"/>
              </w:rPr>
            </w:pPr>
            <w:r w:rsidRPr="00D26E2D">
              <w:rPr>
                <w:rFonts w:ascii="Arial" w:eastAsia="Times New Roman" w:hAnsi="Arial" w:cs="Arial"/>
                <w:color w:val="000000"/>
                <w:sz w:val="22"/>
                <w:szCs w:val="22"/>
                <w:lang w:eastAsia="es-CR"/>
              </w:rPr>
              <w:t xml:space="preserve">Viáticos dentro del </w:t>
            </w:r>
            <w:r w:rsidR="00265AD3" w:rsidRPr="00D26E2D">
              <w:rPr>
                <w:rFonts w:ascii="Arial" w:eastAsia="Times New Roman" w:hAnsi="Arial" w:cs="Arial"/>
                <w:color w:val="000000"/>
                <w:sz w:val="22"/>
                <w:szCs w:val="22"/>
                <w:lang w:eastAsia="es-CR"/>
              </w:rPr>
              <w:t>país</w:t>
            </w:r>
          </w:p>
        </w:tc>
        <w:tc>
          <w:tcPr>
            <w:tcW w:w="2140" w:type="dxa"/>
            <w:tcBorders>
              <w:top w:val="nil"/>
              <w:left w:val="nil"/>
              <w:bottom w:val="nil"/>
              <w:right w:val="single" w:sz="4" w:space="0" w:color="auto"/>
            </w:tcBorders>
            <w:shd w:val="clear" w:color="auto" w:fill="auto"/>
            <w:noWrap/>
            <w:vAlign w:val="center"/>
          </w:tcPr>
          <w:p w:rsidR="00D26E2D" w:rsidRPr="00D26E2D" w:rsidRDefault="00443F72" w:rsidP="00D26E2D">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5.810.075,00</w:t>
            </w:r>
          </w:p>
        </w:tc>
      </w:tr>
      <w:tr w:rsidR="00D26E2D" w:rsidRPr="00D26E2D" w:rsidTr="00443F72">
        <w:trPr>
          <w:trHeight w:val="300"/>
          <w:jc w:val="center"/>
        </w:trPr>
        <w:tc>
          <w:tcPr>
            <w:tcW w:w="5958" w:type="dxa"/>
            <w:tcBorders>
              <w:top w:val="nil"/>
              <w:left w:val="single" w:sz="4" w:space="0" w:color="auto"/>
              <w:bottom w:val="nil"/>
              <w:right w:val="nil"/>
            </w:tcBorders>
            <w:shd w:val="clear" w:color="auto" w:fill="auto"/>
            <w:noWrap/>
            <w:vAlign w:val="center"/>
            <w:hideMark/>
          </w:tcPr>
          <w:p w:rsidR="00D26E2D" w:rsidRPr="00D26E2D" w:rsidRDefault="00D26E2D" w:rsidP="00D26E2D">
            <w:pPr>
              <w:rPr>
                <w:rFonts w:ascii="Arial" w:eastAsia="Times New Roman" w:hAnsi="Arial" w:cs="Arial"/>
                <w:color w:val="000000"/>
                <w:sz w:val="22"/>
                <w:szCs w:val="22"/>
                <w:lang w:eastAsia="es-CR"/>
              </w:rPr>
            </w:pPr>
            <w:r w:rsidRPr="00D26E2D">
              <w:rPr>
                <w:rFonts w:ascii="Arial" w:eastAsia="Times New Roman" w:hAnsi="Arial" w:cs="Arial"/>
                <w:color w:val="000000"/>
                <w:sz w:val="22"/>
                <w:szCs w:val="22"/>
                <w:lang w:eastAsia="es-CR"/>
              </w:rPr>
              <w:t>Alimentación y refrigerios</w:t>
            </w:r>
          </w:p>
        </w:tc>
        <w:tc>
          <w:tcPr>
            <w:tcW w:w="2140" w:type="dxa"/>
            <w:tcBorders>
              <w:top w:val="nil"/>
              <w:left w:val="nil"/>
              <w:bottom w:val="nil"/>
              <w:right w:val="single" w:sz="4" w:space="0" w:color="auto"/>
            </w:tcBorders>
            <w:shd w:val="clear" w:color="auto" w:fill="auto"/>
            <w:noWrap/>
            <w:vAlign w:val="center"/>
          </w:tcPr>
          <w:p w:rsidR="00D26E2D" w:rsidRPr="00D26E2D" w:rsidRDefault="00443F72" w:rsidP="00D26E2D">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1.920.007,77</w:t>
            </w:r>
          </w:p>
        </w:tc>
      </w:tr>
      <w:tr w:rsidR="00D26E2D" w:rsidRPr="00D26E2D" w:rsidTr="00443F72">
        <w:trPr>
          <w:trHeight w:val="300"/>
          <w:jc w:val="center"/>
        </w:trPr>
        <w:tc>
          <w:tcPr>
            <w:tcW w:w="5958" w:type="dxa"/>
            <w:tcBorders>
              <w:top w:val="nil"/>
              <w:left w:val="single" w:sz="4" w:space="0" w:color="auto"/>
              <w:bottom w:val="nil"/>
              <w:right w:val="nil"/>
            </w:tcBorders>
            <w:shd w:val="clear" w:color="auto" w:fill="auto"/>
            <w:noWrap/>
            <w:vAlign w:val="center"/>
            <w:hideMark/>
          </w:tcPr>
          <w:p w:rsidR="00D26E2D" w:rsidRPr="00D26E2D" w:rsidRDefault="00D26E2D" w:rsidP="00D26E2D">
            <w:pPr>
              <w:rPr>
                <w:rFonts w:ascii="Arial" w:eastAsia="Times New Roman" w:hAnsi="Arial" w:cs="Arial"/>
                <w:color w:val="000000"/>
                <w:sz w:val="22"/>
                <w:szCs w:val="22"/>
                <w:lang w:eastAsia="es-CR"/>
              </w:rPr>
            </w:pPr>
            <w:r w:rsidRPr="00D26E2D">
              <w:rPr>
                <w:rFonts w:ascii="Arial" w:eastAsia="Times New Roman" w:hAnsi="Arial" w:cs="Arial"/>
                <w:color w:val="000000"/>
                <w:sz w:val="22"/>
                <w:szCs w:val="22"/>
                <w:lang w:eastAsia="es-CR"/>
              </w:rPr>
              <w:t>Seguros para el personal</w:t>
            </w:r>
          </w:p>
        </w:tc>
        <w:tc>
          <w:tcPr>
            <w:tcW w:w="2140" w:type="dxa"/>
            <w:tcBorders>
              <w:top w:val="nil"/>
              <w:left w:val="nil"/>
              <w:bottom w:val="nil"/>
              <w:right w:val="single" w:sz="4" w:space="0" w:color="auto"/>
            </w:tcBorders>
            <w:shd w:val="clear" w:color="auto" w:fill="auto"/>
            <w:noWrap/>
            <w:vAlign w:val="center"/>
          </w:tcPr>
          <w:p w:rsidR="00D26E2D" w:rsidRPr="00D26E2D" w:rsidRDefault="00443F72" w:rsidP="00D26E2D">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2.304.150,23</w:t>
            </w:r>
          </w:p>
        </w:tc>
      </w:tr>
      <w:tr w:rsidR="00D26E2D" w:rsidRPr="00D26E2D" w:rsidTr="00443F72">
        <w:trPr>
          <w:trHeight w:val="300"/>
          <w:jc w:val="center"/>
        </w:trPr>
        <w:tc>
          <w:tcPr>
            <w:tcW w:w="5958" w:type="dxa"/>
            <w:tcBorders>
              <w:top w:val="nil"/>
              <w:left w:val="single" w:sz="4" w:space="0" w:color="auto"/>
              <w:bottom w:val="nil"/>
              <w:right w:val="nil"/>
            </w:tcBorders>
            <w:shd w:val="clear" w:color="auto" w:fill="auto"/>
            <w:noWrap/>
            <w:vAlign w:val="center"/>
            <w:hideMark/>
          </w:tcPr>
          <w:p w:rsidR="00D26E2D" w:rsidRPr="00D26E2D" w:rsidRDefault="00D26E2D" w:rsidP="00D26E2D">
            <w:pPr>
              <w:rPr>
                <w:rFonts w:ascii="Arial" w:eastAsia="Times New Roman" w:hAnsi="Arial" w:cs="Arial"/>
                <w:color w:val="000000"/>
                <w:sz w:val="22"/>
                <w:szCs w:val="22"/>
                <w:lang w:eastAsia="es-CR"/>
              </w:rPr>
            </w:pPr>
            <w:r w:rsidRPr="00D26E2D">
              <w:rPr>
                <w:rFonts w:ascii="Arial" w:eastAsia="Times New Roman" w:hAnsi="Arial" w:cs="Arial"/>
                <w:color w:val="000000"/>
                <w:sz w:val="22"/>
                <w:szCs w:val="22"/>
                <w:lang w:eastAsia="es-CR"/>
              </w:rPr>
              <w:t xml:space="preserve">Viáticos en el exterior </w:t>
            </w:r>
          </w:p>
        </w:tc>
        <w:tc>
          <w:tcPr>
            <w:tcW w:w="2140" w:type="dxa"/>
            <w:tcBorders>
              <w:top w:val="nil"/>
              <w:left w:val="nil"/>
              <w:bottom w:val="nil"/>
              <w:right w:val="single" w:sz="4" w:space="0" w:color="auto"/>
            </w:tcBorders>
            <w:shd w:val="clear" w:color="auto" w:fill="auto"/>
            <w:noWrap/>
            <w:vAlign w:val="center"/>
          </w:tcPr>
          <w:p w:rsidR="00D26E2D" w:rsidRPr="00D26E2D" w:rsidRDefault="00443F72" w:rsidP="00D26E2D">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313.082,08</w:t>
            </w:r>
          </w:p>
        </w:tc>
      </w:tr>
      <w:tr w:rsidR="00D26E2D" w:rsidRPr="00D26E2D" w:rsidTr="00443F72">
        <w:trPr>
          <w:trHeight w:val="300"/>
          <w:jc w:val="center"/>
        </w:trPr>
        <w:tc>
          <w:tcPr>
            <w:tcW w:w="5958" w:type="dxa"/>
            <w:tcBorders>
              <w:top w:val="nil"/>
              <w:left w:val="single" w:sz="4" w:space="0" w:color="auto"/>
              <w:bottom w:val="nil"/>
              <w:right w:val="nil"/>
            </w:tcBorders>
            <w:shd w:val="clear" w:color="auto" w:fill="auto"/>
            <w:noWrap/>
            <w:vAlign w:val="center"/>
            <w:hideMark/>
          </w:tcPr>
          <w:p w:rsidR="00D26E2D" w:rsidRPr="00D26E2D" w:rsidRDefault="00D26E2D" w:rsidP="00D26E2D">
            <w:pPr>
              <w:rPr>
                <w:rFonts w:ascii="Arial" w:eastAsia="Times New Roman" w:hAnsi="Arial" w:cs="Arial"/>
                <w:color w:val="000000"/>
                <w:sz w:val="22"/>
                <w:szCs w:val="22"/>
                <w:lang w:eastAsia="es-CR"/>
              </w:rPr>
            </w:pPr>
            <w:r w:rsidRPr="00D26E2D">
              <w:rPr>
                <w:rFonts w:ascii="Arial" w:eastAsia="Times New Roman" w:hAnsi="Arial" w:cs="Arial"/>
                <w:color w:val="000000"/>
                <w:sz w:val="22"/>
                <w:szCs w:val="22"/>
                <w:lang w:eastAsia="es-CR"/>
              </w:rPr>
              <w:t>Subsidios por incapacidades</w:t>
            </w:r>
          </w:p>
        </w:tc>
        <w:tc>
          <w:tcPr>
            <w:tcW w:w="2140" w:type="dxa"/>
            <w:tcBorders>
              <w:top w:val="nil"/>
              <w:left w:val="nil"/>
              <w:bottom w:val="nil"/>
              <w:right w:val="single" w:sz="4" w:space="0" w:color="auto"/>
            </w:tcBorders>
            <w:shd w:val="clear" w:color="auto" w:fill="auto"/>
            <w:noWrap/>
            <w:vAlign w:val="center"/>
          </w:tcPr>
          <w:p w:rsidR="00D26E2D" w:rsidRPr="00D26E2D" w:rsidRDefault="00443F72" w:rsidP="00D26E2D">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6.544.273,76</w:t>
            </w:r>
          </w:p>
        </w:tc>
      </w:tr>
      <w:tr w:rsidR="00D26E2D" w:rsidRPr="00D26E2D" w:rsidTr="006A0E5E">
        <w:trPr>
          <w:trHeight w:val="300"/>
          <w:jc w:val="center"/>
        </w:trPr>
        <w:tc>
          <w:tcPr>
            <w:tcW w:w="5958" w:type="dxa"/>
            <w:tcBorders>
              <w:top w:val="single" w:sz="4" w:space="0" w:color="auto"/>
              <w:left w:val="single" w:sz="4" w:space="0" w:color="auto"/>
              <w:bottom w:val="single" w:sz="4" w:space="0" w:color="auto"/>
              <w:right w:val="nil"/>
            </w:tcBorders>
            <w:shd w:val="clear" w:color="auto" w:fill="00B050"/>
            <w:noWrap/>
            <w:vAlign w:val="center"/>
            <w:hideMark/>
          </w:tcPr>
          <w:p w:rsidR="00D26E2D" w:rsidRPr="00D26E2D" w:rsidRDefault="00D26E2D" w:rsidP="00D26E2D">
            <w:pPr>
              <w:rPr>
                <w:rFonts w:ascii="Arial" w:eastAsia="Times New Roman" w:hAnsi="Arial" w:cs="Arial"/>
                <w:b/>
                <w:bCs/>
                <w:color w:val="000000"/>
                <w:sz w:val="22"/>
                <w:szCs w:val="22"/>
                <w:lang w:eastAsia="es-CR"/>
              </w:rPr>
            </w:pPr>
            <w:r w:rsidRPr="00D26E2D">
              <w:rPr>
                <w:rFonts w:ascii="Arial" w:eastAsia="Times New Roman" w:hAnsi="Arial" w:cs="Arial"/>
                <w:b/>
                <w:bCs/>
                <w:color w:val="000000"/>
                <w:sz w:val="22"/>
                <w:szCs w:val="22"/>
                <w:lang w:eastAsia="es-CR"/>
              </w:rPr>
              <w:t>Total gastos del personal</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D26E2D" w:rsidRPr="00D26E2D" w:rsidRDefault="00443F72" w:rsidP="00D26E2D">
            <w:pPr>
              <w:jc w:val="right"/>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133.674.356,17</w:t>
            </w:r>
          </w:p>
        </w:tc>
      </w:tr>
    </w:tbl>
    <w:p w:rsidR="00D26E2D" w:rsidRPr="00215940" w:rsidRDefault="00D26E2D" w:rsidP="007F3D8B">
      <w:pPr>
        <w:pStyle w:val="Prrafodelista"/>
        <w:ind w:left="1548" w:right="567"/>
        <w:contextualSpacing/>
        <w:jc w:val="both"/>
        <w:rPr>
          <w:rFonts w:ascii="Arial" w:hAnsi="Arial" w:cs="Arial"/>
          <w:sz w:val="24"/>
          <w:szCs w:val="24"/>
          <w:highlight w:val="yellow"/>
        </w:rPr>
      </w:pPr>
    </w:p>
    <w:p w:rsidR="007F3D8B" w:rsidRPr="00C8774A" w:rsidRDefault="007F3D8B" w:rsidP="00C8774A">
      <w:pPr>
        <w:pStyle w:val="Prrafodelista"/>
        <w:numPr>
          <w:ilvl w:val="0"/>
          <w:numId w:val="30"/>
        </w:numPr>
        <w:ind w:right="567"/>
        <w:contextualSpacing/>
        <w:jc w:val="both"/>
        <w:rPr>
          <w:rFonts w:ascii="Arial" w:hAnsi="Arial" w:cs="Arial"/>
          <w:sz w:val="24"/>
          <w:szCs w:val="24"/>
        </w:rPr>
      </w:pPr>
      <w:r w:rsidRPr="00C8774A">
        <w:rPr>
          <w:rFonts w:ascii="Arial" w:hAnsi="Arial" w:cs="Arial"/>
          <w:b/>
          <w:sz w:val="24"/>
          <w:szCs w:val="24"/>
        </w:rPr>
        <w:t>Gastos por provisiones</w:t>
      </w:r>
      <w:r w:rsidR="00C8774A" w:rsidRPr="00C8774A">
        <w:rPr>
          <w:rFonts w:ascii="Arial" w:hAnsi="Arial" w:cs="Arial"/>
          <w:b/>
          <w:sz w:val="24"/>
          <w:szCs w:val="24"/>
        </w:rPr>
        <w:t xml:space="preserve">: </w:t>
      </w:r>
      <w:r w:rsidR="00C8774A" w:rsidRPr="00C8774A">
        <w:rPr>
          <w:rFonts w:ascii="Arial" w:hAnsi="Arial" w:cs="Arial"/>
          <w:sz w:val="24"/>
          <w:szCs w:val="24"/>
        </w:rPr>
        <w:t>E</w:t>
      </w:r>
      <w:r w:rsidRPr="00C8774A">
        <w:rPr>
          <w:rFonts w:ascii="Arial" w:hAnsi="Arial" w:cs="Arial"/>
          <w:sz w:val="24"/>
          <w:szCs w:val="24"/>
        </w:rPr>
        <w:t xml:space="preserve">n esta cuenta se registran las provisiones legales como vacaciones, aguinaldo, cargas patronales y fondo de capitalización por el personal contratado por el fideicomiso, al </w:t>
      </w:r>
      <w:r w:rsidR="006B29BC" w:rsidRPr="00C8774A">
        <w:rPr>
          <w:rFonts w:ascii="Arial" w:hAnsi="Arial" w:cs="Arial"/>
          <w:sz w:val="24"/>
          <w:szCs w:val="24"/>
        </w:rPr>
        <w:t>cierre del</w:t>
      </w:r>
      <w:r w:rsidR="00C8774A" w:rsidRPr="00C8774A">
        <w:rPr>
          <w:rFonts w:ascii="Arial" w:hAnsi="Arial" w:cs="Arial"/>
          <w:sz w:val="24"/>
          <w:szCs w:val="24"/>
        </w:rPr>
        <w:t xml:space="preserve"> </w:t>
      </w:r>
      <w:r w:rsidR="00625D30">
        <w:rPr>
          <w:rFonts w:ascii="Arial" w:hAnsi="Arial" w:cs="Arial"/>
          <w:sz w:val="24"/>
          <w:szCs w:val="24"/>
        </w:rPr>
        <w:t>segundo</w:t>
      </w:r>
      <w:r w:rsidR="00C8774A" w:rsidRPr="00C8774A">
        <w:rPr>
          <w:rFonts w:ascii="Arial" w:hAnsi="Arial" w:cs="Arial"/>
          <w:sz w:val="24"/>
          <w:szCs w:val="24"/>
        </w:rPr>
        <w:t xml:space="preserve"> semestre del 2019</w:t>
      </w:r>
      <w:r w:rsidR="006B29BC" w:rsidRPr="00C8774A">
        <w:rPr>
          <w:rFonts w:ascii="Arial" w:hAnsi="Arial" w:cs="Arial"/>
          <w:sz w:val="24"/>
          <w:szCs w:val="24"/>
        </w:rPr>
        <w:t xml:space="preserve"> presentó un monto total de</w:t>
      </w:r>
      <w:r w:rsidR="00DB6488" w:rsidRPr="00C8774A">
        <w:rPr>
          <w:rFonts w:ascii="Arial" w:hAnsi="Arial" w:cs="Arial"/>
          <w:sz w:val="24"/>
          <w:szCs w:val="24"/>
        </w:rPr>
        <w:t xml:space="preserve"> </w:t>
      </w:r>
      <w:r w:rsidR="00DB6488" w:rsidRPr="00C8774A">
        <w:rPr>
          <w:rFonts w:ascii="Arial" w:hAnsi="Arial" w:cs="Arial"/>
          <w:b/>
          <w:sz w:val="24"/>
          <w:szCs w:val="24"/>
        </w:rPr>
        <w:t>¢</w:t>
      </w:r>
      <w:r w:rsidR="00625D30">
        <w:rPr>
          <w:rFonts w:ascii="Arial" w:hAnsi="Arial" w:cs="Arial"/>
          <w:b/>
          <w:sz w:val="24"/>
          <w:szCs w:val="24"/>
        </w:rPr>
        <w:t>47.766.367,08</w:t>
      </w:r>
      <w:r w:rsidR="00C8774A">
        <w:rPr>
          <w:rFonts w:ascii="Arial" w:hAnsi="Arial" w:cs="Arial"/>
          <w:b/>
          <w:sz w:val="24"/>
          <w:szCs w:val="24"/>
        </w:rPr>
        <w:t>.</w:t>
      </w:r>
    </w:p>
    <w:tbl>
      <w:tblPr>
        <w:tblW w:w="8239" w:type="dxa"/>
        <w:jc w:val="center"/>
        <w:tblCellMar>
          <w:left w:w="70" w:type="dxa"/>
          <w:right w:w="70" w:type="dxa"/>
        </w:tblCellMar>
        <w:tblLook w:val="04A0" w:firstRow="1" w:lastRow="0" w:firstColumn="1" w:lastColumn="0" w:noHBand="0" w:noVBand="1"/>
      </w:tblPr>
      <w:tblGrid>
        <w:gridCol w:w="6099"/>
        <w:gridCol w:w="2140"/>
      </w:tblGrid>
      <w:tr w:rsidR="00C8774A" w:rsidRPr="00C8774A" w:rsidTr="00324FF8">
        <w:trPr>
          <w:trHeight w:val="300"/>
          <w:jc w:val="center"/>
        </w:trPr>
        <w:tc>
          <w:tcPr>
            <w:tcW w:w="6099" w:type="dxa"/>
            <w:tcBorders>
              <w:top w:val="single" w:sz="4" w:space="0" w:color="auto"/>
              <w:left w:val="single" w:sz="4" w:space="0" w:color="auto"/>
              <w:bottom w:val="single" w:sz="4" w:space="0" w:color="auto"/>
              <w:right w:val="nil"/>
            </w:tcBorders>
            <w:shd w:val="clear" w:color="auto" w:fill="00B050"/>
            <w:noWrap/>
            <w:vAlign w:val="center"/>
            <w:hideMark/>
          </w:tcPr>
          <w:p w:rsidR="00C8774A" w:rsidRPr="004803EE" w:rsidRDefault="00C8774A" w:rsidP="00C8774A">
            <w:pPr>
              <w:jc w:val="center"/>
              <w:rPr>
                <w:rFonts w:ascii="Arial" w:eastAsia="Times New Roman" w:hAnsi="Arial" w:cs="Arial"/>
                <w:b/>
                <w:color w:val="000000"/>
                <w:sz w:val="22"/>
                <w:szCs w:val="22"/>
                <w:lang w:eastAsia="es-CR"/>
              </w:rPr>
            </w:pPr>
            <w:r w:rsidRPr="004803EE">
              <w:rPr>
                <w:rFonts w:ascii="Arial" w:eastAsia="Times New Roman" w:hAnsi="Arial" w:cs="Arial"/>
                <w:b/>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C8774A" w:rsidRPr="004803EE" w:rsidRDefault="00527F7D" w:rsidP="00733616">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w:t>
            </w:r>
            <w:r w:rsidR="00733616">
              <w:rPr>
                <w:rFonts w:ascii="Arial" w:eastAsia="Times New Roman" w:hAnsi="Arial" w:cs="Arial"/>
                <w:b/>
                <w:color w:val="000000"/>
                <w:sz w:val="22"/>
                <w:szCs w:val="22"/>
                <w:lang w:eastAsia="es-CR"/>
              </w:rPr>
              <w:t>ie</w:t>
            </w:r>
            <w:r>
              <w:rPr>
                <w:rFonts w:ascii="Arial" w:eastAsia="Times New Roman" w:hAnsi="Arial" w:cs="Arial"/>
                <w:b/>
                <w:color w:val="000000"/>
                <w:sz w:val="22"/>
                <w:szCs w:val="22"/>
                <w:lang w:eastAsia="es-CR"/>
              </w:rPr>
              <w:t>mbre</w:t>
            </w:r>
            <w:r w:rsidR="004803EE" w:rsidRPr="004803EE">
              <w:rPr>
                <w:rFonts w:ascii="Arial" w:eastAsia="Times New Roman" w:hAnsi="Arial" w:cs="Arial"/>
                <w:b/>
                <w:color w:val="000000"/>
                <w:sz w:val="22"/>
                <w:szCs w:val="22"/>
                <w:lang w:eastAsia="es-CR"/>
              </w:rPr>
              <w:t xml:space="preserve"> 2019</w:t>
            </w:r>
          </w:p>
        </w:tc>
      </w:tr>
      <w:tr w:rsidR="00C8774A" w:rsidRPr="00C8774A" w:rsidTr="00527F7D">
        <w:trPr>
          <w:trHeight w:val="300"/>
          <w:jc w:val="center"/>
        </w:trPr>
        <w:tc>
          <w:tcPr>
            <w:tcW w:w="6099"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Decimotercer sueldo</w:t>
            </w:r>
          </w:p>
        </w:tc>
        <w:tc>
          <w:tcPr>
            <w:tcW w:w="2140" w:type="dxa"/>
            <w:tcBorders>
              <w:top w:val="nil"/>
              <w:left w:val="nil"/>
              <w:bottom w:val="nil"/>
              <w:right w:val="single" w:sz="4" w:space="0" w:color="auto"/>
            </w:tcBorders>
            <w:shd w:val="clear" w:color="auto" w:fill="auto"/>
            <w:noWrap/>
            <w:vAlign w:val="center"/>
          </w:tcPr>
          <w:p w:rsidR="00C8774A" w:rsidRPr="00C8774A" w:rsidRDefault="00527F7D"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9.359.156,87</w:t>
            </w:r>
          </w:p>
        </w:tc>
      </w:tr>
      <w:tr w:rsidR="00C8774A" w:rsidRPr="00C8774A" w:rsidTr="00527F7D">
        <w:trPr>
          <w:trHeight w:val="300"/>
          <w:jc w:val="center"/>
        </w:trPr>
        <w:tc>
          <w:tcPr>
            <w:tcW w:w="6099"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 xml:space="preserve">Vacaciones </w:t>
            </w:r>
          </w:p>
        </w:tc>
        <w:tc>
          <w:tcPr>
            <w:tcW w:w="2140" w:type="dxa"/>
            <w:tcBorders>
              <w:top w:val="nil"/>
              <w:left w:val="nil"/>
              <w:bottom w:val="nil"/>
              <w:right w:val="single" w:sz="4" w:space="0" w:color="auto"/>
            </w:tcBorders>
            <w:shd w:val="clear" w:color="auto" w:fill="auto"/>
            <w:noWrap/>
            <w:vAlign w:val="center"/>
          </w:tcPr>
          <w:p w:rsidR="00C8774A" w:rsidRPr="00C8774A" w:rsidRDefault="00527F7D"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4.876.973,94</w:t>
            </w:r>
          </w:p>
        </w:tc>
      </w:tr>
      <w:tr w:rsidR="00C8774A" w:rsidRPr="00C8774A" w:rsidTr="00527F7D">
        <w:trPr>
          <w:trHeight w:val="300"/>
          <w:jc w:val="center"/>
        </w:trPr>
        <w:tc>
          <w:tcPr>
            <w:tcW w:w="6099"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Preaviso y Cesantía</w:t>
            </w:r>
          </w:p>
        </w:tc>
        <w:tc>
          <w:tcPr>
            <w:tcW w:w="2140" w:type="dxa"/>
            <w:tcBorders>
              <w:top w:val="nil"/>
              <w:left w:val="nil"/>
              <w:bottom w:val="nil"/>
              <w:right w:val="single" w:sz="4" w:space="0" w:color="auto"/>
            </w:tcBorders>
            <w:shd w:val="clear" w:color="auto" w:fill="auto"/>
            <w:noWrap/>
            <w:vAlign w:val="center"/>
          </w:tcPr>
          <w:p w:rsidR="00C8774A" w:rsidRPr="00C8774A" w:rsidRDefault="00527F7D"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2.779.368,86</w:t>
            </w:r>
          </w:p>
        </w:tc>
      </w:tr>
      <w:tr w:rsidR="00C8774A" w:rsidRPr="00C8774A" w:rsidTr="00527F7D">
        <w:trPr>
          <w:trHeight w:val="300"/>
          <w:jc w:val="center"/>
        </w:trPr>
        <w:tc>
          <w:tcPr>
            <w:tcW w:w="6099"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Cargas sociales patronales</w:t>
            </w:r>
          </w:p>
        </w:tc>
        <w:tc>
          <w:tcPr>
            <w:tcW w:w="2140" w:type="dxa"/>
            <w:tcBorders>
              <w:top w:val="nil"/>
              <w:left w:val="nil"/>
              <w:bottom w:val="nil"/>
              <w:right w:val="single" w:sz="4" w:space="0" w:color="auto"/>
            </w:tcBorders>
            <w:shd w:val="clear" w:color="auto" w:fill="auto"/>
            <w:noWrap/>
            <w:vAlign w:val="center"/>
          </w:tcPr>
          <w:p w:rsidR="00C8774A" w:rsidRPr="00C8774A" w:rsidRDefault="00527F7D"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27.245.425,74</w:t>
            </w:r>
          </w:p>
        </w:tc>
      </w:tr>
      <w:tr w:rsidR="00C8774A" w:rsidRPr="00C8774A" w:rsidTr="00527F7D">
        <w:trPr>
          <w:trHeight w:val="300"/>
          <w:jc w:val="center"/>
        </w:trPr>
        <w:tc>
          <w:tcPr>
            <w:tcW w:w="6099"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Fondo de capitalización laboral 3%</w:t>
            </w:r>
          </w:p>
        </w:tc>
        <w:tc>
          <w:tcPr>
            <w:tcW w:w="2140" w:type="dxa"/>
            <w:tcBorders>
              <w:top w:val="nil"/>
              <w:left w:val="nil"/>
              <w:bottom w:val="nil"/>
              <w:right w:val="single" w:sz="4" w:space="0" w:color="auto"/>
            </w:tcBorders>
            <w:shd w:val="clear" w:color="auto" w:fill="auto"/>
            <w:noWrap/>
            <w:vAlign w:val="center"/>
          </w:tcPr>
          <w:p w:rsidR="00C8774A" w:rsidRPr="00C8774A" w:rsidRDefault="004C62B0"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3.505.441,67</w:t>
            </w:r>
          </w:p>
        </w:tc>
      </w:tr>
      <w:tr w:rsidR="00C8774A" w:rsidRPr="00C8774A" w:rsidTr="00324FF8">
        <w:trPr>
          <w:trHeight w:val="300"/>
          <w:jc w:val="center"/>
        </w:trPr>
        <w:tc>
          <w:tcPr>
            <w:tcW w:w="6099" w:type="dxa"/>
            <w:tcBorders>
              <w:top w:val="single" w:sz="4" w:space="0" w:color="auto"/>
              <w:left w:val="single" w:sz="4" w:space="0" w:color="auto"/>
              <w:bottom w:val="single" w:sz="4" w:space="0" w:color="auto"/>
              <w:right w:val="nil"/>
            </w:tcBorders>
            <w:shd w:val="clear" w:color="auto" w:fill="00B050"/>
            <w:noWrap/>
            <w:vAlign w:val="center"/>
            <w:hideMark/>
          </w:tcPr>
          <w:p w:rsidR="00C8774A" w:rsidRPr="00C8774A" w:rsidRDefault="00C8774A" w:rsidP="00C8774A">
            <w:pPr>
              <w:rPr>
                <w:rFonts w:ascii="Arial" w:eastAsia="Times New Roman" w:hAnsi="Arial" w:cs="Arial"/>
                <w:b/>
                <w:bCs/>
                <w:color w:val="000000"/>
                <w:sz w:val="22"/>
                <w:szCs w:val="22"/>
                <w:lang w:eastAsia="es-CR"/>
              </w:rPr>
            </w:pPr>
            <w:r w:rsidRPr="00C8774A">
              <w:rPr>
                <w:rFonts w:ascii="Arial" w:eastAsia="Times New Roman" w:hAnsi="Arial" w:cs="Arial"/>
                <w:b/>
                <w:bCs/>
                <w:color w:val="000000"/>
                <w:sz w:val="22"/>
                <w:szCs w:val="22"/>
                <w:lang w:eastAsia="es-CR"/>
              </w:rPr>
              <w:t xml:space="preserve">Total gastos por provisiones </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C8774A" w:rsidRPr="00B35E7C" w:rsidRDefault="004C62B0" w:rsidP="00C8774A">
            <w:pPr>
              <w:jc w:val="right"/>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47.766.367,08</w:t>
            </w:r>
          </w:p>
        </w:tc>
      </w:tr>
    </w:tbl>
    <w:p w:rsidR="00C8774A" w:rsidRDefault="00C8774A" w:rsidP="00C8774A">
      <w:pPr>
        <w:ind w:right="567"/>
        <w:contextualSpacing/>
        <w:jc w:val="both"/>
        <w:rPr>
          <w:rFonts w:ascii="Arial" w:hAnsi="Arial" w:cs="Arial"/>
          <w:sz w:val="24"/>
          <w:szCs w:val="24"/>
        </w:rPr>
      </w:pPr>
    </w:p>
    <w:p w:rsidR="00C42EBF" w:rsidRPr="00C42EBF" w:rsidRDefault="00C42EBF" w:rsidP="00C42EBF">
      <w:pPr>
        <w:pStyle w:val="Prrafodelista"/>
        <w:ind w:left="765" w:right="567"/>
        <w:contextualSpacing/>
        <w:jc w:val="both"/>
        <w:rPr>
          <w:rFonts w:ascii="Arial" w:hAnsi="Arial" w:cs="Arial"/>
          <w:sz w:val="24"/>
          <w:szCs w:val="24"/>
        </w:rPr>
      </w:pPr>
    </w:p>
    <w:p w:rsidR="000D5CB2" w:rsidRPr="00C42EBF" w:rsidRDefault="0083405A" w:rsidP="002211A0">
      <w:pPr>
        <w:pStyle w:val="Prrafodelista"/>
        <w:numPr>
          <w:ilvl w:val="0"/>
          <w:numId w:val="30"/>
        </w:numPr>
        <w:ind w:right="567"/>
        <w:contextualSpacing/>
        <w:jc w:val="both"/>
        <w:rPr>
          <w:rFonts w:ascii="Arial" w:hAnsi="Arial" w:cs="Arial"/>
          <w:sz w:val="24"/>
          <w:szCs w:val="24"/>
        </w:rPr>
      </w:pPr>
      <w:r w:rsidRPr="00C8774A">
        <w:rPr>
          <w:rFonts w:ascii="Arial" w:hAnsi="Arial" w:cs="Arial"/>
          <w:b/>
          <w:sz w:val="24"/>
          <w:szCs w:val="24"/>
        </w:rPr>
        <w:t>Gastos por servicios externos</w:t>
      </w:r>
      <w:r w:rsidR="00C8774A" w:rsidRPr="00C8774A">
        <w:rPr>
          <w:rFonts w:ascii="Arial" w:hAnsi="Arial" w:cs="Arial"/>
          <w:b/>
          <w:sz w:val="24"/>
          <w:szCs w:val="24"/>
        </w:rPr>
        <w:t xml:space="preserve">: </w:t>
      </w:r>
      <w:r w:rsidRPr="00C8774A">
        <w:rPr>
          <w:rFonts w:ascii="Arial" w:hAnsi="Arial" w:cs="Arial"/>
          <w:sz w:val="24"/>
          <w:szCs w:val="24"/>
        </w:rPr>
        <w:t>C</w:t>
      </w:r>
      <w:r w:rsidR="003463CE" w:rsidRPr="00C8774A">
        <w:rPr>
          <w:rFonts w:ascii="Arial" w:hAnsi="Arial" w:cs="Arial"/>
          <w:sz w:val="24"/>
          <w:szCs w:val="24"/>
        </w:rPr>
        <w:t>onstituyen los gastos por servicios</w:t>
      </w:r>
      <w:r w:rsidR="0011658E" w:rsidRPr="00C8774A">
        <w:rPr>
          <w:rFonts w:ascii="Arial" w:hAnsi="Arial" w:cs="Arial"/>
          <w:b/>
          <w:sz w:val="24"/>
          <w:szCs w:val="24"/>
        </w:rPr>
        <w:t xml:space="preserve"> </w:t>
      </w:r>
      <w:r w:rsidR="0011658E" w:rsidRPr="00C8774A">
        <w:rPr>
          <w:rFonts w:ascii="Arial" w:hAnsi="Arial" w:cs="Arial"/>
          <w:sz w:val="24"/>
          <w:szCs w:val="24"/>
        </w:rPr>
        <w:t xml:space="preserve">profesionales, </w:t>
      </w:r>
      <w:r w:rsidR="00424DB9" w:rsidRPr="00C8774A">
        <w:rPr>
          <w:rFonts w:ascii="Arial" w:hAnsi="Arial" w:cs="Arial"/>
          <w:sz w:val="24"/>
          <w:szCs w:val="24"/>
        </w:rPr>
        <w:t>técnicos con</w:t>
      </w:r>
      <w:r w:rsidR="0011658E" w:rsidRPr="00C8774A">
        <w:rPr>
          <w:rFonts w:ascii="Arial" w:hAnsi="Arial" w:cs="Arial"/>
          <w:sz w:val="24"/>
          <w:szCs w:val="24"/>
        </w:rPr>
        <w:t xml:space="preserve"> personas físicas o jurídicas, para trabajos específicos como los</w:t>
      </w:r>
      <w:r w:rsidR="0011658E" w:rsidRPr="00C8774A">
        <w:rPr>
          <w:rFonts w:ascii="Arial" w:hAnsi="Arial" w:cs="Arial"/>
          <w:b/>
          <w:sz w:val="24"/>
          <w:szCs w:val="24"/>
        </w:rPr>
        <w:t xml:space="preserve"> </w:t>
      </w:r>
      <w:r w:rsidR="0011658E" w:rsidRPr="00C8774A">
        <w:rPr>
          <w:rFonts w:ascii="Arial" w:hAnsi="Arial" w:cs="Arial"/>
          <w:sz w:val="24"/>
          <w:szCs w:val="24"/>
        </w:rPr>
        <w:t>gastos por servicios de información, se</w:t>
      </w:r>
      <w:r w:rsidR="00D83AB2" w:rsidRPr="00C8774A">
        <w:rPr>
          <w:rFonts w:ascii="Arial" w:hAnsi="Arial" w:cs="Arial"/>
          <w:sz w:val="24"/>
          <w:szCs w:val="24"/>
        </w:rPr>
        <w:t xml:space="preserve">rvicios jurídicos, entre otros. El total de gastos por servicios externos </w:t>
      </w:r>
      <w:r w:rsidR="00D030A8" w:rsidRPr="00C8774A">
        <w:rPr>
          <w:rFonts w:ascii="Arial" w:hAnsi="Arial" w:cs="Arial"/>
          <w:sz w:val="24"/>
          <w:szCs w:val="24"/>
        </w:rPr>
        <w:t xml:space="preserve">fue </w:t>
      </w:r>
      <w:r w:rsidR="00D83AB2" w:rsidRPr="00C8774A">
        <w:rPr>
          <w:rFonts w:ascii="Arial" w:hAnsi="Arial" w:cs="Arial"/>
          <w:sz w:val="24"/>
          <w:szCs w:val="24"/>
        </w:rPr>
        <w:t xml:space="preserve">por </w:t>
      </w:r>
      <w:r w:rsidR="00175E5E" w:rsidRPr="00C8774A">
        <w:rPr>
          <w:rFonts w:ascii="Arial" w:hAnsi="Arial" w:cs="Arial"/>
          <w:b/>
          <w:sz w:val="24"/>
          <w:szCs w:val="24"/>
        </w:rPr>
        <w:t>¢</w:t>
      </w:r>
      <w:r w:rsidR="00A60944">
        <w:rPr>
          <w:rFonts w:ascii="Arial" w:hAnsi="Arial" w:cs="Arial"/>
          <w:b/>
          <w:sz w:val="24"/>
          <w:szCs w:val="24"/>
        </w:rPr>
        <w:t>630,304,191.10</w:t>
      </w:r>
      <w:r w:rsidR="00C8774A" w:rsidRPr="00C8774A">
        <w:rPr>
          <w:rFonts w:ascii="Arial" w:hAnsi="Arial" w:cs="Arial"/>
          <w:b/>
          <w:sz w:val="24"/>
          <w:szCs w:val="24"/>
        </w:rPr>
        <w:t>.</w:t>
      </w: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Default="00C42EBF" w:rsidP="00C42EBF">
      <w:pPr>
        <w:ind w:right="567"/>
        <w:contextualSpacing/>
        <w:jc w:val="both"/>
        <w:rPr>
          <w:rFonts w:ascii="Arial" w:hAnsi="Arial" w:cs="Arial"/>
          <w:sz w:val="24"/>
          <w:szCs w:val="24"/>
        </w:rPr>
      </w:pPr>
    </w:p>
    <w:p w:rsidR="00C42EBF" w:rsidRPr="00C42EBF" w:rsidRDefault="00C42EBF" w:rsidP="00C42EBF">
      <w:pPr>
        <w:ind w:right="567"/>
        <w:contextualSpacing/>
        <w:jc w:val="both"/>
        <w:rPr>
          <w:rFonts w:ascii="Arial" w:hAnsi="Arial" w:cs="Arial"/>
          <w:sz w:val="24"/>
          <w:szCs w:val="24"/>
        </w:rPr>
      </w:pPr>
    </w:p>
    <w:tbl>
      <w:tblPr>
        <w:tblW w:w="8222" w:type="dxa"/>
        <w:tblInd w:w="704" w:type="dxa"/>
        <w:tblCellMar>
          <w:left w:w="70" w:type="dxa"/>
          <w:right w:w="70" w:type="dxa"/>
        </w:tblCellMar>
        <w:tblLook w:val="04A0" w:firstRow="1" w:lastRow="0" w:firstColumn="1" w:lastColumn="0" w:noHBand="0" w:noVBand="1"/>
      </w:tblPr>
      <w:tblGrid>
        <w:gridCol w:w="5816"/>
        <w:gridCol w:w="2406"/>
      </w:tblGrid>
      <w:tr w:rsidR="00C8774A" w:rsidRPr="00C8774A" w:rsidTr="00A628EF">
        <w:trPr>
          <w:trHeight w:val="300"/>
        </w:trPr>
        <w:tc>
          <w:tcPr>
            <w:tcW w:w="5816" w:type="dxa"/>
            <w:tcBorders>
              <w:top w:val="single" w:sz="4" w:space="0" w:color="auto"/>
              <w:left w:val="single" w:sz="4" w:space="0" w:color="auto"/>
              <w:bottom w:val="single" w:sz="4" w:space="0" w:color="auto"/>
              <w:right w:val="nil"/>
            </w:tcBorders>
            <w:shd w:val="clear" w:color="auto" w:fill="00B050"/>
            <w:noWrap/>
            <w:vAlign w:val="center"/>
            <w:hideMark/>
          </w:tcPr>
          <w:p w:rsidR="00C8774A" w:rsidRPr="004803EE" w:rsidRDefault="00C8774A" w:rsidP="00C8774A">
            <w:pPr>
              <w:jc w:val="center"/>
              <w:rPr>
                <w:rFonts w:ascii="Arial" w:eastAsia="Times New Roman" w:hAnsi="Arial" w:cs="Arial"/>
                <w:b/>
                <w:color w:val="000000"/>
                <w:sz w:val="22"/>
                <w:szCs w:val="22"/>
                <w:lang w:eastAsia="es-CR"/>
              </w:rPr>
            </w:pPr>
            <w:r w:rsidRPr="004803EE">
              <w:rPr>
                <w:rFonts w:ascii="Arial" w:eastAsia="Times New Roman" w:hAnsi="Arial" w:cs="Arial"/>
                <w:b/>
                <w:color w:val="000000"/>
                <w:sz w:val="22"/>
                <w:szCs w:val="22"/>
                <w:lang w:eastAsia="es-CR"/>
              </w:rPr>
              <w:lastRenderedPageBreak/>
              <w:t>Descripción</w:t>
            </w:r>
          </w:p>
        </w:tc>
        <w:tc>
          <w:tcPr>
            <w:tcW w:w="2406" w:type="dxa"/>
            <w:tcBorders>
              <w:top w:val="single" w:sz="4" w:space="0" w:color="auto"/>
              <w:left w:val="nil"/>
              <w:bottom w:val="single" w:sz="4" w:space="0" w:color="auto"/>
              <w:right w:val="single" w:sz="4" w:space="0" w:color="auto"/>
            </w:tcBorders>
            <w:shd w:val="clear" w:color="auto" w:fill="00B050"/>
            <w:noWrap/>
            <w:vAlign w:val="center"/>
            <w:hideMark/>
          </w:tcPr>
          <w:p w:rsidR="00C8774A" w:rsidRPr="004803EE" w:rsidRDefault="00A60944" w:rsidP="00C8774A">
            <w:pPr>
              <w:jc w:val="center"/>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Diciembre</w:t>
            </w:r>
            <w:r w:rsidR="004803EE" w:rsidRPr="004803EE">
              <w:rPr>
                <w:rFonts w:ascii="Arial" w:eastAsia="Times New Roman" w:hAnsi="Arial" w:cs="Arial"/>
                <w:b/>
                <w:color w:val="000000"/>
                <w:sz w:val="22"/>
                <w:szCs w:val="22"/>
                <w:lang w:eastAsia="es-CR"/>
              </w:rPr>
              <w:t xml:space="preserve"> 2019</w:t>
            </w:r>
          </w:p>
        </w:tc>
      </w:tr>
      <w:tr w:rsidR="00C8774A"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Servicio de información</w:t>
            </w:r>
          </w:p>
        </w:tc>
        <w:tc>
          <w:tcPr>
            <w:tcW w:w="2406" w:type="dxa"/>
            <w:tcBorders>
              <w:top w:val="nil"/>
              <w:left w:val="nil"/>
              <w:bottom w:val="nil"/>
              <w:right w:val="single" w:sz="4" w:space="0" w:color="auto"/>
            </w:tcBorders>
            <w:shd w:val="clear" w:color="auto" w:fill="auto"/>
            <w:noWrap/>
            <w:vAlign w:val="center"/>
            <w:hideMark/>
          </w:tcPr>
          <w:p w:rsidR="00C8774A" w:rsidRPr="00C8774A" w:rsidRDefault="00087680" w:rsidP="00087680">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3.429.284,93</w:t>
            </w:r>
          </w:p>
        </w:tc>
      </w:tr>
      <w:tr w:rsidR="00087680"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087680" w:rsidRPr="00C8774A" w:rsidRDefault="00087680" w:rsidP="00C8774A">
            <w:pPr>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Servicios Generales</w:t>
            </w:r>
          </w:p>
        </w:tc>
        <w:tc>
          <w:tcPr>
            <w:tcW w:w="2406" w:type="dxa"/>
            <w:tcBorders>
              <w:top w:val="nil"/>
              <w:left w:val="nil"/>
              <w:bottom w:val="nil"/>
              <w:right w:val="single" w:sz="4" w:space="0" w:color="auto"/>
            </w:tcBorders>
            <w:shd w:val="clear" w:color="auto" w:fill="auto"/>
            <w:noWrap/>
            <w:vAlign w:val="center"/>
            <w:hideMark/>
          </w:tcPr>
          <w:p w:rsidR="00087680" w:rsidRPr="00C8774A" w:rsidRDefault="00087680"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26.353.781,99</w:t>
            </w:r>
          </w:p>
        </w:tc>
      </w:tr>
      <w:tr w:rsidR="00C8774A"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 xml:space="preserve">Servicios jurídicos </w:t>
            </w:r>
          </w:p>
        </w:tc>
        <w:tc>
          <w:tcPr>
            <w:tcW w:w="2406" w:type="dxa"/>
            <w:tcBorders>
              <w:top w:val="nil"/>
              <w:left w:val="nil"/>
              <w:bottom w:val="nil"/>
              <w:right w:val="single" w:sz="4" w:space="0" w:color="auto"/>
            </w:tcBorders>
            <w:shd w:val="clear" w:color="auto" w:fill="auto"/>
            <w:noWrap/>
            <w:vAlign w:val="center"/>
            <w:hideMark/>
          </w:tcPr>
          <w:p w:rsidR="00C8774A" w:rsidRPr="00C8774A" w:rsidRDefault="00087680"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19.608.627,00</w:t>
            </w:r>
          </w:p>
        </w:tc>
      </w:tr>
      <w:tr w:rsidR="00C8774A"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C8774A" w:rsidRPr="00C8774A" w:rsidRDefault="00C8774A"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Servicios de ingeniería</w:t>
            </w:r>
          </w:p>
        </w:tc>
        <w:tc>
          <w:tcPr>
            <w:tcW w:w="2406" w:type="dxa"/>
            <w:tcBorders>
              <w:top w:val="nil"/>
              <w:left w:val="nil"/>
              <w:bottom w:val="nil"/>
              <w:right w:val="single" w:sz="4" w:space="0" w:color="auto"/>
            </w:tcBorders>
            <w:shd w:val="clear" w:color="auto" w:fill="auto"/>
            <w:noWrap/>
            <w:vAlign w:val="center"/>
            <w:hideMark/>
          </w:tcPr>
          <w:p w:rsidR="00C8774A" w:rsidRPr="00C8774A" w:rsidRDefault="00087680" w:rsidP="00087680">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352,662.353,70</w:t>
            </w:r>
          </w:p>
        </w:tc>
      </w:tr>
      <w:tr w:rsidR="00C8774A"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C8774A" w:rsidRPr="00C8774A" w:rsidRDefault="00087680" w:rsidP="00087680">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 xml:space="preserve">Servicios en ciencias económicas y sociales </w:t>
            </w:r>
          </w:p>
        </w:tc>
        <w:tc>
          <w:tcPr>
            <w:tcW w:w="2406" w:type="dxa"/>
            <w:tcBorders>
              <w:top w:val="nil"/>
              <w:left w:val="nil"/>
              <w:bottom w:val="nil"/>
              <w:right w:val="single" w:sz="4" w:space="0" w:color="auto"/>
            </w:tcBorders>
            <w:shd w:val="clear" w:color="auto" w:fill="auto"/>
            <w:noWrap/>
            <w:vAlign w:val="center"/>
            <w:hideMark/>
          </w:tcPr>
          <w:p w:rsidR="00C8774A" w:rsidRPr="00C8774A" w:rsidRDefault="00087680" w:rsidP="00087680">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79,486.875,97</w:t>
            </w:r>
          </w:p>
        </w:tc>
      </w:tr>
      <w:tr w:rsidR="00C8774A"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C8774A" w:rsidRPr="00C8774A" w:rsidRDefault="00087680" w:rsidP="00C8774A">
            <w:pPr>
              <w:rPr>
                <w:rFonts w:ascii="Arial" w:eastAsia="Times New Roman" w:hAnsi="Arial" w:cs="Arial"/>
                <w:color w:val="000000"/>
                <w:sz w:val="22"/>
                <w:szCs w:val="22"/>
                <w:lang w:eastAsia="es-CR"/>
              </w:rPr>
            </w:pPr>
            <w:r w:rsidRPr="00C8774A">
              <w:rPr>
                <w:rFonts w:ascii="Arial" w:eastAsia="Times New Roman" w:hAnsi="Arial" w:cs="Arial"/>
                <w:color w:val="000000"/>
                <w:sz w:val="22"/>
                <w:szCs w:val="22"/>
                <w:lang w:eastAsia="es-CR"/>
              </w:rPr>
              <w:t>Otros servicios contratados</w:t>
            </w:r>
          </w:p>
        </w:tc>
        <w:tc>
          <w:tcPr>
            <w:tcW w:w="2406" w:type="dxa"/>
            <w:tcBorders>
              <w:top w:val="nil"/>
              <w:left w:val="nil"/>
              <w:bottom w:val="nil"/>
              <w:right w:val="single" w:sz="4" w:space="0" w:color="auto"/>
            </w:tcBorders>
            <w:shd w:val="clear" w:color="auto" w:fill="auto"/>
            <w:noWrap/>
            <w:vAlign w:val="center"/>
            <w:hideMark/>
          </w:tcPr>
          <w:p w:rsidR="00C8774A" w:rsidRPr="00C8774A" w:rsidRDefault="00087680" w:rsidP="00087680">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148,399,192,51</w:t>
            </w:r>
          </w:p>
        </w:tc>
      </w:tr>
      <w:tr w:rsidR="00C8774A" w:rsidRPr="00C8774A" w:rsidTr="00B35E7C">
        <w:trPr>
          <w:trHeight w:val="300"/>
        </w:trPr>
        <w:tc>
          <w:tcPr>
            <w:tcW w:w="5816" w:type="dxa"/>
            <w:tcBorders>
              <w:top w:val="nil"/>
              <w:left w:val="single" w:sz="4" w:space="0" w:color="auto"/>
              <w:bottom w:val="nil"/>
              <w:right w:val="nil"/>
            </w:tcBorders>
            <w:shd w:val="clear" w:color="auto" w:fill="auto"/>
            <w:noWrap/>
            <w:vAlign w:val="center"/>
            <w:hideMark/>
          </w:tcPr>
          <w:p w:rsidR="00C8774A" w:rsidRPr="00C8774A" w:rsidRDefault="00087680" w:rsidP="00C8774A">
            <w:pPr>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Serv de transferencia Elect. De Información</w:t>
            </w:r>
          </w:p>
        </w:tc>
        <w:tc>
          <w:tcPr>
            <w:tcW w:w="2406" w:type="dxa"/>
            <w:tcBorders>
              <w:top w:val="nil"/>
              <w:left w:val="nil"/>
              <w:bottom w:val="nil"/>
              <w:right w:val="single" w:sz="4" w:space="0" w:color="auto"/>
            </w:tcBorders>
            <w:shd w:val="clear" w:color="auto" w:fill="auto"/>
            <w:noWrap/>
            <w:vAlign w:val="center"/>
            <w:hideMark/>
          </w:tcPr>
          <w:p w:rsidR="00C8774A" w:rsidRPr="00C8774A" w:rsidRDefault="00087680" w:rsidP="00C8774A">
            <w:pPr>
              <w:jc w:val="right"/>
              <w:rPr>
                <w:rFonts w:ascii="Arial" w:eastAsia="Times New Roman" w:hAnsi="Arial" w:cs="Arial"/>
                <w:color w:val="000000"/>
                <w:sz w:val="22"/>
                <w:szCs w:val="22"/>
                <w:lang w:eastAsia="es-CR"/>
              </w:rPr>
            </w:pPr>
            <w:r>
              <w:rPr>
                <w:rFonts w:ascii="Arial" w:eastAsia="Times New Roman" w:hAnsi="Arial" w:cs="Arial"/>
                <w:color w:val="000000"/>
                <w:sz w:val="22"/>
                <w:szCs w:val="22"/>
                <w:lang w:eastAsia="es-CR"/>
              </w:rPr>
              <w:t>364,075,00</w:t>
            </w:r>
          </w:p>
        </w:tc>
      </w:tr>
      <w:tr w:rsidR="00C8774A" w:rsidRPr="00C8774A" w:rsidTr="00A628EF">
        <w:trPr>
          <w:trHeight w:val="300"/>
        </w:trPr>
        <w:tc>
          <w:tcPr>
            <w:tcW w:w="5816" w:type="dxa"/>
            <w:tcBorders>
              <w:top w:val="single" w:sz="4" w:space="0" w:color="auto"/>
              <w:left w:val="single" w:sz="4" w:space="0" w:color="auto"/>
              <w:bottom w:val="single" w:sz="4" w:space="0" w:color="auto"/>
              <w:right w:val="nil"/>
            </w:tcBorders>
            <w:shd w:val="clear" w:color="auto" w:fill="00B050"/>
            <w:noWrap/>
            <w:vAlign w:val="center"/>
            <w:hideMark/>
          </w:tcPr>
          <w:p w:rsidR="00C8774A" w:rsidRPr="00C8774A" w:rsidRDefault="00C8774A" w:rsidP="004803EE">
            <w:pPr>
              <w:rPr>
                <w:rFonts w:ascii="Arial" w:eastAsia="Times New Roman" w:hAnsi="Arial" w:cs="Arial"/>
                <w:b/>
                <w:bCs/>
                <w:color w:val="000000"/>
                <w:sz w:val="22"/>
                <w:szCs w:val="22"/>
                <w:lang w:eastAsia="es-CR"/>
              </w:rPr>
            </w:pPr>
            <w:r w:rsidRPr="00C8774A">
              <w:rPr>
                <w:rFonts w:ascii="Arial" w:eastAsia="Times New Roman" w:hAnsi="Arial" w:cs="Arial"/>
                <w:b/>
                <w:bCs/>
                <w:color w:val="000000"/>
                <w:sz w:val="22"/>
                <w:szCs w:val="22"/>
                <w:lang w:eastAsia="es-CR"/>
              </w:rPr>
              <w:t xml:space="preserve">Total gastos por </w:t>
            </w:r>
            <w:r w:rsidR="004803EE">
              <w:rPr>
                <w:rFonts w:ascii="Arial" w:eastAsia="Times New Roman" w:hAnsi="Arial" w:cs="Arial"/>
                <w:b/>
                <w:bCs/>
                <w:color w:val="000000"/>
                <w:sz w:val="22"/>
                <w:szCs w:val="22"/>
                <w:lang w:eastAsia="es-CR"/>
              </w:rPr>
              <w:t xml:space="preserve">servicios externos </w:t>
            </w:r>
            <w:r w:rsidRPr="00C8774A">
              <w:rPr>
                <w:rFonts w:ascii="Arial" w:eastAsia="Times New Roman" w:hAnsi="Arial" w:cs="Arial"/>
                <w:b/>
                <w:bCs/>
                <w:color w:val="000000"/>
                <w:sz w:val="22"/>
                <w:szCs w:val="22"/>
                <w:lang w:eastAsia="es-CR"/>
              </w:rPr>
              <w:t xml:space="preserve"> </w:t>
            </w:r>
          </w:p>
        </w:tc>
        <w:tc>
          <w:tcPr>
            <w:tcW w:w="2406" w:type="dxa"/>
            <w:tcBorders>
              <w:top w:val="single" w:sz="4" w:space="0" w:color="auto"/>
              <w:left w:val="nil"/>
              <w:bottom w:val="single" w:sz="4" w:space="0" w:color="auto"/>
              <w:right w:val="single" w:sz="4" w:space="0" w:color="auto"/>
            </w:tcBorders>
            <w:shd w:val="clear" w:color="auto" w:fill="00B050"/>
            <w:noWrap/>
            <w:vAlign w:val="center"/>
            <w:hideMark/>
          </w:tcPr>
          <w:p w:rsidR="00C8774A" w:rsidRPr="004803EE" w:rsidRDefault="00087680" w:rsidP="00C8774A">
            <w:pPr>
              <w:jc w:val="right"/>
              <w:rPr>
                <w:rFonts w:ascii="Arial" w:eastAsia="Times New Roman" w:hAnsi="Arial" w:cs="Arial"/>
                <w:b/>
                <w:color w:val="000000"/>
                <w:sz w:val="22"/>
                <w:szCs w:val="22"/>
                <w:lang w:eastAsia="es-CR"/>
              </w:rPr>
            </w:pPr>
            <w:r>
              <w:rPr>
                <w:rFonts w:ascii="Arial" w:eastAsia="Times New Roman" w:hAnsi="Arial" w:cs="Arial"/>
                <w:b/>
                <w:color w:val="000000"/>
                <w:sz w:val="22"/>
                <w:szCs w:val="22"/>
                <w:lang w:eastAsia="es-CR"/>
              </w:rPr>
              <w:t>630.304.191,10</w:t>
            </w:r>
          </w:p>
        </w:tc>
      </w:tr>
    </w:tbl>
    <w:p w:rsidR="00B35E7C" w:rsidRDefault="00B35E7C" w:rsidP="0083405A">
      <w:pPr>
        <w:pStyle w:val="Prrafodelista"/>
        <w:ind w:left="1548" w:right="567"/>
        <w:contextualSpacing/>
        <w:jc w:val="both"/>
        <w:rPr>
          <w:rFonts w:ascii="Arial" w:hAnsi="Arial" w:cs="Arial"/>
          <w:sz w:val="24"/>
          <w:szCs w:val="24"/>
        </w:rPr>
      </w:pPr>
    </w:p>
    <w:p w:rsidR="00B35E7C" w:rsidRDefault="00B35E7C" w:rsidP="0083405A">
      <w:pPr>
        <w:pStyle w:val="Prrafodelista"/>
        <w:ind w:left="1548" w:right="567"/>
        <w:contextualSpacing/>
        <w:jc w:val="both"/>
        <w:rPr>
          <w:rFonts w:ascii="Arial" w:hAnsi="Arial" w:cs="Arial"/>
          <w:sz w:val="24"/>
          <w:szCs w:val="24"/>
        </w:rPr>
      </w:pPr>
    </w:p>
    <w:p w:rsidR="000D5CB2" w:rsidRPr="00B35E7C" w:rsidRDefault="005A3423" w:rsidP="00B35E7C">
      <w:pPr>
        <w:pStyle w:val="Prrafodelista"/>
        <w:numPr>
          <w:ilvl w:val="0"/>
          <w:numId w:val="30"/>
        </w:numPr>
        <w:ind w:right="567"/>
        <w:contextualSpacing/>
        <w:jc w:val="both"/>
        <w:rPr>
          <w:rFonts w:ascii="Arial" w:hAnsi="Arial" w:cs="Arial"/>
          <w:sz w:val="24"/>
          <w:szCs w:val="24"/>
        </w:rPr>
      </w:pPr>
      <w:r w:rsidRPr="005A3423">
        <w:rPr>
          <w:rFonts w:ascii="Arial" w:hAnsi="Arial" w:cs="Arial"/>
          <w:b/>
          <w:sz w:val="24"/>
          <w:szCs w:val="24"/>
        </w:rPr>
        <w:t>Gastos de movilidad de comunicación:</w:t>
      </w:r>
      <w:r>
        <w:rPr>
          <w:rFonts w:ascii="Arial" w:hAnsi="Arial" w:cs="Arial"/>
          <w:sz w:val="24"/>
          <w:szCs w:val="24"/>
        </w:rPr>
        <w:t xml:space="preserve"> Corresponde a los gastos generados de la movilidad y la comunicación, </w:t>
      </w:r>
      <w:r w:rsidR="00087680">
        <w:rPr>
          <w:rFonts w:ascii="Arial" w:hAnsi="Arial" w:cs="Arial"/>
          <w:sz w:val="24"/>
          <w:szCs w:val="24"/>
        </w:rPr>
        <w:t xml:space="preserve">al cierre del periodo </w:t>
      </w:r>
      <w:r>
        <w:rPr>
          <w:rFonts w:ascii="Arial" w:hAnsi="Arial" w:cs="Arial"/>
          <w:sz w:val="24"/>
          <w:szCs w:val="24"/>
        </w:rPr>
        <w:t xml:space="preserve">2019 el monto es por </w:t>
      </w:r>
      <w:r w:rsidRPr="005A3423">
        <w:rPr>
          <w:rFonts w:ascii="Arial" w:hAnsi="Arial" w:cs="Arial"/>
          <w:b/>
          <w:sz w:val="24"/>
          <w:szCs w:val="24"/>
        </w:rPr>
        <w:t>¢2</w:t>
      </w:r>
      <w:r w:rsidR="00373106">
        <w:rPr>
          <w:rFonts w:ascii="Arial" w:hAnsi="Arial" w:cs="Arial"/>
          <w:b/>
          <w:sz w:val="24"/>
          <w:szCs w:val="24"/>
        </w:rPr>
        <w:t>8.405.789,45</w:t>
      </w:r>
      <w:r w:rsidRPr="005A3423">
        <w:rPr>
          <w:rFonts w:ascii="Arial" w:hAnsi="Arial" w:cs="Arial"/>
          <w:b/>
          <w:sz w:val="24"/>
          <w:szCs w:val="24"/>
        </w:rPr>
        <w:t>.</w:t>
      </w:r>
    </w:p>
    <w:tbl>
      <w:tblPr>
        <w:tblW w:w="8660" w:type="dxa"/>
        <w:jc w:val="center"/>
        <w:tblCellMar>
          <w:left w:w="70" w:type="dxa"/>
          <w:right w:w="70" w:type="dxa"/>
        </w:tblCellMar>
        <w:tblLook w:val="04A0" w:firstRow="1" w:lastRow="0" w:firstColumn="1" w:lastColumn="0" w:noHBand="0" w:noVBand="1"/>
      </w:tblPr>
      <w:tblGrid>
        <w:gridCol w:w="6520"/>
        <w:gridCol w:w="2140"/>
      </w:tblGrid>
      <w:tr w:rsidR="00BA3B0B" w:rsidRPr="00BA3B0B" w:rsidTr="00A628EF">
        <w:trPr>
          <w:trHeight w:val="300"/>
          <w:jc w:val="center"/>
        </w:trPr>
        <w:tc>
          <w:tcPr>
            <w:tcW w:w="6520" w:type="dxa"/>
            <w:tcBorders>
              <w:top w:val="single" w:sz="4" w:space="0" w:color="auto"/>
              <w:left w:val="single" w:sz="4" w:space="0" w:color="auto"/>
              <w:bottom w:val="single" w:sz="4" w:space="0" w:color="auto"/>
              <w:right w:val="nil"/>
            </w:tcBorders>
            <w:shd w:val="clear" w:color="auto" w:fill="00B050"/>
            <w:noWrap/>
            <w:vAlign w:val="center"/>
            <w:hideMark/>
          </w:tcPr>
          <w:p w:rsidR="00BA3B0B" w:rsidRPr="00BA3B0B" w:rsidRDefault="00BA3B0B" w:rsidP="00BA3B0B">
            <w:pPr>
              <w:jc w:val="center"/>
              <w:rPr>
                <w:rFonts w:ascii="Arial" w:eastAsia="Times New Roman" w:hAnsi="Arial" w:cs="Arial"/>
                <w:b/>
                <w:bCs/>
                <w:color w:val="000000"/>
                <w:sz w:val="22"/>
                <w:szCs w:val="22"/>
                <w:lang w:eastAsia="es-CR"/>
              </w:rPr>
            </w:pPr>
            <w:r w:rsidRPr="00BA3B0B">
              <w:rPr>
                <w:rFonts w:ascii="Arial" w:eastAsia="Times New Roman" w:hAnsi="Arial" w:cs="Arial"/>
                <w:b/>
                <w:bCs/>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BA3B0B" w:rsidRPr="00BA3B0B" w:rsidRDefault="00A628EF" w:rsidP="00BA3B0B">
            <w:pPr>
              <w:jc w:val="center"/>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Diciembre</w:t>
            </w:r>
            <w:r w:rsidR="00B35E7C">
              <w:rPr>
                <w:rFonts w:ascii="Arial" w:eastAsia="Times New Roman" w:hAnsi="Arial" w:cs="Arial"/>
                <w:b/>
                <w:bCs/>
                <w:color w:val="000000"/>
                <w:sz w:val="22"/>
                <w:szCs w:val="22"/>
                <w:lang w:eastAsia="es-CR"/>
              </w:rPr>
              <w:t xml:space="preserve"> 2019</w:t>
            </w:r>
          </w:p>
        </w:tc>
      </w:tr>
      <w:tr w:rsidR="00BA3B0B" w:rsidRPr="00BA3B0B" w:rsidTr="00BA3B0B">
        <w:trPr>
          <w:trHeight w:val="300"/>
          <w:jc w:val="center"/>
        </w:trPr>
        <w:tc>
          <w:tcPr>
            <w:tcW w:w="6520" w:type="dxa"/>
            <w:tcBorders>
              <w:top w:val="nil"/>
              <w:left w:val="single" w:sz="4" w:space="0" w:color="auto"/>
              <w:bottom w:val="nil"/>
              <w:right w:val="nil"/>
            </w:tcBorders>
            <w:shd w:val="clear" w:color="auto" w:fill="auto"/>
            <w:noWrap/>
            <w:vAlign w:val="center"/>
            <w:hideMark/>
          </w:tcPr>
          <w:p w:rsidR="00BA3B0B" w:rsidRPr="00BA3B0B" w:rsidRDefault="00BA3B0B" w:rsidP="00BA3B0B">
            <w:pPr>
              <w:rPr>
                <w:rFonts w:ascii="Arial" w:eastAsia="Times New Roman" w:hAnsi="Arial" w:cs="Arial"/>
                <w:color w:val="000000"/>
                <w:sz w:val="22"/>
                <w:szCs w:val="22"/>
                <w:lang w:eastAsia="es-CR"/>
              </w:rPr>
            </w:pPr>
            <w:r w:rsidRPr="00BA3B0B">
              <w:rPr>
                <w:rFonts w:ascii="Arial" w:eastAsia="Times New Roman" w:hAnsi="Arial" w:cs="Arial"/>
                <w:color w:val="000000"/>
                <w:sz w:val="22"/>
                <w:szCs w:val="22"/>
                <w:lang w:eastAsia="es-CR"/>
              </w:rPr>
              <w:t>Impuestos y seguros sobre vehículos</w:t>
            </w:r>
          </w:p>
        </w:tc>
        <w:tc>
          <w:tcPr>
            <w:tcW w:w="2140" w:type="dxa"/>
            <w:tcBorders>
              <w:top w:val="nil"/>
              <w:left w:val="nil"/>
              <w:bottom w:val="nil"/>
              <w:right w:val="single" w:sz="4" w:space="0" w:color="auto"/>
            </w:tcBorders>
            <w:shd w:val="clear" w:color="auto" w:fill="auto"/>
            <w:noWrap/>
            <w:vAlign w:val="center"/>
            <w:hideMark/>
          </w:tcPr>
          <w:p w:rsidR="00BA3B0B" w:rsidRPr="00BA3B0B" w:rsidRDefault="00A628EF" w:rsidP="00A628EF">
            <w:pPr>
              <w:jc w:val="right"/>
              <w:rPr>
                <w:rFonts w:ascii="Arial" w:eastAsia="Times New Roman" w:hAnsi="Arial" w:cs="Arial"/>
                <w:color w:val="000000"/>
                <w:sz w:val="22"/>
                <w:szCs w:val="22"/>
                <w:lang w:eastAsia="es-CR"/>
              </w:rPr>
            </w:pPr>
            <w:r w:rsidRPr="00A628EF">
              <w:rPr>
                <w:rFonts w:ascii="Arial" w:eastAsia="Times New Roman" w:hAnsi="Arial" w:cs="Arial"/>
                <w:color w:val="000000"/>
                <w:sz w:val="22"/>
                <w:szCs w:val="22"/>
                <w:lang w:eastAsia="es-CR"/>
              </w:rPr>
              <w:t>3.083.937,99</w:t>
            </w:r>
          </w:p>
        </w:tc>
      </w:tr>
      <w:tr w:rsidR="00BA3B0B" w:rsidRPr="00BA3B0B" w:rsidTr="00BA3B0B">
        <w:trPr>
          <w:trHeight w:val="300"/>
          <w:jc w:val="center"/>
        </w:trPr>
        <w:tc>
          <w:tcPr>
            <w:tcW w:w="6520" w:type="dxa"/>
            <w:tcBorders>
              <w:top w:val="nil"/>
              <w:left w:val="single" w:sz="4" w:space="0" w:color="auto"/>
              <w:bottom w:val="nil"/>
              <w:right w:val="nil"/>
            </w:tcBorders>
            <w:shd w:val="clear" w:color="auto" w:fill="auto"/>
            <w:noWrap/>
            <w:vAlign w:val="center"/>
            <w:hideMark/>
          </w:tcPr>
          <w:p w:rsidR="00BA3B0B" w:rsidRPr="00BA3B0B" w:rsidRDefault="00BA3B0B" w:rsidP="00BA3B0B">
            <w:pPr>
              <w:rPr>
                <w:rFonts w:ascii="Arial" w:eastAsia="Times New Roman" w:hAnsi="Arial" w:cs="Arial"/>
                <w:color w:val="000000"/>
                <w:sz w:val="22"/>
                <w:szCs w:val="22"/>
                <w:lang w:eastAsia="es-CR"/>
              </w:rPr>
            </w:pPr>
            <w:r w:rsidRPr="00BA3B0B">
              <w:rPr>
                <w:rFonts w:ascii="Arial" w:eastAsia="Times New Roman" w:hAnsi="Arial" w:cs="Arial"/>
                <w:color w:val="000000"/>
                <w:sz w:val="22"/>
                <w:szCs w:val="22"/>
                <w:lang w:eastAsia="es-CR"/>
              </w:rPr>
              <w:t>Mant. Reparación y materiales para vehículos</w:t>
            </w:r>
          </w:p>
        </w:tc>
        <w:tc>
          <w:tcPr>
            <w:tcW w:w="2140" w:type="dxa"/>
            <w:tcBorders>
              <w:top w:val="nil"/>
              <w:left w:val="nil"/>
              <w:bottom w:val="nil"/>
              <w:right w:val="single" w:sz="4" w:space="0" w:color="auto"/>
            </w:tcBorders>
            <w:shd w:val="clear" w:color="auto" w:fill="auto"/>
            <w:noWrap/>
            <w:vAlign w:val="center"/>
            <w:hideMark/>
          </w:tcPr>
          <w:p w:rsidR="00BA3B0B" w:rsidRPr="00BA3B0B" w:rsidRDefault="00A628EF" w:rsidP="00A628EF">
            <w:pPr>
              <w:jc w:val="right"/>
              <w:rPr>
                <w:rFonts w:ascii="Arial" w:eastAsia="Times New Roman" w:hAnsi="Arial" w:cs="Arial"/>
                <w:color w:val="000000"/>
                <w:sz w:val="22"/>
                <w:szCs w:val="22"/>
                <w:lang w:eastAsia="es-CR"/>
              </w:rPr>
            </w:pPr>
            <w:r w:rsidRPr="00A628EF">
              <w:rPr>
                <w:rFonts w:ascii="Arial" w:eastAsia="Times New Roman" w:hAnsi="Arial" w:cs="Arial"/>
                <w:color w:val="000000"/>
                <w:sz w:val="22"/>
                <w:szCs w:val="22"/>
                <w:lang w:eastAsia="es-CR"/>
              </w:rPr>
              <w:t>9.107.048,11</w:t>
            </w:r>
          </w:p>
        </w:tc>
      </w:tr>
      <w:tr w:rsidR="00BA3B0B" w:rsidRPr="00BA3B0B" w:rsidTr="00BA3B0B">
        <w:trPr>
          <w:trHeight w:val="300"/>
          <w:jc w:val="center"/>
        </w:trPr>
        <w:tc>
          <w:tcPr>
            <w:tcW w:w="6520" w:type="dxa"/>
            <w:tcBorders>
              <w:top w:val="nil"/>
              <w:left w:val="single" w:sz="4" w:space="0" w:color="auto"/>
              <w:bottom w:val="nil"/>
              <w:right w:val="nil"/>
            </w:tcBorders>
            <w:shd w:val="clear" w:color="auto" w:fill="auto"/>
            <w:noWrap/>
            <w:vAlign w:val="center"/>
            <w:hideMark/>
          </w:tcPr>
          <w:p w:rsidR="00BA3B0B" w:rsidRPr="00BA3B0B" w:rsidRDefault="00BA3B0B" w:rsidP="00BA3B0B">
            <w:pPr>
              <w:rPr>
                <w:rFonts w:ascii="Arial" w:eastAsia="Times New Roman" w:hAnsi="Arial" w:cs="Arial"/>
                <w:color w:val="000000"/>
                <w:sz w:val="22"/>
                <w:szCs w:val="22"/>
                <w:lang w:eastAsia="es-CR"/>
              </w:rPr>
            </w:pPr>
            <w:r w:rsidRPr="00BA3B0B">
              <w:rPr>
                <w:rFonts w:ascii="Arial" w:eastAsia="Times New Roman" w:hAnsi="Arial" w:cs="Arial"/>
                <w:color w:val="000000"/>
                <w:sz w:val="22"/>
                <w:szCs w:val="22"/>
                <w:lang w:eastAsia="es-CR"/>
              </w:rPr>
              <w:t>Depreciación de vehículos-costo</w:t>
            </w:r>
          </w:p>
        </w:tc>
        <w:tc>
          <w:tcPr>
            <w:tcW w:w="2140" w:type="dxa"/>
            <w:tcBorders>
              <w:top w:val="nil"/>
              <w:left w:val="nil"/>
              <w:bottom w:val="nil"/>
              <w:right w:val="single" w:sz="4" w:space="0" w:color="auto"/>
            </w:tcBorders>
            <w:shd w:val="clear" w:color="auto" w:fill="auto"/>
            <w:noWrap/>
            <w:vAlign w:val="center"/>
            <w:hideMark/>
          </w:tcPr>
          <w:p w:rsidR="00BA3B0B" w:rsidRPr="00BA3B0B" w:rsidRDefault="00A628EF" w:rsidP="00A628EF">
            <w:pPr>
              <w:jc w:val="right"/>
              <w:rPr>
                <w:rFonts w:ascii="Arial" w:eastAsia="Times New Roman" w:hAnsi="Arial" w:cs="Arial"/>
                <w:color w:val="000000"/>
                <w:sz w:val="22"/>
                <w:szCs w:val="22"/>
                <w:lang w:eastAsia="es-CR"/>
              </w:rPr>
            </w:pPr>
            <w:r w:rsidRPr="00A628EF">
              <w:rPr>
                <w:rFonts w:ascii="Arial" w:eastAsia="Times New Roman" w:hAnsi="Arial" w:cs="Arial"/>
                <w:color w:val="000000"/>
                <w:sz w:val="22"/>
                <w:szCs w:val="22"/>
                <w:lang w:eastAsia="es-CR"/>
              </w:rPr>
              <w:t>3.644.410,65</w:t>
            </w:r>
          </w:p>
        </w:tc>
      </w:tr>
      <w:tr w:rsidR="00BA3B0B" w:rsidRPr="00BA3B0B" w:rsidTr="00BA3B0B">
        <w:trPr>
          <w:trHeight w:val="300"/>
          <w:jc w:val="center"/>
        </w:trPr>
        <w:tc>
          <w:tcPr>
            <w:tcW w:w="6520" w:type="dxa"/>
            <w:tcBorders>
              <w:top w:val="nil"/>
              <w:left w:val="single" w:sz="4" w:space="0" w:color="auto"/>
              <w:bottom w:val="nil"/>
              <w:right w:val="nil"/>
            </w:tcBorders>
            <w:shd w:val="clear" w:color="auto" w:fill="auto"/>
            <w:noWrap/>
            <w:vAlign w:val="center"/>
            <w:hideMark/>
          </w:tcPr>
          <w:p w:rsidR="00BA3B0B" w:rsidRPr="00BA3B0B" w:rsidRDefault="00BA3B0B" w:rsidP="00BA3B0B">
            <w:pPr>
              <w:rPr>
                <w:rFonts w:ascii="Arial" w:eastAsia="Times New Roman" w:hAnsi="Arial" w:cs="Arial"/>
                <w:color w:val="000000"/>
                <w:sz w:val="22"/>
                <w:szCs w:val="22"/>
                <w:lang w:eastAsia="es-CR"/>
              </w:rPr>
            </w:pPr>
            <w:r w:rsidRPr="00BA3B0B">
              <w:rPr>
                <w:rFonts w:ascii="Arial" w:eastAsia="Times New Roman" w:hAnsi="Arial" w:cs="Arial"/>
                <w:color w:val="000000"/>
                <w:sz w:val="22"/>
                <w:szCs w:val="22"/>
                <w:lang w:eastAsia="es-CR"/>
              </w:rPr>
              <w:t>Transporte dentro del país</w:t>
            </w:r>
          </w:p>
        </w:tc>
        <w:tc>
          <w:tcPr>
            <w:tcW w:w="2140" w:type="dxa"/>
            <w:tcBorders>
              <w:top w:val="nil"/>
              <w:left w:val="nil"/>
              <w:bottom w:val="nil"/>
              <w:right w:val="single" w:sz="4" w:space="0" w:color="auto"/>
            </w:tcBorders>
            <w:shd w:val="clear" w:color="auto" w:fill="auto"/>
            <w:noWrap/>
            <w:vAlign w:val="center"/>
            <w:hideMark/>
          </w:tcPr>
          <w:p w:rsidR="00BA3B0B" w:rsidRPr="00BA3B0B" w:rsidRDefault="00A628EF" w:rsidP="00A628EF">
            <w:pPr>
              <w:jc w:val="right"/>
              <w:rPr>
                <w:rFonts w:ascii="Arial" w:eastAsia="Times New Roman" w:hAnsi="Arial" w:cs="Arial"/>
                <w:color w:val="000000"/>
                <w:sz w:val="22"/>
                <w:szCs w:val="22"/>
                <w:lang w:eastAsia="es-CR"/>
              </w:rPr>
            </w:pPr>
            <w:r w:rsidRPr="00A628EF">
              <w:rPr>
                <w:rFonts w:ascii="Arial" w:eastAsia="Times New Roman" w:hAnsi="Arial" w:cs="Arial"/>
                <w:color w:val="000000"/>
                <w:sz w:val="22"/>
                <w:szCs w:val="22"/>
                <w:lang w:eastAsia="es-CR"/>
              </w:rPr>
              <w:t>10.483.355,00</w:t>
            </w:r>
          </w:p>
        </w:tc>
      </w:tr>
      <w:tr w:rsidR="00BA3B0B" w:rsidRPr="00BA3B0B" w:rsidTr="00BA3B0B">
        <w:trPr>
          <w:trHeight w:val="300"/>
          <w:jc w:val="center"/>
        </w:trPr>
        <w:tc>
          <w:tcPr>
            <w:tcW w:w="6520" w:type="dxa"/>
            <w:tcBorders>
              <w:top w:val="nil"/>
              <w:left w:val="single" w:sz="4" w:space="0" w:color="auto"/>
              <w:bottom w:val="nil"/>
              <w:right w:val="nil"/>
            </w:tcBorders>
            <w:shd w:val="clear" w:color="auto" w:fill="auto"/>
            <w:noWrap/>
            <w:vAlign w:val="center"/>
            <w:hideMark/>
          </w:tcPr>
          <w:p w:rsidR="00BA3B0B" w:rsidRPr="00BA3B0B" w:rsidRDefault="00BA3B0B" w:rsidP="00BA3B0B">
            <w:pPr>
              <w:rPr>
                <w:rFonts w:ascii="Arial" w:eastAsia="Times New Roman" w:hAnsi="Arial" w:cs="Arial"/>
                <w:color w:val="000000"/>
                <w:sz w:val="22"/>
                <w:szCs w:val="22"/>
                <w:lang w:eastAsia="es-CR"/>
              </w:rPr>
            </w:pPr>
            <w:r w:rsidRPr="00BA3B0B">
              <w:rPr>
                <w:rFonts w:ascii="Arial" w:eastAsia="Times New Roman" w:hAnsi="Arial" w:cs="Arial"/>
                <w:color w:val="000000"/>
                <w:sz w:val="22"/>
                <w:szCs w:val="22"/>
                <w:lang w:eastAsia="es-CR"/>
              </w:rPr>
              <w:t>Transporte fuera del país</w:t>
            </w:r>
          </w:p>
        </w:tc>
        <w:tc>
          <w:tcPr>
            <w:tcW w:w="2140" w:type="dxa"/>
            <w:tcBorders>
              <w:top w:val="nil"/>
              <w:left w:val="nil"/>
              <w:bottom w:val="nil"/>
              <w:right w:val="single" w:sz="4" w:space="0" w:color="auto"/>
            </w:tcBorders>
            <w:shd w:val="clear" w:color="auto" w:fill="auto"/>
            <w:noWrap/>
            <w:vAlign w:val="center"/>
            <w:hideMark/>
          </w:tcPr>
          <w:p w:rsidR="00BA3B0B" w:rsidRPr="00BA3B0B" w:rsidRDefault="00A628EF" w:rsidP="00A628EF">
            <w:pPr>
              <w:jc w:val="right"/>
              <w:rPr>
                <w:rFonts w:ascii="Arial" w:eastAsia="Times New Roman" w:hAnsi="Arial" w:cs="Arial"/>
                <w:color w:val="000000"/>
                <w:sz w:val="22"/>
                <w:szCs w:val="22"/>
                <w:lang w:eastAsia="es-CR"/>
              </w:rPr>
            </w:pPr>
            <w:r w:rsidRPr="00A628EF">
              <w:rPr>
                <w:rFonts w:ascii="Arial" w:eastAsia="Times New Roman" w:hAnsi="Arial" w:cs="Arial"/>
                <w:color w:val="000000"/>
                <w:sz w:val="22"/>
                <w:szCs w:val="22"/>
                <w:lang w:eastAsia="es-CR"/>
              </w:rPr>
              <w:t>2.087.037,70</w:t>
            </w:r>
          </w:p>
        </w:tc>
      </w:tr>
      <w:tr w:rsidR="00BA3B0B" w:rsidRPr="00BA3B0B" w:rsidTr="00A628EF">
        <w:trPr>
          <w:trHeight w:val="300"/>
          <w:jc w:val="center"/>
        </w:trPr>
        <w:tc>
          <w:tcPr>
            <w:tcW w:w="6520" w:type="dxa"/>
            <w:tcBorders>
              <w:top w:val="single" w:sz="4" w:space="0" w:color="auto"/>
              <w:left w:val="single" w:sz="4" w:space="0" w:color="auto"/>
              <w:bottom w:val="single" w:sz="4" w:space="0" w:color="auto"/>
              <w:right w:val="nil"/>
            </w:tcBorders>
            <w:shd w:val="clear" w:color="auto" w:fill="00B050"/>
            <w:noWrap/>
            <w:vAlign w:val="center"/>
            <w:hideMark/>
          </w:tcPr>
          <w:p w:rsidR="00BA3B0B" w:rsidRPr="00BA3B0B" w:rsidRDefault="00BA3B0B" w:rsidP="00BA3B0B">
            <w:pPr>
              <w:rPr>
                <w:rFonts w:ascii="Arial" w:eastAsia="Times New Roman" w:hAnsi="Arial" w:cs="Arial"/>
                <w:b/>
                <w:bCs/>
                <w:color w:val="000000"/>
                <w:sz w:val="22"/>
                <w:szCs w:val="22"/>
                <w:lang w:eastAsia="es-CR"/>
              </w:rPr>
            </w:pPr>
            <w:r w:rsidRPr="00BA3B0B">
              <w:rPr>
                <w:rFonts w:ascii="Arial" w:eastAsia="Times New Roman" w:hAnsi="Arial" w:cs="Arial"/>
                <w:b/>
                <w:bCs/>
                <w:color w:val="000000"/>
                <w:sz w:val="22"/>
                <w:szCs w:val="22"/>
                <w:lang w:eastAsia="es-CR"/>
              </w:rPr>
              <w:t>Total gastos de movilidad y comunicación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BA3B0B" w:rsidRPr="00A628EF" w:rsidRDefault="00A628EF" w:rsidP="00A628EF">
            <w:pPr>
              <w:jc w:val="right"/>
              <w:rPr>
                <w:rFonts w:ascii="Arial" w:eastAsia="Times New Roman" w:hAnsi="Arial" w:cs="Arial"/>
                <w:color w:val="000000"/>
                <w:sz w:val="22"/>
                <w:szCs w:val="22"/>
                <w:lang w:eastAsia="es-CR"/>
              </w:rPr>
            </w:pPr>
            <w:r w:rsidRPr="00A628EF">
              <w:rPr>
                <w:rFonts w:ascii="Arial" w:eastAsia="Times New Roman" w:hAnsi="Arial" w:cs="Arial"/>
                <w:color w:val="000000"/>
                <w:sz w:val="22"/>
                <w:szCs w:val="22"/>
                <w:lang w:eastAsia="es-CR"/>
              </w:rPr>
              <w:t>28.405.789,45</w:t>
            </w:r>
          </w:p>
        </w:tc>
      </w:tr>
    </w:tbl>
    <w:p w:rsidR="00BA3B0B" w:rsidRDefault="00BA3B0B" w:rsidP="0083405A">
      <w:pPr>
        <w:pStyle w:val="Prrafodelista"/>
        <w:ind w:left="1548" w:right="567"/>
        <w:contextualSpacing/>
        <w:jc w:val="both"/>
        <w:rPr>
          <w:rFonts w:ascii="Arial" w:hAnsi="Arial" w:cs="Arial"/>
          <w:sz w:val="24"/>
          <w:szCs w:val="24"/>
        </w:rPr>
      </w:pPr>
    </w:p>
    <w:p w:rsidR="00BA3B0B" w:rsidRDefault="00BA3B0B" w:rsidP="00BA3B0B">
      <w:pPr>
        <w:pStyle w:val="Prrafodelista"/>
        <w:numPr>
          <w:ilvl w:val="0"/>
          <w:numId w:val="30"/>
        </w:numPr>
        <w:ind w:right="567"/>
        <w:contextualSpacing/>
        <w:jc w:val="both"/>
        <w:rPr>
          <w:rFonts w:ascii="Arial" w:hAnsi="Arial" w:cs="Arial"/>
          <w:sz w:val="24"/>
          <w:szCs w:val="24"/>
        </w:rPr>
      </w:pPr>
      <w:r w:rsidRPr="004C7CA2">
        <w:rPr>
          <w:rFonts w:ascii="Arial" w:hAnsi="Arial" w:cs="Arial"/>
          <w:b/>
          <w:sz w:val="24"/>
          <w:szCs w:val="24"/>
        </w:rPr>
        <w:t>Gastos de infraestructura:</w:t>
      </w:r>
      <w:r>
        <w:rPr>
          <w:rFonts w:ascii="Arial" w:hAnsi="Arial" w:cs="Arial"/>
          <w:sz w:val="24"/>
          <w:szCs w:val="24"/>
        </w:rPr>
        <w:t xml:space="preserve"> </w:t>
      </w:r>
      <w:r w:rsidR="0049428C">
        <w:rPr>
          <w:rFonts w:ascii="Arial" w:hAnsi="Arial" w:cs="Arial"/>
          <w:sz w:val="24"/>
          <w:szCs w:val="24"/>
        </w:rPr>
        <w:t xml:space="preserve">Corresponde al mantenimiento y depreciación de los equipos de maquinaria, además del registro de gastos de todos aquellos equipos y herramientas que no cumplen la característica para ser activos. </w:t>
      </w:r>
    </w:p>
    <w:tbl>
      <w:tblPr>
        <w:tblW w:w="8660" w:type="dxa"/>
        <w:jc w:val="center"/>
        <w:tblCellMar>
          <w:left w:w="70" w:type="dxa"/>
          <w:right w:w="70" w:type="dxa"/>
        </w:tblCellMar>
        <w:tblLook w:val="04A0" w:firstRow="1" w:lastRow="0" w:firstColumn="1" w:lastColumn="0" w:noHBand="0" w:noVBand="1"/>
      </w:tblPr>
      <w:tblGrid>
        <w:gridCol w:w="6520"/>
        <w:gridCol w:w="2140"/>
      </w:tblGrid>
      <w:tr w:rsidR="004C7CA2" w:rsidRPr="004C7CA2" w:rsidTr="009867A4">
        <w:trPr>
          <w:trHeight w:val="300"/>
          <w:jc w:val="center"/>
        </w:trPr>
        <w:tc>
          <w:tcPr>
            <w:tcW w:w="6520" w:type="dxa"/>
            <w:tcBorders>
              <w:top w:val="single" w:sz="4" w:space="0" w:color="auto"/>
              <w:left w:val="single" w:sz="4" w:space="0" w:color="auto"/>
              <w:bottom w:val="single" w:sz="4" w:space="0" w:color="auto"/>
              <w:right w:val="nil"/>
            </w:tcBorders>
            <w:shd w:val="clear" w:color="auto" w:fill="00B050"/>
            <w:noWrap/>
            <w:vAlign w:val="center"/>
            <w:hideMark/>
          </w:tcPr>
          <w:p w:rsidR="004C7CA2" w:rsidRPr="004C7CA2" w:rsidRDefault="004C7CA2" w:rsidP="004C7CA2">
            <w:pPr>
              <w:jc w:val="center"/>
              <w:rPr>
                <w:rFonts w:ascii="Arial" w:eastAsia="Times New Roman" w:hAnsi="Arial" w:cs="Arial"/>
                <w:b/>
                <w:bCs/>
                <w:color w:val="000000"/>
                <w:sz w:val="22"/>
                <w:szCs w:val="22"/>
                <w:lang w:eastAsia="es-CR"/>
              </w:rPr>
            </w:pPr>
            <w:r w:rsidRPr="004C7CA2">
              <w:rPr>
                <w:rFonts w:ascii="Arial" w:eastAsia="Times New Roman" w:hAnsi="Arial" w:cs="Arial"/>
                <w:b/>
                <w:bCs/>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4C7CA2" w:rsidRPr="004C7CA2" w:rsidRDefault="009867A4" w:rsidP="009867A4">
            <w:pPr>
              <w:jc w:val="center"/>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Diciembre 20</w:t>
            </w:r>
            <w:r w:rsidR="004C7CA2" w:rsidRPr="004C7CA2">
              <w:rPr>
                <w:rFonts w:ascii="Arial" w:eastAsia="Times New Roman" w:hAnsi="Arial" w:cs="Arial"/>
                <w:b/>
                <w:bCs/>
                <w:color w:val="000000"/>
                <w:sz w:val="22"/>
                <w:szCs w:val="22"/>
                <w:lang w:eastAsia="es-CR"/>
              </w:rPr>
              <w:t>19</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Alquiler inmuebles</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22.769.829,62</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Equipo de comunicación</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8.806.164,25</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Depreciación equipo y mobiliario-costo</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4.722.148,34</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Depreciación equipos de computación-costo</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21.239.081,18</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Depreciación maquinaria y equipo-costo</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851.212,11</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Depreciación edificios e instalaciones-costo</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2.670.300,00</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 xml:space="preserve">Depreciación equipos de comunicación-costo </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2.702.839,47</w:t>
            </w:r>
          </w:p>
        </w:tc>
      </w:tr>
      <w:tr w:rsidR="009867A4"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9867A4" w:rsidRPr="004C7CA2" w:rsidRDefault="009867A4" w:rsidP="004C7CA2">
            <w:pPr>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Mantenimiento y reparación Edif icios</w:t>
            </w:r>
          </w:p>
        </w:tc>
        <w:tc>
          <w:tcPr>
            <w:tcW w:w="2140" w:type="dxa"/>
            <w:tcBorders>
              <w:top w:val="nil"/>
              <w:left w:val="nil"/>
              <w:bottom w:val="nil"/>
              <w:right w:val="single" w:sz="4" w:space="0" w:color="auto"/>
            </w:tcBorders>
            <w:shd w:val="clear" w:color="auto" w:fill="auto"/>
            <w:noWrap/>
            <w:vAlign w:val="center"/>
            <w:hideMark/>
          </w:tcPr>
          <w:p w:rsidR="009867A4"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2.400.117,81</w:t>
            </w:r>
          </w:p>
        </w:tc>
      </w:tr>
      <w:tr w:rsidR="004C7CA2" w:rsidRPr="004C7CA2"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4C7CA2" w:rsidRPr="004C7CA2" w:rsidRDefault="004C7CA2" w:rsidP="004C7CA2">
            <w:pPr>
              <w:rPr>
                <w:rFonts w:ascii="Arial" w:eastAsia="Times New Roman" w:hAnsi="Arial" w:cs="Arial"/>
                <w:color w:val="000000"/>
                <w:sz w:val="22"/>
                <w:szCs w:val="22"/>
                <w:lang w:eastAsia="es-CR"/>
              </w:rPr>
            </w:pPr>
            <w:r w:rsidRPr="004C7CA2">
              <w:rPr>
                <w:rFonts w:ascii="Arial" w:eastAsia="Times New Roman" w:hAnsi="Arial" w:cs="Arial"/>
                <w:color w:val="000000"/>
                <w:sz w:val="22"/>
                <w:szCs w:val="22"/>
                <w:lang w:eastAsia="es-CR"/>
              </w:rPr>
              <w:t>Depreciación edificios e instalaciones-revaluación</w:t>
            </w:r>
          </w:p>
        </w:tc>
        <w:tc>
          <w:tcPr>
            <w:tcW w:w="2140" w:type="dxa"/>
            <w:tcBorders>
              <w:top w:val="nil"/>
              <w:left w:val="nil"/>
              <w:bottom w:val="nil"/>
              <w:right w:val="single" w:sz="4" w:space="0" w:color="auto"/>
            </w:tcBorders>
            <w:shd w:val="clear" w:color="auto" w:fill="auto"/>
            <w:noWrap/>
            <w:vAlign w:val="center"/>
            <w:hideMark/>
          </w:tcPr>
          <w:p w:rsidR="004C7CA2" w:rsidRPr="004C7CA2"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1.221.816,00</w:t>
            </w:r>
          </w:p>
        </w:tc>
      </w:tr>
      <w:tr w:rsidR="004C7CA2" w:rsidRPr="004C7CA2" w:rsidTr="009867A4">
        <w:trPr>
          <w:trHeight w:val="300"/>
          <w:jc w:val="center"/>
        </w:trPr>
        <w:tc>
          <w:tcPr>
            <w:tcW w:w="6520" w:type="dxa"/>
            <w:tcBorders>
              <w:top w:val="single" w:sz="4" w:space="0" w:color="auto"/>
              <w:left w:val="single" w:sz="4" w:space="0" w:color="auto"/>
              <w:bottom w:val="single" w:sz="4" w:space="0" w:color="auto"/>
              <w:right w:val="nil"/>
            </w:tcBorders>
            <w:shd w:val="clear" w:color="auto" w:fill="00B050"/>
            <w:noWrap/>
            <w:vAlign w:val="center"/>
            <w:hideMark/>
          </w:tcPr>
          <w:p w:rsidR="004C7CA2" w:rsidRPr="004C7CA2" w:rsidRDefault="004C7CA2" w:rsidP="004C7CA2">
            <w:pPr>
              <w:rPr>
                <w:rFonts w:ascii="Arial" w:eastAsia="Times New Roman" w:hAnsi="Arial" w:cs="Arial"/>
                <w:b/>
                <w:bCs/>
                <w:color w:val="000000"/>
                <w:sz w:val="22"/>
                <w:szCs w:val="22"/>
                <w:lang w:eastAsia="es-CR"/>
              </w:rPr>
            </w:pPr>
            <w:r w:rsidRPr="004C7CA2">
              <w:rPr>
                <w:rFonts w:ascii="Arial" w:eastAsia="Times New Roman" w:hAnsi="Arial" w:cs="Arial"/>
                <w:b/>
                <w:bCs/>
                <w:color w:val="000000"/>
                <w:sz w:val="22"/>
                <w:szCs w:val="22"/>
                <w:lang w:eastAsia="es-CR"/>
              </w:rPr>
              <w:t>Total gastos de infraestructura</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4C7CA2" w:rsidRPr="009867A4" w:rsidRDefault="009867A4" w:rsidP="009867A4">
            <w:pPr>
              <w:jc w:val="right"/>
              <w:rPr>
                <w:rFonts w:ascii="Arial" w:eastAsia="Times New Roman" w:hAnsi="Arial" w:cs="Arial"/>
                <w:color w:val="000000"/>
                <w:sz w:val="22"/>
                <w:szCs w:val="22"/>
                <w:lang w:eastAsia="es-CR"/>
              </w:rPr>
            </w:pPr>
            <w:r w:rsidRPr="009867A4">
              <w:rPr>
                <w:rFonts w:ascii="Arial" w:eastAsia="Times New Roman" w:hAnsi="Arial" w:cs="Arial"/>
                <w:color w:val="000000"/>
                <w:sz w:val="22"/>
                <w:szCs w:val="22"/>
                <w:lang w:eastAsia="es-CR"/>
              </w:rPr>
              <w:t>67.383.508,78</w:t>
            </w:r>
          </w:p>
        </w:tc>
      </w:tr>
    </w:tbl>
    <w:p w:rsidR="000D5CB2" w:rsidRDefault="000D5CB2" w:rsidP="00264ECF">
      <w:pPr>
        <w:ind w:right="567"/>
        <w:contextualSpacing/>
        <w:jc w:val="both"/>
        <w:rPr>
          <w:rFonts w:ascii="Arial" w:hAnsi="Arial" w:cs="Arial"/>
          <w:sz w:val="24"/>
          <w:szCs w:val="24"/>
        </w:rPr>
      </w:pPr>
    </w:p>
    <w:p w:rsidR="00875B4D" w:rsidRDefault="00875B4D" w:rsidP="00264ECF">
      <w:pPr>
        <w:ind w:right="567"/>
        <w:contextualSpacing/>
        <w:jc w:val="both"/>
        <w:rPr>
          <w:rFonts w:ascii="Arial" w:hAnsi="Arial" w:cs="Arial"/>
          <w:sz w:val="24"/>
          <w:szCs w:val="24"/>
        </w:rPr>
      </w:pPr>
    </w:p>
    <w:p w:rsidR="00EC7FB9" w:rsidRDefault="00EC7FB9" w:rsidP="00264ECF">
      <w:pPr>
        <w:ind w:right="567"/>
        <w:contextualSpacing/>
        <w:jc w:val="both"/>
        <w:rPr>
          <w:rFonts w:ascii="Arial" w:hAnsi="Arial" w:cs="Arial"/>
          <w:sz w:val="24"/>
          <w:szCs w:val="24"/>
        </w:rPr>
      </w:pPr>
    </w:p>
    <w:p w:rsidR="00F37A9C" w:rsidRDefault="00F37A9C" w:rsidP="00264ECF">
      <w:pPr>
        <w:ind w:right="567"/>
        <w:contextualSpacing/>
        <w:jc w:val="both"/>
        <w:rPr>
          <w:rFonts w:ascii="Arial" w:hAnsi="Arial" w:cs="Arial"/>
          <w:sz w:val="24"/>
          <w:szCs w:val="24"/>
        </w:rPr>
      </w:pPr>
    </w:p>
    <w:p w:rsidR="00EC7FB9" w:rsidRDefault="00EC7FB9" w:rsidP="00264ECF">
      <w:pPr>
        <w:ind w:right="567"/>
        <w:contextualSpacing/>
        <w:jc w:val="both"/>
        <w:rPr>
          <w:rFonts w:ascii="Arial" w:hAnsi="Arial" w:cs="Arial"/>
          <w:sz w:val="24"/>
          <w:szCs w:val="24"/>
        </w:rPr>
      </w:pPr>
      <w:r>
        <w:rPr>
          <w:rFonts w:ascii="Arial" w:hAnsi="Arial" w:cs="Arial"/>
          <w:sz w:val="24"/>
          <w:szCs w:val="24"/>
        </w:rPr>
        <w:lastRenderedPageBreak/>
        <w:tab/>
      </w:r>
    </w:p>
    <w:p w:rsidR="000D5CB2" w:rsidRDefault="00836278" w:rsidP="00836278">
      <w:pPr>
        <w:pStyle w:val="Prrafodelista"/>
        <w:numPr>
          <w:ilvl w:val="0"/>
          <w:numId w:val="30"/>
        </w:numPr>
        <w:ind w:right="567"/>
        <w:contextualSpacing/>
        <w:jc w:val="both"/>
        <w:rPr>
          <w:rFonts w:ascii="Arial" w:hAnsi="Arial" w:cs="Arial"/>
          <w:sz w:val="24"/>
          <w:szCs w:val="24"/>
        </w:rPr>
      </w:pPr>
      <w:r w:rsidRPr="00FE38FA">
        <w:rPr>
          <w:rFonts w:ascii="Arial" w:hAnsi="Arial" w:cs="Arial"/>
          <w:b/>
          <w:sz w:val="24"/>
          <w:szCs w:val="24"/>
        </w:rPr>
        <w:t>Gastos generales:</w:t>
      </w:r>
      <w:r>
        <w:rPr>
          <w:rFonts w:ascii="Arial" w:hAnsi="Arial" w:cs="Arial"/>
          <w:sz w:val="24"/>
          <w:szCs w:val="24"/>
        </w:rPr>
        <w:t xml:space="preserve"> Corresponde al registro del gasto que agrupa las asignaciones destinadas a cubrir el costo de todo tipo de servicios que contraten con particulares o instituciones. </w:t>
      </w:r>
    </w:p>
    <w:p w:rsidR="00875B4D" w:rsidRDefault="00875B4D" w:rsidP="00875B4D">
      <w:pPr>
        <w:pStyle w:val="Prrafodelista"/>
        <w:ind w:left="765" w:right="567"/>
        <w:contextualSpacing/>
        <w:jc w:val="both"/>
        <w:rPr>
          <w:rFonts w:ascii="Arial" w:hAnsi="Arial" w:cs="Arial"/>
          <w:sz w:val="24"/>
          <w:szCs w:val="24"/>
        </w:rPr>
      </w:pPr>
    </w:p>
    <w:tbl>
      <w:tblPr>
        <w:tblW w:w="8660" w:type="dxa"/>
        <w:jc w:val="center"/>
        <w:tblCellMar>
          <w:left w:w="70" w:type="dxa"/>
          <w:right w:w="70" w:type="dxa"/>
        </w:tblCellMar>
        <w:tblLook w:val="04A0" w:firstRow="1" w:lastRow="0" w:firstColumn="1" w:lastColumn="0" w:noHBand="0" w:noVBand="1"/>
      </w:tblPr>
      <w:tblGrid>
        <w:gridCol w:w="6520"/>
        <w:gridCol w:w="2140"/>
      </w:tblGrid>
      <w:tr w:rsidR="00836278" w:rsidRPr="00836278" w:rsidTr="00826350">
        <w:trPr>
          <w:trHeight w:val="300"/>
          <w:jc w:val="center"/>
        </w:trPr>
        <w:tc>
          <w:tcPr>
            <w:tcW w:w="6520" w:type="dxa"/>
            <w:tcBorders>
              <w:top w:val="single" w:sz="4" w:space="0" w:color="auto"/>
              <w:left w:val="single" w:sz="4" w:space="0" w:color="auto"/>
              <w:bottom w:val="single" w:sz="4" w:space="0" w:color="auto"/>
              <w:right w:val="nil"/>
            </w:tcBorders>
            <w:shd w:val="clear" w:color="auto" w:fill="00B050"/>
            <w:noWrap/>
            <w:vAlign w:val="center"/>
            <w:hideMark/>
          </w:tcPr>
          <w:p w:rsidR="00836278" w:rsidRPr="00836278" w:rsidRDefault="00836278" w:rsidP="00836278">
            <w:pPr>
              <w:jc w:val="center"/>
              <w:rPr>
                <w:rFonts w:ascii="Arial" w:eastAsia="Times New Roman" w:hAnsi="Arial" w:cs="Arial"/>
                <w:b/>
                <w:bCs/>
                <w:color w:val="000000"/>
                <w:sz w:val="22"/>
                <w:szCs w:val="22"/>
                <w:lang w:eastAsia="es-CR"/>
              </w:rPr>
            </w:pPr>
            <w:r w:rsidRPr="00836278">
              <w:rPr>
                <w:rFonts w:ascii="Arial" w:eastAsia="Times New Roman" w:hAnsi="Arial" w:cs="Arial"/>
                <w:b/>
                <w:bCs/>
                <w:color w:val="000000"/>
                <w:sz w:val="22"/>
                <w:szCs w:val="22"/>
                <w:lang w:eastAsia="es-CR"/>
              </w:rPr>
              <w:t>Descripción</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836278" w:rsidRPr="00836278" w:rsidRDefault="00EC7FB9" w:rsidP="00EC7FB9">
            <w:pPr>
              <w:jc w:val="center"/>
              <w:rPr>
                <w:rFonts w:ascii="Arial" w:eastAsia="Times New Roman" w:hAnsi="Arial" w:cs="Arial"/>
                <w:b/>
                <w:bCs/>
                <w:color w:val="000000"/>
                <w:sz w:val="22"/>
                <w:szCs w:val="22"/>
                <w:lang w:eastAsia="es-CR"/>
              </w:rPr>
            </w:pPr>
            <w:r>
              <w:rPr>
                <w:rFonts w:ascii="Arial" w:eastAsia="Times New Roman" w:hAnsi="Arial" w:cs="Arial"/>
                <w:b/>
                <w:bCs/>
                <w:color w:val="000000"/>
                <w:sz w:val="22"/>
                <w:szCs w:val="22"/>
                <w:lang w:eastAsia="es-CR"/>
              </w:rPr>
              <w:t>Diciembre 20</w:t>
            </w:r>
            <w:r w:rsidR="00836278" w:rsidRPr="00836278">
              <w:rPr>
                <w:rFonts w:ascii="Arial" w:eastAsia="Times New Roman" w:hAnsi="Arial" w:cs="Arial"/>
                <w:b/>
                <w:bCs/>
                <w:color w:val="000000"/>
                <w:sz w:val="22"/>
                <w:szCs w:val="22"/>
                <w:lang w:eastAsia="es-CR"/>
              </w:rPr>
              <w:t>19</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836278"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Papelería, útiles y otros materiales</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3.867.535,03</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836278"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Propaganda</w:t>
            </w:r>
            <w:r>
              <w:rPr>
                <w:rFonts w:ascii="Arial" w:eastAsia="Times New Roman" w:hAnsi="Arial" w:cs="Arial"/>
                <w:color w:val="000000"/>
                <w:sz w:val="22"/>
                <w:szCs w:val="22"/>
                <w:lang w:eastAsia="es-CR"/>
              </w:rPr>
              <w:t xml:space="preserve"> y</w:t>
            </w:r>
            <w:r w:rsidRPr="00836278">
              <w:rPr>
                <w:rFonts w:ascii="Arial" w:eastAsia="Times New Roman" w:hAnsi="Arial" w:cs="Arial"/>
                <w:color w:val="000000"/>
                <w:sz w:val="22"/>
                <w:szCs w:val="22"/>
                <w:lang w:eastAsia="es-CR"/>
              </w:rPr>
              <w:t xml:space="preserve"> publicidad </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4.413.003,18</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836278"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 xml:space="preserve">Impresión, encuadernación y otros </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405.245,70</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836278"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Eventos especiales</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14.258.142,96</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836278"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 xml:space="preserve">Productos químicos </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2.329.024,89</w:t>
            </w:r>
          </w:p>
        </w:tc>
      </w:tr>
      <w:tr w:rsidR="00EC7FB9"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EC7FB9" w:rsidRPr="00836278" w:rsidRDefault="00EC7FB9" w:rsidP="00836278">
            <w:pPr>
              <w:rPr>
                <w:rFonts w:ascii="Arial" w:eastAsia="Times New Roman" w:hAnsi="Arial" w:cs="Arial"/>
                <w:color w:val="000000"/>
                <w:sz w:val="22"/>
                <w:szCs w:val="22"/>
                <w:lang w:eastAsia="es-CR"/>
              </w:rPr>
            </w:pPr>
            <w:r w:rsidRPr="00EC7FB9">
              <w:rPr>
                <w:rFonts w:ascii="Arial" w:eastAsia="Times New Roman" w:hAnsi="Arial" w:cs="Arial"/>
                <w:color w:val="000000"/>
                <w:sz w:val="22"/>
                <w:szCs w:val="22"/>
                <w:lang w:eastAsia="es-CR"/>
              </w:rPr>
              <w:t>Productos farmacéuticos y medicinales</w:t>
            </w:r>
          </w:p>
        </w:tc>
        <w:tc>
          <w:tcPr>
            <w:tcW w:w="2140" w:type="dxa"/>
            <w:tcBorders>
              <w:top w:val="nil"/>
              <w:left w:val="nil"/>
              <w:bottom w:val="nil"/>
              <w:right w:val="single" w:sz="4" w:space="0" w:color="auto"/>
            </w:tcBorders>
            <w:shd w:val="clear" w:color="auto" w:fill="auto"/>
            <w:noWrap/>
            <w:vAlign w:val="center"/>
            <w:hideMark/>
          </w:tcPr>
          <w:p w:rsidR="00EC7FB9"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4.815.890,40</w:t>
            </w:r>
          </w:p>
        </w:tc>
      </w:tr>
      <w:tr w:rsidR="00EC7FB9"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EC7FB9" w:rsidRPr="00836278" w:rsidRDefault="00EC7FB9" w:rsidP="00836278">
            <w:pPr>
              <w:rPr>
                <w:rFonts w:ascii="Arial" w:eastAsia="Times New Roman" w:hAnsi="Arial" w:cs="Arial"/>
                <w:color w:val="000000"/>
                <w:sz w:val="22"/>
                <w:szCs w:val="22"/>
                <w:lang w:eastAsia="es-CR"/>
              </w:rPr>
            </w:pPr>
            <w:r w:rsidRPr="00EC7FB9">
              <w:rPr>
                <w:rFonts w:ascii="Arial" w:eastAsia="Times New Roman" w:hAnsi="Arial" w:cs="Arial"/>
                <w:color w:val="000000"/>
                <w:sz w:val="22"/>
                <w:szCs w:val="22"/>
                <w:lang w:eastAsia="es-CR"/>
              </w:rPr>
              <w:t>Materiales y productos eléctricos, telefónnicos y de cómputo</w:t>
            </w:r>
          </w:p>
        </w:tc>
        <w:tc>
          <w:tcPr>
            <w:tcW w:w="2140" w:type="dxa"/>
            <w:tcBorders>
              <w:top w:val="nil"/>
              <w:left w:val="nil"/>
              <w:bottom w:val="nil"/>
              <w:right w:val="single" w:sz="4" w:space="0" w:color="auto"/>
            </w:tcBorders>
            <w:shd w:val="clear" w:color="auto" w:fill="auto"/>
            <w:noWrap/>
            <w:vAlign w:val="center"/>
            <w:hideMark/>
          </w:tcPr>
          <w:p w:rsidR="00EC7FB9"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3.731.462,74</w:t>
            </w:r>
          </w:p>
        </w:tc>
      </w:tr>
      <w:tr w:rsidR="00EC7FB9"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EC7FB9" w:rsidRPr="00836278" w:rsidRDefault="00EC7FB9"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Impuesto municipal</w:t>
            </w:r>
          </w:p>
        </w:tc>
        <w:tc>
          <w:tcPr>
            <w:tcW w:w="2140" w:type="dxa"/>
            <w:tcBorders>
              <w:top w:val="nil"/>
              <w:left w:val="nil"/>
              <w:bottom w:val="nil"/>
              <w:right w:val="single" w:sz="4" w:space="0" w:color="auto"/>
            </w:tcBorders>
            <w:shd w:val="clear" w:color="auto" w:fill="auto"/>
            <w:noWrap/>
            <w:vAlign w:val="center"/>
            <w:hideMark/>
          </w:tcPr>
          <w:p w:rsidR="00EC7FB9"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1.316.579,40</w:t>
            </w:r>
          </w:p>
        </w:tc>
      </w:tr>
      <w:tr w:rsidR="00EC7FB9"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EC7FB9" w:rsidRPr="00836278" w:rsidRDefault="00EC7FB9" w:rsidP="00836278">
            <w:pPr>
              <w:rPr>
                <w:rFonts w:ascii="Arial" w:eastAsia="Times New Roman" w:hAnsi="Arial" w:cs="Arial"/>
                <w:color w:val="000000"/>
                <w:sz w:val="22"/>
                <w:szCs w:val="22"/>
                <w:lang w:eastAsia="es-CR"/>
              </w:rPr>
            </w:pPr>
            <w:r w:rsidRPr="00EC7FB9">
              <w:rPr>
                <w:rFonts w:ascii="Arial" w:eastAsia="Times New Roman" w:hAnsi="Arial" w:cs="Arial"/>
                <w:color w:val="000000"/>
                <w:sz w:val="22"/>
                <w:szCs w:val="22"/>
                <w:lang w:eastAsia="es-CR"/>
              </w:rPr>
              <w:t>Otros Impuestos y Tasas</w:t>
            </w:r>
          </w:p>
        </w:tc>
        <w:tc>
          <w:tcPr>
            <w:tcW w:w="2140" w:type="dxa"/>
            <w:tcBorders>
              <w:top w:val="nil"/>
              <w:left w:val="nil"/>
              <w:bottom w:val="nil"/>
              <w:right w:val="single" w:sz="4" w:space="0" w:color="auto"/>
            </w:tcBorders>
            <w:shd w:val="clear" w:color="auto" w:fill="auto"/>
            <w:noWrap/>
            <w:vAlign w:val="center"/>
            <w:hideMark/>
          </w:tcPr>
          <w:p w:rsidR="00EC7FB9"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405.950,75</w:t>
            </w:r>
          </w:p>
        </w:tc>
      </w:tr>
      <w:tr w:rsidR="00EC7FB9"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EC7FB9" w:rsidRPr="00836278" w:rsidRDefault="00EC7FB9" w:rsidP="00836278">
            <w:pPr>
              <w:rPr>
                <w:rFonts w:ascii="Arial" w:eastAsia="Times New Roman" w:hAnsi="Arial" w:cs="Arial"/>
                <w:color w:val="000000"/>
                <w:sz w:val="22"/>
                <w:szCs w:val="22"/>
                <w:lang w:eastAsia="es-CR"/>
              </w:rPr>
            </w:pPr>
            <w:r w:rsidRPr="00EC7FB9">
              <w:rPr>
                <w:rFonts w:ascii="Arial" w:eastAsia="Times New Roman" w:hAnsi="Arial" w:cs="Arial"/>
                <w:color w:val="000000"/>
                <w:sz w:val="22"/>
                <w:szCs w:val="22"/>
                <w:lang w:eastAsia="es-CR"/>
              </w:rPr>
              <w:t>Seguros</w:t>
            </w:r>
          </w:p>
        </w:tc>
        <w:tc>
          <w:tcPr>
            <w:tcW w:w="2140" w:type="dxa"/>
            <w:tcBorders>
              <w:top w:val="nil"/>
              <w:left w:val="nil"/>
              <w:bottom w:val="nil"/>
              <w:right w:val="single" w:sz="4" w:space="0" w:color="auto"/>
            </w:tcBorders>
            <w:shd w:val="clear" w:color="auto" w:fill="auto"/>
            <w:noWrap/>
            <w:vAlign w:val="center"/>
            <w:hideMark/>
          </w:tcPr>
          <w:p w:rsidR="00EC7FB9"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30.259,79</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836278" w:rsidP="00836278">
            <w:pPr>
              <w:rPr>
                <w:rFonts w:ascii="Arial" w:eastAsia="Times New Roman" w:hAnsi="Arial" w:cs="Arial"/>
                <w:color w:val="000000"/>
                <w:sz w:val="22"/>
                <w:szCs w:val="22"/>
                <w:lang w:eastAsia="es-CR"/>
              </w:rPr>
            </w:pPr>
            <w:r w:rsidRPr="00836278">
              <w:rPr>
                <w:rFonts w:ascii="Arial" w:eastAsia="Times New Roman" w:hAnsi="Arial" w:cs="Arial"/>
                <w:color w:val="000000"/>
                <w:sz w:val="22"/>
                <w:szCs w:val="22"/>
                <w:lang w:eastAsia="es-CR"/>
              </w:rPr>
              <w:t>Otros seguros</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1.071.570,78</w:t>
            </w:r>
          </w:p>
        </w:tc>
      </w:tr>
      <w:tr w:rsidR="00836278" w:rsidRPr="006C3250" w:rsidTr="00264ECF">
        <w:trPr>
          <w:trHeight w:val="300"/>
          <w:jc w:val="center"/>
        </w:trPr>
        <w:tc>
          <w:tcPr>
            <w:tcW w:w="6520" w:type="dxa"/>
            <w:tcBorders>
              <w:top w:val="nil"/>
              <w:left w:val="single" w:sz="4" w:space="0" w:color="auto"/>
              <w:bottom w:val="nil"/>
              <w:right w:val="nil"/>
            </w:tcBorders>
            <w:shd w:val="clear" w:color="auto" w:fill="auto"/>
            <w:noWrap/>
            <w:vAlign w:val="center"/>
            <w:hideMark/>
          </w:tcPr>
          <w:p w:rsidR="00836278" w:rsidRPr="00836278" w:rsidRDefault="00EC7FB9" w:rsidP="00836278">
            <w:pPr>
              <w:rPr>
                <w:rFonts w:ascii="Arial" w:eastAsia="Times New Roman" w:hAnsi="Arial" w:cs="Arial"/>
                <w:color w:val="000000"/>
                <w:sz w:val="22"/>
                <w:szCs w:val="22"/>
                <w:lang w:eastAsia="es-CR"/>
              </w:rPr>
            </w:pPr>
            <w:r w:rsidRPr="00EC7FB9">
              <w:rPr>
                <w:rFonts w:ascii="Arial" w:eastAsia="Times New Roman" w:hAnsi="Arial" w:cs="Arial"/>
                <w:color w:val="000000"/>
                <w:sz w:val="22"/>
                <w:szCs w:val="22"/>
                <w:lang w:eastAsia="es-CR"/>
              </w:rPr>
              <w:t>Seguros</w:t>
            </w:r>
          </w:p>
        </w:tc>
        <w:tc>
          <w:tcPr>
            <w:tcW w:w="2140" w:type="dxa"/>
            <w:tcBorders>
              <w:top w:val="nil"/>
              <w:left w:val="nil"/>
              <w:bottom w:val="nil"/>
              <w:right w:val="single" w:sz="4" w:space="0" w:color="auto"/>
            </w:tcBorders>
            <w:shd w:val="clear" w:color="auto" w:fill="auto"/>
            <w:noWrap/>
            <w:vAlign w:val="center"/>
            <w:hideMark/>
          </w:tcPr>
          <w:p w:rsidR="00836278" w:rsidRPr="00836278"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39.712,41</w:t>
            </w:r>
          </w:p>
        </w:tc>
      </w:tr>
      <w:tr w:rsidR="00836278" w:rsidRPr="006C3250" w:rsidTr="00826350">
        <w:trPr>
          <w:trHeight w:val="300"/>
          <w:jc w:val="center"/>
        </w:trPr>
        <w:tc>
          <w:tcPr>
            <w:tcW w:w="6520" w:type="dxa"/>
            <w:tcBorders>
              <w:top w:val="single" w:sz="4" w:space="0" w:color="auto"/>
              <w:left w:val="single" w:sz="4" w:space="0" w:color="auto"/>
              <w:bottom w:val="single" w:sz="4" w:space="0" w:color="auto"/>
              <w:right w:val="nil"/>
            </w:tcBorders>
            <w:shd w:val="clear" w:color="auto" w:fill="00B050"/>
            <w:noWrap/>
            <w:vAlign w:val="center"/>
            <w:hideMark/>
          </w:tcPr>
          <w:p w:rsidR="00836278" w:rsidRPr="006C3250" w:rsidRDefault="00836278" w:rsidP="00836278">
            <w:pPr>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Total gastos de infraestructura</w:t>
            </w:r>
          </w:p>
        </w:tc>
        <w:tc>
          <w:tcPr>
            <w:tcW w:w="2140" w:type="dxa"/>
            <w:tcBorders>
              <w:top w:val="single" w:sz="4" w:space="0" w:color="auto"/>
              <w:left w:val="nil"/>
              <w:bottom w:val="single" w:sz="4" w:space="0" w:color="auto"/>
              <w:right w:val="single" w:sz="4" w:space="0" w:color="auto"/>
            </w:tcBorders>
            <w:shd w:val="clear" w:color="auto" w:fill="00B050"/>
            <w:noWrap/>
            <w:vAlign w:val="center"/>
            <w:hideMark/>
          </w:tcPr>
          <w:p w:rsidR="00836278" w:rsidRPr="006C3250" w:rsidRDefault="006C3250" w:rsidP="006C3250">
            <w:pPr>
              <w:jc w:val="right"/>
              <w:rPr>
                <w:rFonts w:ascii="Arial" w:eastAsia="Times New Roman" w:hAnsi="Arial" w:cs="Arial"/>
                <w:color w:val="000000"/>
                <w:sz w:val="22"/>
                <w:szCs w:val="22"/>
                <w:lang w:eastAsia="es-CR"/>
              </w:rPr>
            </w:pPr>
            <w:r w:rsidRPr="006C3250">
              <w:rPr>
                <w:rFonts w:ascii="Arial" w:eastAsia="Times New Roman" w:hAnsi="Arial" w:cs="Arial"/>
                <w:color w:val="000000"/>
                <w:sz w:val="22"/>
                <w:szCs w:val="22"/>
                <w:lang w:eastAsia="es-CR"/>
              </w:rPr>
              <w:t>36.684.378,03</w:t>
            </w:r>
          </w:p>
        </w:tc>
      </w:tr>
    </w:tbl>
    <w:p w:rsidR="008D3A3F" w:rsidRPr="006C3250" w:rsidRDefault="008D3A3F" w:rsidP="002211A0">
      <w:pPr>
        <w:rPr>
          <w:rFonts w:ascii="Arial" w:eastAsia="Times New Roman" w:hAnsi="Arial" w:cs="Arial"/>
          <w:color w:val="000000"/>
          <w:sz w:val="22"/>
          <w:szCs w:val="22"/>
          <w:lang w:eastAsia="es-CR"/>
        </w:rPr>
      </w:pPr>
    </w:p>
    <w:p w:rsidR="002211A0" w:rsidRDefault="002211A0"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A014C6" w:rsidRDefault="00A014C6" w:rsidP="002211A0">
      <w:pPr>
        <w:rPr>
          <w:rFonts w:ascii="Trebuchet MS" w:eastAsia="Times New Roman" w:hAnsi="Trebuchet MS" w:cs="Arial"/>
          <w:b/>
          <w:sz w:val="22"/>
          <w:szCs w:val="22"/>
          <w:lang w:eastAsia="en-US"/>
        </w:rPr>
      </w:pPr>
    </w:p>
    <w:p w:rsidR="006B4A79" w:rsidRPr="0011658E" w:rsidRDefault="006B4A79" w:rsidP="0011658E">
      <w:pPr>
        <w:jc w:val="center"/>
        <w:rPr>
          <w:rFonts w:ascii="Trebuchet MS" w:eastAsia="Times New Roman" w:hAnsi="Trebuchet MS" w:cs="Arial"/>
          <w:b/>
          <w:sz w:val="22"/>
          <w:szCs w:val="22"/>
          <w:lang w:eastAsia="en-US"/>
        </w:rPr>
      </w:pPr>
      <w:r w:rsidRPr="0005071D">
        <w:rPr>
          <w:rFonts w:ascii="Trebuchet MS" w:eastAsia="Times New Roman" w:hAnsi="Trebuchet MS" w:cs="Arial"/>
          <w:b/>
          <w:sz w:val="22"/>
          <w:szCs w:val="22"/>
          <w:lang w:eastAsia="en-US"/>
        </w:rPr>
        <w:t>Estado de Flujo de Efectivo</w:t>
      </w:r>
    </w:p>
    <w:p w:rsidR="006B4A79" w:rsidRDefault="006B4A79" w:rsidP="006B4A79">
      <w:pPr>
        <w:pStyle w:val="Prrafodelista"/>
        <w:ind w:left="1080"/>
        <w:contextualSpacing/>
        <w:jc w:val="center"/>
        <w:rPr>
          <w:rFonts w:ascii="Trebuchet MS" w:hAnsi="Trebuchet MS" w:cs="Arial"/>
          <w:b/>
        </w:rPr>
      </w:pPr>
      <w:r w:rsidRPr="006B4A79">
        <w:rPr>
          <w:rFonts w:ascii="Trebuchet MS" w:hAnsi="Trebuchet MS" w:cs="Arial"/>
          <w:b/>
        </w:rPr>
        <w:t xml:space="preserve">Para el periodo terminado al </w:t>
      </w:r>
      <w:r w:rsidR="002211A0">
        <w:rPr>
          <w:rFonts w:ascii="Trebuchet MS" w:hAnsi="Trebuchet MS" w:cs="Arial"/>
          <w:b/>
        </w:rPr>
        <w:t>3</w:t>
      </w:r>
      <w:r w:rsidR="00F11784">
        <w:rPr>
          <w:rFonts w:ascii="Trebuchet MS" w:hAnsi="Trebuchet MS" w:cs="Arial"/>
          <w:b/>
        </w:rPr>
        <w:t>1</w:t>
      </w:r>
      <w:r w:rsidR="002211A0">
        <w:rPr>
          <w:rFonts w:ascii="Trebuchet MS" w:hAnsi="Trebuchet MS" w:cs="Arial"/>
          <w:b/>
        </w:rPr>
        <w:t xml:space="preserve"> de </w:t>
      </w:r>
      <w:r w:rsidR="00F11784">
        <w:rPr>
          <w:rFonts w:ascii="Trebuchet MS" w:hAnsi="Trebuchet MS" w:cs="Arial"/>
          <w:b/>
        </w:rPr>
        <w:t>diciembre</w:t>
      </w:r>
      <w:r w:rsidR="002211A0">
        <w:rPr>
          <w:rFonts w:ascii="Trebuchet MS" w:hAnsi="Trebuchet MS" w:cs="Arial"/>
          <w:b/>
        </w:rPr>
        <w:t xml:space="preserve"> del 2018 y 2019</w:t>
      </w:r>
    </w:p>
    <w:p w:rsidR="006B4A79" w:rsidRDefault="006B4A79" w:rsidP="006B4A79">
      <w:pPr>
        <w:pStyle w:val="Prrafodelista"/>
        <w:ind w:left="1080"/>
        <w:contextualSpacing/>
        <w:jc w:val="center"/>
        <w:rPr>
          <w:rFonts w:ascii="Trebuchet MS" w:hAnsi="Trebuchet MS" w:cs="Arial"/>
          <w:b/>
        </w:rPr>
      </w:pPr>
      <w:r w:rsidRPr="006B4A79">
        <w:rPr>
          <w:rFonts w:ascii="Trebuchet MS" w:hAnsi="Trebuchet MS" w:cs="Arial"/>
          <w:b/>
        </w:rPr>
        <w:t>(Expresado en colones costarricenses sin decimales)</w:t>
      </w:r>
    </w:p>
    <w:tbl>
      <w:tblPr>
        <w:tblW w:w="0" w:type="auto"/>
        <w:tblInd w:w="57" w:type="dxa"/>
        <w:tblCellMar>
          <w:left w:w="70" w:type="dxa"/>
          <w:right w:w="70" w:type="dxa"/>
        </w:tblCellMar>
        <w:tblLook w:val="04A0" w:firstRow="1" w:lastRow="0" w:firstColumn="1" w:lastColumn="0" w:noHBand="0" w:noVBand="1"/>
      </w:tblPr>
      <w:tblGrid>
        <w:gridCol w:w="4746"/>
        <w:gridCol w:w="452"/>
        <w:gridCol w:w="1743"/>
        <w:gridCol w:w="1308"/>
      </w:tblGrid>
      <w:tr w:rsidR="009264AC" w:rsidRPr="009264AC" w:rsidTr="009264AC">
        <w:trPr>
          <w:trHeight w:val="315"/>
        </w:trPr>
        <w:tc>
          <w:tcPr>
            <w:tcW w:w="0" w:type="auto"/>
            <w:tcBorders>
              <w:top w:val="single" w:sz="8" w:space="0" w:color="auto"/>
              <w:left w:val="single" w:sz="8" w:space="0" w:color="auto"/>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c>
          <w:tcPr>
            <w:tcW w:w="0" w:type="auto"/>
            <w:tcBorders>
              <w:top w:val="single" w:sz="8" w:space="0" w:color="auto"/>
              <w:left w:val="nil"/>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r>
      <w:tr w:rsidR="009264AC" w:rsidRPr="009264AC" w:rsidTr="009264AC">
        <w:trPr>
          <w:trHeight w:val="315"/>
        </w:trPr>
        <w:tc>
          <w:tcPr>
            <w:tcW w:w="0" w:type="auto"/>
            <w:tcBorders>
              <w:top w:val="nil"/>
              <w:left w:val="single" w:sz="8" w:space="0" w:color="auto"/>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Detalle de partidas</w:t>
            </w:r>
          </w:p>
        </w:tc>
        <w:tc>
          <w:tcPr>
            <w:tcW w:w="0" w:type="auto"/>
            <w:tcBorders>
              <w:top w:val="nil"/>
              <w:left w:val="nil"/>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Nota</w:t>
            </w:r>
          </w:p>
        </w:tc>
        <w:tc>
          <w:tcPr>
            <w:tcW w:w="0" w:type="auto"/>
            <w:tcBorders>
              <w:top w:val="nil"/>
              <w:left w:val="nil"/>
              <w:bottom w:val="single" w:sz="8" w:space="0" w:color="auto"/>
              <w:right w:val="single" w:sz="4"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dicembre 2019</w:t>
            </w:r>
          </w:p>
        </w:tc>
        <w:tc>
          <w:tcPr>
            <w:tcW w:w="0" w:type="auto"/>
            <w:tcBorders>
              <w:top w:val="nil"/>
              <w:left w:val="nil"/>
              <w:bottom w:val="single" w:sz="8" w:space="0" w:color="auto"/>
              <w:right w:val="single" w:sz="8" w:space="0" w:color="auto"/>
            </w:tcBorders>
            <w:shd w:val="clear" w:color="000000" w:fill="00B050"/>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diciembre 2018</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Actividades de Operación</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Utilidad o pérdida del periodo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2.327.711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354.589.967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Partidas que no requieren (proveen) efectivo: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auto" w:fill="auto"/>
            <w:noWrap/>
            <w:vAlign w:val="bottom"/>
            <w:hideMark/>
          </w:tcPr>
          <w:p w:rsidR="009264AC" w:rsidRPr="009264AC" w:rsidRDefault="009264AC" w:rsidP="009264AC">
            <w:pPr>
              <w:rPr>
                <w:rFonts w:ascii="Arial" w:eastAsia="Times New Roman" w:hAnsi="Arial" w:cs="Arial"/>
                <w:color w:val="000000"/>
                <w:sz w:val="14"/>
                <w:szCs w:val="14"/>
                <w:lang w:eastAsia="es-CR"/>
              </w:rPr>
            </w:pPr>
          </w:p>
        </w:tc>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Gasto por depreciación</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37.051.808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30.310.915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Estimación por incobrables cartera de crédito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420.308.154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19.972.227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Estimación por deterioro de bienes realizables</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82.787.156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64.608.287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Amortización de Sofware</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10.886.231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3.330.106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Efectivo  provisto por (usado para) cambios en:</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Tesorería Nacional Caja Única del Estado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1.088.928.038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463.756.627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Efectivo restringido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936.263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Otras cuentas por cobrar</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1.124.940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1.384.596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Anticipos a Proveedores</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953.656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992.107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Gastos Judiciales de cartera de crédito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1.402.095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1.075.461 </w:t>
            </w:r>
          </w:p>
        </w:tc>
      </w:tr>
      <w:tr w:rsidR="009264AC" w:rsidRPr="009264AC" w:rsidTr="009264AC">
        <w:trPr>
          <w:trHeight w:val="315"/>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Cuentas por pagar y gastos acumulados</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2.706.939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16.089.511 </w:t>
            </w:r>
          </w:p>
        </w:tc>
      </w:tr>
      <w:tr w:rsidR="009264AC" w:rsidRPr="009264AC" w:rsidTr="009264AC">
        <w:trPr>
          <w:trHeight w:val="315"/>
        </w:trPr>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Efectivo Provisto (utilizado) por las actividades de Operación</w:t>
            </w:r>
          </w:p>
        </w:tc>
        <w:tc>
          <w:tcPr>
            <w:tcW w:w="0" w:type="auto"/>
            <w:tcBorders>
              <w:top w:val="single" w:sz="8" w:space="0" w:color="auto"/>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1.637.415.085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172.037.202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Actividades de Inversión</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Préstamos</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746.721.308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411.082.703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Adiciones de mobiliario y equipo</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96.302.996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60.639.102 </w:t>
            </w:r>
          </w:p>
        </w:tc>
      </w:tr>
      <w:tr w:rsidR="009264AC" w:rsidRPr="009264AC" w:rsidTr="009264AC">
        <w:trPr>
          <w:trHeight w:val="315"/>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(Aumento) disminución de Activo Fijo</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151.288.700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63.358.848 </w:t>
            </w:r>
          </w:p>
        </w:tc>
      </w:tr>
      <w:tr w:rsidR="009264AC" w:rsidRPr="009264AC" w:rsidTr="009264AC">
        <w:trPr>
          <w:trHeight w:val="315"/>
        </w:trPr>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Efectivo utilizado para las actividades de inversión</w:t>
            </w:r>
          </w:p>
        </w:tc>
        <w:tc>
          <w:tcPr>
            <w:tcW w:w="0" w:type="auto"/>
            <w:tcBorders>
              <w:top w:val="nil"/>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994.313.004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535.080.653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Actividades de Financiamiento</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15"/>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Aportes patrimoniales</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198.651.978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359.871.303 </w:t>
            </w:r>
          </w:p>
        </w:tc>
      </w:tr>
      <w:tr w:rsidR="009264AC" w:rsidRPr="009264AC" w:rsidTr="009264AC">
        <w:trPr>
          <w:trHeight w:val="315"/>
        </w:trPr>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Efectivo (usado) provisto por actividades de financiamiento</w:t>
            </w:r>
          </w:p>
        </w:tc>
        <w:tc>
          <w:tcPr>
            <w:tcW w:w="0" w:type="auto"/>
            <w:tcBorders>
              <w:top w:val="single" w:sz="8" w:space="0" w:color="auto"/>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198.651.978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359.871.303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00"/>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Aumento (disminuación) en efectivo y equivalentes de efectivo</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841.754.057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3.172.147 </w:t>
            </w:r>
          </w:p>
        </w:tc>
      </w:tr>
      <w:tr w:rsidR="009264AC" w:rsidRPr="009264AC" w:rsidTr="009264AC">
        <w:trPr>
          <w:trHeight w:val="315"/>
        </w:trPr>
        <w:tc>
          <w:tcPr>
            <w:tcW w:w="0" w:type="auto"/>
            <w:tcBorders>
              <w:top w:val="nil"/>
              <w:left w:val="single" w:sz="8" w:space="0" w:color="auto"/>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Efectivo y equivalente de efectivo al inicio del periodo </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3.337.975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6.510.122 </w:t>
            </w:r>
          </w:p>
        </w:tc>
      </w:tr>
      <w:tr w:rsidR="009264AC" w:rsidRPr="009264AC" w:rsidTr="009264AC">
        <w:trPr>
          <w:trHeight w:val="315"/>
        </w:trPr>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Efectivo y equivalente de efectivo al inicio del periodo </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264AC" w:rsidRPr="009264AC" w:rsidRDefault="009264AC" w:rsidP="009264AC">
            <w:pPr>
              <w:jc w:val="right"/>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4</w:t>
            </w:r>
          </w:p>
        </w:tc>
        <w:tc>
          <w:tcPr>
            <w:tcW w:w="0" w:type="auto"/>
            <w:tcBorders>
              <w:top w:val="nil"/>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845.092.032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 xml:space="preserve">             3.337.975 </w:t>
            </w:r>
          </w:p>
        </w:tc>
      </w:tr>
      <w:tr w:rsidR="009264AC" w:rsidRPr="009264AC" w:rsidTr="009264AC">
        <w:trPr>
          <w:trHeight w:val="300"/>
        </w:trPr>
        <w:tc>
          <w:tcPr>
            <w:tcW w:w="0" w:type="auto"/>
            <w:tcBorders>
              <w:top w:val="nil"/>
              <w:left w:val="single" w:sz="8" w:space="0" w:color="auto"/>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r>
      <w:tr w:rsidR="009264AC" w:rsidRPr="009264AC" w:rsidTr="009264AC">
        <w:trPr>
          <w:trHeight w:val="315"/>
        </w:trPr>
        <w:tc>
          <w:tcPr>
            <w:tcW w:w="0" w:type="auto"/>
            <w:tcBorders>
              <w:top w:val="nil"/>
              <w:left w:val="single" w:sz="8" w:space="0" w:color="auto"/>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b/>
                <w:bCs/>
                <w:color w:val="000000"/>
                <w:sz w:val="14"/>
                <w:szCs w:val="14"/>
                <w:lang w:eastAsia="es-CR"/>
              </w:rPr>
            </w:pPr>
            <w:r w:rsidRPr="009264AC">
              <w:rPr>
                <w:rFonts w:ascii="Arial" w:eastAsia="Times New Roman" w:hAnsi="Arial" w:cs="Arial"/>
                <w:b/>
                <w:bCs/>
                <w:color w:val="000000"/>
                <w:sz w:val="14"/>
                <w:szCs w:val="14"/>
                <w:lang w:eastAsia="es-CR"/>
              </w:rPr>
              <w:t>Las notas adjuntas son parte integral de estos estados finanancieros</w:t>
            </w:r>
          </w:p>
        </w:tc>
        <w:tc>
          <w:tcPr>
            <w:tcW w:w="0" w:type="auto"/>
            <w:tcBorders>
              <w:top w:val="nil"/>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845.092.032 </w:t>
            </w:r>
          </w:p>
        </w:tc>
        <w:tc>
          <w:tcPr>
            <w:tcW w:w="0" w:type="auto"/>
            <w:tcBorders>
              <w:top w:val="nil"/>
              <w:left w:val="nil"/>
              <w:bottom w:val="single" w:sz="8" w:space="0" w:color="auto"/>
              <w:right w:val="single" w:sz="8" w:space="0" w:color="auto"/>
            </w:tcBorders>
            <w:shd w:val="clear" w:color="000000" w:fill="FFFFFF"/>
            <w:noWrap/>
            <w:vAlign w:val="bottom"/>
            <w:hideMark/>
          </w:tcPr>
          <w:p w:rsidR="009264AC" w:rsidRPr="009264AC" w:rsidRDefault="009264AC" w:rsidP="009264AC">
            <w:pPr>
              <w:rPr>
                <w:rFonts w:ascii="Arial" w:eastAsia="Times New Roman" w:hAnsi="Arial" w:cs="Arial"/>
                <w:color w:val="000000"/>
                <w:sz w:val="14"/>
                <w:szCs w:val="14"/>
                <w:lang w:eastAsia="es-CR"/>
              </w:rPr>
            </w:pPr>
            <w:r w:rsidRPr="009264AC">
              <w:rPr>
                <w:rFonts w:ascii="Arial" w:eastAsia="Times New Roman" w:hAnsi="Arial" w:cs="Arial"/>
                <w:color w:val="000000"/>
                <w:sz w:val="14"/>
                <w:szCs w:val="14"/>
                <w:lang w:eastAsia="es-CR"/>
              </w:rPr>
              <w:t xml:space="preserve">             3.337.975 </w:t>
            </w:r>
          </w:p>
        </w:tc>
      </w:tr>
    </w:tbl>
    <w:p w:rsidR="00875B4D" w:rsidRDefault="00875B4D">
      <w:r>
        <w:br w:type="page"/>
      </w:r>
    </w:p>
    <w:p w:rsidR="006B4A79" w:rsidRDefault="006B4A79" w:rsidP="006B4A79">
      <w:pPr>
        <w:contextualSpacing/>
        <w:jc w:val="both"/>
        <w:rPr>
          <w:rFonts w:ascii="Trebuchet MS" w:hAnsi="Trebuchet MS" w:cs="Arial"/>
          <w:b/>
        </w:rPr>
      </w:pPr>
    </w:p>
    <w:p w:rsidR="006B4A79" w:rsidRPr="006B4A79" w:rsidRDefault="006B4A79" w:rsidP="00FD75A0">
      <w:pPr>
        <w:contextualSpacing/>
        <w:jc w:val="center"/>
        <w:rPr>
          <w:rFonts w:ascii="Arial" w:eastAsia="Times New Roman" w:hAnsi="Arial" w:cs="Arial"/>
          <w:b/>
          <w:sz w:val="22"/>
          <w:szCs w:val="22"/>
          <w:lang w:eastAsia="en-US"/>
        </w:rPr>
      </w:pPr>
      <w:r w:rsidRPr="006B4A79">
        <w:rPr>
          <w:rFonts w:ascii="Arial" w:eastAsia="Times New Roman" w:hAnsi="Arial" w:cs="Arial"/>
          <w:b/>
          <w:sz w:val="22"/>
          <w:szCs w:val="22"/>
          <w:lang w:eastAsia="en-US"/>
        </w:rPr>
        <w:t>Estado de Cambio en el Patrimonio-Consolidado</w:t>
      </w:r>
    </w:p>
    <w:p w:rsidR="006B4A79" w:rsidRPr="006B4A79" w:rsidRDefault="006B4A79" w:rsidP="00FD75A0">
      <w:pPr>
        <w:contextualSpacing/>
        <w:jc w:val="center"/>
        <w:rPr>
          <w:rFonts w:ascii="Arial" w:eastAsia="Times New Roman" w:hAnsi="Arial" w:cs="Arial"/>
          <w:b/>
          <w:sz w:val="22"/>
          <w:szCs w:val="22"/>
          <w:lang w:eastAsia="en-US"/>
        </w:rPr>
      </w:pPr>
      <w:r w:rsidRPr="006B4A79">
        <w:rPr>
          <w:rFonts w:ascii="Arial" w:eastAsia="Times New Roman" w:hAnsi="Arial" w:cs="Arial"/>
          <w:b/>
          <w:sz w:val="22"/>
          <w:szCs w:val="22"/>
          <w:lang w:eastAsia="en-US"/>
        </w:rPr>
        <w:t>Fideicomiso 544 FONAFIFO - BNCR</w:t>
      </w:r>
    </w:p>
    <w:p w:rsidR="006B4A79" w:rsidRPr="006B4A79" w:rsidRDefault="006B4A79" w:rsidP="00FD75A0">
      <w:pPr>
        <w:contextualSpacing/>
        <w:jc w:val="center"/>
        <w:rPr>
          <w:rFonts w:ascii="Arial" w:hAnsi="Arial" w:cs="Arial"/>
          <w:b/>
          <w:sz w:val="22"/>
          <w:szCs w:val="22"/>
        </w:rPr>
      </w:pPr>
      <w:r w:rsidRPr="006B4A79">
        <w:rPr>
          <w:rFonts w:ascii="Arial" w:hAnsi="Arial" w:cs="Arial"/>
          <w:b/>
          <w:sz w:val="22"/>
          <w:szCs w:val="22"/>
        </w:rPr>
        <w:t xml:space="preserve">Al </w:t>
      </w:r>
      <w:r w:rsidR="009373BC">
        <w:rPr>
          <w:rFonts w:ascii="Arial" w:hAnsi="Arial" w:cs="Arial"/>
          <w:b/>
          <w:sz w:val="22"/>
          <w:szCs w:val="22"/>
        </w:rPr>
        <w:t>3</w:t>
      </w:r>
      <w:r w:rsidR="001A01D8">
        <w:rPr>
          <w:rFonts w:ascii="Arial" w:hAnsi="Arial" w:cs="Arial"/>
          <w:b/>
          <w:sz w:val="22"/>
          <w:szCs w:val="22"/>
        </w:rPr>
        <w:t>1</w:t>
      </w:r>
      <w:r w:rsidR="009373BC">
        <w:rPr>
          <w:rFonts w:ascii="Arial" w:hAnsi="Arial" w:cs="Arial"/>
          <w:b/>
          <w:sz w:val="22"/>
          <w:szCs w:val="22"/>
        </w:rPr>
        <w:t xml:space="preserve"> de </w:t>
      </w:r>
      <w:r w:rsidR="001A01D8">
        <w:rPr>
          <w:rFonts w:ascii="Arial" w:hAnsi="Arial" w:cs="Arial"/>
          <w:b/>
          <w:sz w:val="22"/>
          <w:szCs w:val="22"/>
        </w:rPr>
        <w:t>diciembre</w:t>
      </w:r>
      <w:r w:rsidR="009373BC">
        <w:rPr>
          <w:rFonts w:ascii="Arial" w:hAnsi="Arial" w:cs="Arial"/>
          <w:b/>
          <w:sz w:val="22"/>
          <w:szCs w:val="22"/>
        </w:rPr>
        <w:t xml:space="preserve"> del 2018 y 2019</w:t>
      </w:r>
    </w:p>
    <w:p w:rsidR="006B4A79" w:rsidRPr="006B4A79" w:rsidRDefault="006B4A79" w:rsidP="00FD75A0">
      <w:pPr>
        <w:contextualSpacing/>
        <w:jc w:val="center"/>
        <w:rPr>
          <w:rFonts w:ascii="Arial" w:hAnsi="Arial" w:cs="Arial"/>
          <w:b/>
          <w:sz w:val="22"/>
          <w:szCs w:val="22"/>
        </w:rPr>
      </w:pPr>
      <w:r w:rsidRPr="006B4A79">
        <w:rPr>
          <w:rFonts w:ascii="Arial" w:hAnsi="Arial" w:cs="Arial"/>
          <w:b/>
          <w:sz w:val="22"/>
          <w:szCs w:val="22"/>
        </w:rPr>
        <w:t>Cifras en colones con dos decimales</w:t>
      </w:r>
    </w:p>
    <w:p w:rsidR="00E47BE0" w:rsidRPr="00767C7C" w:rsidRDefault="00E47BE0" w:rsidP="00B560B7">
      <w:pPr>
        <w:contextualSpacing/>
        <w:jc w:val="both"/>
        <w:rPr>
          <w:rFonts w:ascii="Trebuchet MS" w:hAnsi="Trebuchet MS" w:cs="Arial"/>
          <w:b/>
        </w:rPr>
      </w:pPr>
    </w:p>
    <w:tbl>
      <w:tblPr>
        <w:tblW w:w="9441" w:type="dxa"/>
        <w:tblInd w:w="57" w:type="dxa"/>
        <w:tblCellMar>
          <w:left w:w="70" w:type="dxa"/>
          <w:right w:w="70" w:type="dxa"/>
        </w:tblCellMar>
        <w:tblLook w:val="04A0" w:firstRow="1" w:lastRow="0" w:firstColumn="1" w:lastColumn="0" w:noHBand="0" w:noVBand="1"/>
      </w:tblPr>
      <w:tblGrid>
        <w:gridCol w:w="2295"/>
        <w:gridCol w:w="341"/>
        <w:gridCol w:w="2327"/>
        <w:gridCol w:w="1564"/>
        <w:gridCol w:w="1672"/>
        <w:gridCol w:w="1242"/>
      </w:tblGrid>
      <w:tr w:rsidR="00FF7D2B" w:rsidRPr="002161B2" w:rsidTr="002161B2">
        <w:trPr>
          <w:trHeight w:val="517"/>
        </w:trPr>
        <w:tc>
          <w:tcPr>
            <w:tcW w:w="0" w:type="auto"/>
            <w:tcBorders>
              <w:top w:val="single" w:sz="8" w:space="0" w:color="auto"/>
              <w:left w:val="single" w:sz="8" w:space="0" w:color="auto"/>
              <w:bottom w:val="single" w:sz="8" w:space="0" w:color="auto"/>
              <w:right w:val="nil"/>
            </w:tcBorders>
            <w:shd w:val="clear" w:color="000000" w:fill="00B050"/>
            <w:noWrap/>
            <w:vAlign w:val="center"/>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Detalle de las cuentas patrimoniales</w:t>
            </w:r>
          </w:p>
        </w:tc>
        <w:tc>
          <w:tcPr>
            <w:tcW w:w="0" w:type="auto"/>
            <w:tcBorders>
              <w:top w:val="single" w:sz="8" w:space="0" w:color="auto"/>
              <w:left w:val="nil"/>
              <w:bottom w:val="single" w:sz="8" w:space="0" w:color="auto"/>
              <w:right w:val="nil"/>
            </w:tcBorders>
            <w:shd w:val="clear" w:color="000000" w:fill="00B050"/>
            <w:noWrap/>
            <w:vAlign w:val="center"/>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Ref</w:t>
            </w:r>
          </w:p>
        </w:tc>
        <w:tc>
          <w:tcPr>
            <w:tcW w:w="0" w:type="auto"/>
            <w:tcBorders>
              <w:top w:val="single" w:sz="8" w:space="0" w:color="auto"/>
              <w:left w:val="nil"/>
              <w:bottom w:val="single" w:sz="8" w:space="0" w:color="auto"/>
              <w:right w:val="nil"/>
            </w:tcBorders>
            <w:shd w:val="clear" w:color="000000" w:fill="00B050"/>
            <w:noWrap/>
            <w:vAlign w:val="center"/>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Aportaciones de Fideicomitentes</w:t>
            </w:r>
          </w:p>
        </w:tc>
        <w:tc>
          <w:tcPr>
            <w:tcW w:w="0" w:type="auto"/>
            <w:tcBorders>
              <w:top w:val="single" w:sz="8" w:space="0" w:color="auto"/>
              <w:left w:val="nil"/>
              <w:bottom w:val="single" w:sz="8" w:space="0" w:color="auto"/>
              <w:right w:val="nil"/>
            </w:tcBorders>
            <w:shd w:val="clear" w:color="000000" w:fill="00B050"/>
            <w:vAlign w:val="center"/>
            <w:hideMark/>
          </w:tcPr>
          <w:p w:rsidR="00FF7D2B" w:rsidRPr="002161B2" w:rsidRDefault="00FF7D2B" w:rsidP="00FF7D2B">
            <w:pPr>
              <w:jc w:val="cente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Excedentes acumulados</w:t>
            </w:r>
          </w:p>
        </w:tc>
        <w:tc>
          <w:tcPr>
            <w:tcW w:w="0" w:type="auto"/>
            <w:tcBorders>
              <w:top w:val="single" w:sz="8" w:space="0" w:color="auto"/>
              <w:left w:val="nil"/>
              <w:bottom w:val="single" w:sz="8" w:space="0" w:color="auto"/>
              <w:right w:val="nil"/>
            </w:tcBorders>
            <w:shd w:val="clear" w:color="000000" w:fill="00B050"/>
            <w:vAlign w:val="center"/>
            <w:hideMark/>
          </w:tcPr>
          <w:p w:rsidR="00FF7D2B" w:rsidRPr="002161B2" w:rsidRDefault="00FF7D2B" w:rsidP="00FF7D2B">
            <w:pPr>
              <w:jc w:val="cente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Superávit por revaluación</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Total patrimonio</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Saldo al 31 de diciembre del 2014</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4.485.477.830,57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2.184.077.267,64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131.367.000,00 </w:t>
            </w:r>
          </w:p>
        </w:tc>
        <w:tc>
          <w:tcPr>
            <w:tcW w:w="0" w:type="auto"/>
            <w:tcBorders>
              <w:top w:val="nil"/>
              <w:left w:val="nil"/>
              <w:bottom w:val="single" w:sz="8" w:space="0" w:color="auto"/>
              <w:right w:val="single" w:sz="8" w:space="0" w:color="auto"/>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₡6.800.922.098,21</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Liquidación Fondos 544-005</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128.196.284,63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61.504.891,14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-₡189.701.175,77</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recibidos, netos</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185.680.000,00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₡185.680.000,00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Utilidad o pérdida del periodo 2015</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794.421.163,82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-₡794.421.163,82</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Ajustes a periodos anteriores</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₡0,00</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Saldo al 31 de diciembre del 2015</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4.542.961.545,94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1.328.151.212,67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131.367.000,00 </w:t>
            </w:r>
          </w:p>
        </w:tc>
        <w:tc>
          <w:tcPr>
            <w:tcW w:w="0" w:type="auto"/>
            <w:tcBorders>
              <w:top w:val="nil"/>
              <w:left w:val="nil"/>
              <w:bottom w:val="single" w:sz="8" w:space="0" w:color="auto"/>
              <w:right w:val="single" w:sz="8" w:space="0" w:color="auto"/>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₡6.002.479.758,61</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193.120.000,00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₡193.120.000,00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especies</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4.065.790,00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₡4.065.790,00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Retiro de aportaciones en efectivo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500.000.000,00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-₡500.000.000,00</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Utilidad o pérdida del periodo 2016</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525.720.560,26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single" w:sz="8" w:space="0" w:color="auto"/>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-₡525.720.560,26</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Saldo al 31 de Diciembre del 2016</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18</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4.240.147.335,94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802.430.652,41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131.367.000,00 </w:t>
            </w:r>
          </w:p>
        </w:tc>
        <w:tc>
          <w:tcPr>
            <w:tcW w:w="0" w:type="auto"/>
            <w:tcBorders>
              <w:top w:val="nil"/>
              <w:left w:val="nil"/>
              <w:bottom w:val="single" w:sz="8" w:space="0" w:color="auto"/>
              <w:right w:val="single" w:sz="8" w:space="0" w:color="auto"/>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₡5.173.944.988,35</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281.716.533,53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₡281.716.533,53</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Aportes en especies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₡0,00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Retiro de aportaciones en efectivo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53.929.389,65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91.070.610,35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-₡145.000.000,00</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Utilidad o pérdida del periodo 2017</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607.300.870,88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single" w:sz="8" w:space="0" w:color="auto"/>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-₡607.300.870,88</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Saldo al 31 de diciembre del 2017</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18</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4.467.934.479,82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104.059.171,18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131.367.000,00 </w:t>
            </w:r>
          </w:p>
        </w:tc>
        <w:tc>
          <w:tcPr>
            <w:tcW w:w="0" w:type="auto"/>
            <w:tcBorders>
              <w:top w:val="nil"/>
              <w:left w:val="nil"/>
              <w:bottom w:val="single" w:sz="8" w:space="0" w:color="auto"/>
              <w:right w:val="single" w:sz="8" w:space="0" w:color="auto"/>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₡4.703.360.651,00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359.871.302,90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₡359.871.302,90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especies</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₡0,00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Retiro de aportaciones en efctivo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₡0,00</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Utilidad o pérdida del periodo 2018</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354.589.966,60 </w:t>
            </w:r>
          </w:p>
        </w:tc>
        <w:tc>
          <w:tcPr>
            <w:tcW w:w="0" w:type="auto"/>
            <w:tcBorders>
              <w:top w:val="nil"/>
              <w:left w:val="nil"/>
              <w:bottom w:val="single" w:sz="8" w:space="0" w:color="auto"/>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₡354.589.966,60</w:t>
            </w:r>
          </w:p>
        </w:tc>
      </w:tr>
      <w:tr w:rsidR="00FF7D2B" w:rsidRPr="002161B2" w:rsidTr="002161B2">
        <w:trPr>
          <w:trHeight w:val="258"/>
        </w:trPr>
        <w:tc>
          <w:tcPr>
            <w:tcW w:w="0" w:type="auto"/>
            <w:tcBorders>
              <w:top w:val="nil"/>
              <w:left w:val="single" w:sz="8" w:space="0" w:color="auto"/>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Saldo al 31 de diciembre del 2018</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18</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4.827.805.782,72 </w:t>
            </w:r>
          </w:p>
        </w:tc>
        <w:tc>
          <w:tcPr>
            <w:tcW w:w="0" w:type="auto"/>
            <w:tcBorders>
              <w:top w:val="single" w:sz="8" w:space="0" w:color="auto"/>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458.649.137,78 </w:t>
            </w:r>
          </w:p>
        </w:tc>
        <w:tc>
          <w:tcPr>
            <w:tcW w:w="0" w:type="auto"/>
            <w:tcBorders>
              <w:top w:val="nil"/>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131.367.000,00 </w:t>
            </w:r>
          </w:p>
        </w:tc>
        <w:tc>
          <w:tcPr>
            <w:tcW w:w="0" w:type="auto"/>
            <w:tcBorders>
              <w:top w:val="nil"/>
              <w:left w:val="nil"/>
              <w:bottom w:val="single" w:sz="8" w:space="0" w:color="auto"/>
              <w:right w:val="single" w:sz="8" w:space="0" w:color="auto"/>
            </w:tcBorders>
            <w:shd w:val="clear" w:color="000000" w:fill="00B050"/>
            <w:noWrap/>
            <w:vAlign w:val="bottom"/>
            <w:hideMark/>
          </w:tcPr>
          <w:p w:rsidR="00FF7D2B" w:rsidRPr="002161B2" w:rsidRDefault="00FF7D2B" w:rsidP="0023546C">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w:t>
            </w:r>
            <w:r w:rsidR="0023546C" w:rsidRPr="002161B2">
              <w:rPr>
                <w:rFonts w:ascii="Calibri" w:eastAsia="Times New Roman" w:hAnsi="Calibri"/>
                <w:b/>
                <w:bCs/>
                <w:color w:val="000000"/>
                <w:sz w:val="14"/>
                <w:szCs w:val="14"/>
                <w:lang w:eastAsia="es-CR"/>
              </w:rPr>
              <w:t>4.708.641.987,30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efectivo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198.651.977,50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₡198.651.977,50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Aportes en especies</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₡0,00</w:t>
            </w:r>
          </w:p>
        </w:tc>
      </w:tr>
      <w:tr w:rsidR="00FF7D2B" w:rsidRPr="002161B2" w:rsidTr="002161B2">
        <w:trPr>
          <w:trHeight w:val="245"/>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Retiro de aportaciones en efctivo</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₡0,00</w:t>
            </w:r>
          </w:p>
        </w:tc>
      </w:tr>
      <w:tr w:rsidR="00FF7D2B" w:rsidRPr="002161B2" w:rsidTr="002161B2">
        <w:trPr>
          <w:trHeight w:val="258"/>
        </w:trPr>
        <w:tc>
          <w:tcPr>
            <w:tcW w:w="0" w:type="auto"/>
            <w:tcBorders>
              <w:top w:val="nil"/>
              <w:left w:val="single" w:sz="8" w:space="0" w:color="auto"/>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Utilidad o pérdida del periodo 2018</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xml:space="preserve">           2.327.711,05 </w:t>
            </w:r>
          </w:p>
        </w:tc>
        <w:tc>
          <w:tcPr>
            <w:tcW w:w="0" w:type="auto"/>
            <w:tcBorders>
              <w:top w:val="nil"/>
              <w:left w:val="nil"/>
              <w:bottom w:val="nil"/>
              <w:right w:val="nil"/>
            </w:tcBorders>
            <w:shd w:val="clear" w:color="000000" w:fill="FFFFFF"/>
            <w:noWrap/>
            <w:vAlign w:val="bottom"/>
            <w:hideMark/>
          </w:tcPr>
          <w:p w:rsidR="00FF7D2B" w:rsidRPr="002161B2" w:rsidRDefault="00FF7D2B" w:rsidP="00FF7D2B">
            <w:pPr>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FF7D2B" w:rsidRPr="002161B2" w:rsidRDefault="00FF7D2B" w:rsidP="00FF7D2B">
            <w:pPr>
              <w:jc w:val="right"/>
              <w:rPr>
                <w:rFonts w:ascii="Calibri" w:eastAsia="Times New Roman" w:hAnsi="Calibri"/>
                <w:color w:val="000000"/>
                <w:sz w:val="14"/>
                <w:szCs w:val="14"/>
                <w:lang w:eastAsia="es-CR"/>
              </w:rPr>
            </w:pPr>
            <w:r w:rsidRPr="002161B2">
              <w:rPr>
                <w:rFonts w:ascii="Calibri" w:eastAsia="Times New Roman" w:hAnsi="Calibri"/>
                <w:color w:val="000000"/>
                <w:sz w:val="14"/>
                <w:szCs w:val="14"/>
                <w:lang w:eastAsia="es-CR"/>
              </w:rPr>
              <w:t>₡2.327.711,05</w:t>
            </w:r>
          </w:p>
        </w:tc>
      </w:tr>
      <w:tr w:rsidR="00FF7D2B" w:rsidRPr="002161B2" w:rsidTr="002161B2">
        <w:trPr>
          <w:trHeight w:val="258"/>
        </w:trPr>
        <w:tc>
          <w:tcPr>
            <w:tcW w:w="0" w:type="auto"/>
            <w:tcBorders>
              <w:top w:val="single" w:sz="8" w:space="0" w:color="auto"/>
              <w:left w:val="single" w:sz="8" w:space="0" w:color="auto"/>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Saldo al 31 de diiembre del 2018</w:t>
            </w:r>
          </w:p>
        </w:tc>
        <w:tc>
          <w:tcPr>
            <w:tcW w:w="0" w:type="auto"/>
            <w:tcBorders>
              <w:top w:val="single" w:sz="8" w:space="0" w:color="auto"/>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5.026.457.760,22 </w:t>
            </w:r>
          </w:p>
        </w:tc>
        <w:tc>
          <w:tcPr>
            <w:tcW w:w="0" w:type="auto"/>
            <w:tcBorders>
              <w:top w:val="single" w:sz="8" w:space="0" w:color="auto"/>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460.976.848,83 </w:t>
            </w:r>
          </w:p>
        </w:tc>
        <w:tc>
          <w:tcPr>
            <w:tcW w:w="0" w:type="auto"/>
            <w:tcBorders>
              <w:top w:val="single" w:sz="8" w:space="0" w:color="auto"/>
              <w:left w:val="nil"/>
              <w:bottom w:val="single" w:sz="8" w:space="0" w:color="auto"/>
              <w:right w:val="nil"/>
            </w:tcBorders>
            <w:shd w:val="clear" w:color="000000" w:fill="00B050"/>
            <w:noWrap/>
            <w:vAlign w:val="bottom"/>
            <w:hideMark/>
          </w:tcPr>
          <w:p w:rsidR="00FF7D2B" w:rsidRPr="002161B2" w:rsidRDefault="00FF7D2B" w:rsidP="00FF7D2B">
            <w:pPr>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 xml:space="preserve">   131.367.000,00 </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FF7D2B" w:rsidRPr="002161B2" w:rsidRDefault="00FF7D2B" w:rsidP="0023546C">
            <w:pPr>
              <w:jc w:val="right"/>
              <w:rPr>
                <w:rFonts w:ascii="Calibri" w:eastAsia="Times New Roman" w:hAnsi="Calibri"/>
                <w:b/>
                <w:bCs/>
                <w:color w:val="000000"/>
                <w:sz w:val="14"/>
                <w:szCs w:val="14"/>
                <w:lang w:eastAsia="es-CR"/>
              </w:rPr>
            </w:pPr>
            <w:r w:rsidRPr="002161B2">
              <w:rPr>
                <w:rFonts w:ascii="Calibri" w:eastAsia="Times New Roman" w:hAnsi="Calibri"/>
                <w:b/>
                <w:bCs/>
                <w:color w:val="000000"/>
                <w:sz w:val="14"/>
                <w:szCs w:val="14"/>
                <w:lang w:eastAsia="es-CR"/>
              </w:rPr>
              <w:t>₡</w:t>
            </w:r>
            <w:r w:rsidR="0023546C" w:rsidRPr="002161B2">
              <w:rPr>
                <w:rFonts w:ascii="Calibri" w:eastAsia="Times New Roman" w:hAnsi="Calibri"/>
                <w:b/>
                <w:bCs/>
                <w:color w:val="000000"/>
                <w:sz w:val="14"/>
                <w:szCs w:val="14"/>
                <w:lang w:eastAsia="es-CR"/>
              </w:rPr>
              <w:t>4.909.621.675,85</w:t>
            </w:r>
          </w:p>
        </w:tc>
      </w:tr>
    </w:tbl>
    <w:p w:rsidR="009373BC" w:rsidRPr="00767C7C" w:rsidRDefault="009373BC" w:rsidP="00B560B7">
      <w:pPr>
        <w:contextualSpacing/>
        <w:jc w:val="both"/>
        <w:rPr>
          <w:rFonts w:ascii="Trebuchet MS" w:hAnsi="Trebuchet MS" w:cs="Arial"/>
          <w:b/>
        </w:rPr>
      </w:pPr>
    </w:p>
    <w:p w:rsidR="00D10AFA" w:rsidRDefault="00D10AFA" w:rsidP="00B560B7">
      <w:pPr>
        <w:contextualSpacing/>
        <w:jc w:val="both"/>
        <w:rPr>
          <w:rFonts w:ascii="Trebuchet MS" w:hAnsi="Trebuchet MS" w:cs="Arial"/>
          <w:b/>
        </w:rPr>
      </w:pPr>
    </w:p>
    <w:p w:rsidR="002161B2" w:rsidRDefault="002161B2" w:rsidP="00B560B7">
      <w:pPr>
        <w:contextualSpacing/>
        <w:jc w:val="both"/>
        <w:rPr>
          <w:rFonts w:ascii="Trebuchet MS" w:hAnsi="Trebuchet MS" w:cs="Arial"/>
          <w:b/>
        </w:rPr>
      </w:pPr>
    </w:p>
    <w:p w:rsidR="002161B2" w:rsidRDefault="002161B2" w:rsidP="00B560B7">
      <w:pPr>
        <w:contextualSpacing/>
        <w:jc w:val="both"/>
        <w:rPr>
          <w:rFonts w:ascii="Trebuchet MS" w:hAnsi="Trebuchet MS" w:cs="Arial"/>
          <w:b/>
        </w:rPr>
      </w:pPr>
    </w:p>
    <w:p w:rsidR="002161B2" w:rsidRDefault="002161B2" w:rsidP="00B560B7">
      <w:pPr>
        <w:contextualSpacing/>
        <w:jc w:val="both"/>
        <w:rPr>
          <w:rFonts w:ascii="Trebuchet MS" w:hAnsi="Trebuchet MS" w:cs="Arial"/>
          <w:b/>
        </w:rPr>
      </w:pPr>
    </w:p>
    <w:p w:rsidR="00FF7D2B" w:rsidRDefault="00FF7D2B" w:rsidP="00B560B7">
      <w:pPr>
        <w:contextualSpacing/>
        <w:jc w:val="both"/>
        <w:rPr>
          <w:rFonts w:ascii="Trebuchet MS" w:hAnsi="Trebuchet MS" w:cs="Arial"/>
          <w:b/>
        </w:rPr>
      </w:pPr>
    </w:p>
    <w:p w:rsidR="00FF7D2B" w:rsidRPr="00767C7C" w:rsidRDefault="00FF7D2B" w:rsidP="00B560B7">
      <w:pPr>
        <w:contextualSpacing/>
        <w:jc w:val="both"/>
        <w:rPr>
          <w:rFonts w:ascii="Trebuchet MS" w:hAnsi="Trebuchet MS" w:cs="Arial"/>
          <w:b/>
        </w:rPr>
      </w:pPr>
    </w:p>
    <w:p w:rsidR="00D10AFA" w:rsidRPr="00767C7C" w:rsidRDefault="00D10AFA" w:rsidP="00B560B7">
      <w:pPr>
        <w:contextualSpacing/>
        <w:jc w:val="both"/>
        <w:rPr>
          <w:rFonts w:ascii="Trebuchet MS" w:hAnsi="Trebuchet MS" w:cs="Arial"/>
          <w:b/>
        </w:rPr>
      </w:pPr>
    </w:p>
    <w:p w:rsidR="00842670" w:rsidRDefault="00842670" w:rsidP="00B560B7">
      <w:pPr>
        <w:contextualSpacing/>
        <w:jc w:val="both"/>
        <w:rPr>
          <w:rFonts w:ascii="Trebuchet MS" w:hAnsi="Trebuchet MS" w:cs="Arial"/>
          <w:b/>
        </w:rPr>
      </w:pPr>
    </w:p>
    <w:p w:rsidR="005876CE" w:rsidRPr="002161B2" w:rsidRDefault="00353A87" w:rsidP="005876CE">
      <w:pPr>
        <w:pStyle w:val="Prrafodelista"/>
        <w:numPr>
          <w:ilvl w:val="1"/>
          <w:numId w:val="39"/>
        </w:numPr>
        <w:spacing w:after="0" w:line="240" w:lineRule="auto"/>
        <w:ind w:left="360" w:right="1372"/>
        <w:contextualSpacing/>
        <w:jc w:val="both"/>
        <w:outlineLvl w:val="1"/>
        <w:rPr>
          <w:rFonts w:ascii="Arial" w:eastAsia="SimSun" w:hAnsi="Arial" w:cs="Arial"/>
          <w:b/>
          <w:lang w:val="es-ES_tradnl" w:eastAsia="es-ES"/>
        </w:rPr>
      </w:pPr>
      <w:bookmarkStart w:id="13" w:name="_Toc32593425"/>
      <w:r w:rsidRPr="002161B2">
        <w:rPr>
          <w:rFonts w:ascii="Arial" w:eastAsia="SimSun" w:hAnsi="Arial" w:cs="Arial"/>
          <w:b/>
          <w:lang w:eastAsia="es-ES"/>
        </w:rPr>
        <w:lastRenderedPageBreak/>
        <w:t>Análisis Horizontal</w:t>
      </w:r>
      <w:bookmarkEnd w:id="13"/>
      <w:r w:rsidRPr="002161B2">
        <w:rPr>
          <w:rFonts w:ascii="Arial" w:eastAsia="SimSun" w:hAnsi="Arial" w:cs="Arial"/>
          <w:b/>
          <w:lang w:eastAsia="es-ES"/>
        </w:rPr>
        <w:t xml:space="preserve"> </w:t>
      </w:r>
    </w:p>
    <w:p w:rsidR="006B4A79" w:rsidRPr="00015A4E" w:rsidRDefault="006B4A79" w:rsidP="006B4A79">
      <w:pPr>
        <w:pStyle w:val="Prrafodelista"/>
        <w:ind w:left="1080"/>
        <w:contextualSpacing/>
        <w:jc w:val="center"/>
        <w:rPr>
          <w:rFonts w:ascii="Arial" w:hAnsi="Arial" w:cs="Arial"/>
          <w:b/>
        </w:rPr>
      </w:pPr>
      <w:r w:rsidRPr="00015A4E">
        <w:rPr>
          <w:rFonts w:ascii="Arial" w:hAnsi="Arial" w:cs="Arial"/>
          <w:b/>
        </w:rPr>
        <w:t xml:space="preserve">Estado de </w:t>
      </w:r>
      <w:r>
        <w:rPr>
          <w:rFonts w:ascii="Arial" w:hAnsi="Arial" w:cs="Arial"/>
          <w:b/>
        </w:rPr>
        <w:t>Situación Financiera C</w:t>
      </w:r>
      <w:r w:rsidRPr="00015A4E">
        <w:rPr>
          <w:rFonts w:ascii="Arial" w:hAnsi="Arial" w:cs="Arial"/>
          <w:b/>
        </w:rPr>
        <w:t>onsolidado</w:t>
      </w:r>
    </w:p>
    <w:p w:rsidR="006B4A79" w:rsidRPr="00015A4E" w:rsidRDefault="006B4A79" w:rsidP="006B4A79">
      <w:pPr>
        <w:pStyle w:val="Prrafodelista"/>
        <w:ind w:left="1080"/>
        <w:contextualSpacing/>
        <w:jc w:val="center"/>
        <w:rPr>
          <w:rFonts w:ascii="Arial" w:hAnsi="Arial" w:cs="Arial"/>
          <w:b/>
        </w:rPr>
      </w:pPr>
      <w:r w:rsidRPr="00015A4E">
        <w:rPr>
          <w:rFonts w:ascii="Arial" w:hAnsi="Arial" w:cs="Arial"/>
          <w:b/>
        </w:rPr>
        <w:t>Fideicomiso 544 FONAFIFO CONSOLIDADO – BNCR</w:t>
      </w:r>
    </w:p>
    <w:p w:rsidR="006B4A79" w:rsidRPr="00015A4E" w:rsidRDefault="006B4A79" w:rsidP="006B4A79">
      <w:pPr>
        <w:pStyle w:val="Prrafodelista"/>
        <w:ind w:left="1080"/>
        <w:contextualSpacing/>
        <w:jc w:val="center"/>
        <w:rPr>
          <w:rFonts w:ascii="Arial" w:hAnsi="Arial" w:cs="Arial"/>
          <w:b/>
        </w:rPr>
      </w:pPr>
      <w:r w:rsidRPr="00015A4E">
        <w:rPr>
          <w:rFonts w:ascii="Arial" w:hAnsi="Arial" w:cs="Arial"/>
          <w:b/>
        </w:rPr>
        <w:t xml:space="preserve">Al </w:t>
      </w:r>
      <w:r w:rsidR="00842670">
        <w:rPr>
          <w:rFonts w:ascii="Arial" w:hAnsi="Arial" w:cs="Arial"/>
          <w:b/>
        </w:rPr>
        <w:t>3</w:t>
      </w:r>
      <w:r w:rsidR="00884964">
        <w:rPr>
          <w:rFonts w:ascii="Arial" w:hAnsi="Arial" w:cs="Arial"/>
          <w:b/>
        </w:rPr>
        <w:t>1</w:t>
      </w:r>
      <w:r w:rsidR="00842670">
        <w:rPr>
          <w:rFonts w:ascii="Arial" w:hAnsi="Arial" w:cs="Arial"/>
          <w:b/>
        </w:rPr>
        <w:t xml:space="preserve"> de </w:t>
      </w:r>
      <w:r w:rsidR="00884964">
        <w:rPr>
          <w:rFonts w:ascii="Arial" w:hAnsi="Arial" w:cs="Arial"/>
          <w:b/>
        </w:rPr>
        <w:t>diciembre</w:t>
      </w:r>
      <w:r w:rsidR="00842670">
        <w:rPr>
          <w:rFonts w:ascii="Arial" w:hAnsi="Arial" w:cs="Arial"/>
          <w:b/>
        </w:rPr>
        <w:t xml:space="preserve"> del 2018 y 2019</w:t>
      </w:r>
    </w:p>
    <w:p w:rsidR="00A863BD" w:rsidRDefault="006B4A79" w:rsidP="005876CE">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10603" w:type="dxa"/>
        <w:tblInd w:w="-356" w:type="dxa"/>
        <w:tblCellMar>
          <w:left w:w="70" w:type="dxa"/>
          <w:right w:w="70" w:type="dxa"/>
        </w:tblCellMar>
        <w:tblLook w:val="04A0" w:firstRow="1" w:lastRow="0" w:firstColumn="1" w:lastColumn="0" w:noHBand="0" w:noVBand="1"/>
      </w:tblPr>
      <w:tblGrid>
        <w:gridCol w:w="2705"/>
        <w:gridCol w:w="452"/>
        <w:gridCol w:w="1598"/>
        <w:gridCol w:w="1899"/>
        <w:gridCol w:w="1492"/>
        <w:gridCol w:w="1315"/>
        <w:gridCol w:w="1142"/>
      </w:tblGrid>
      <w:tr w:rsidR="002161B2" w:rsidRPr="002161B2" w:rsidTr="002161B2">
        <w:trPr>
          <w:trHeight w:val="218"/>
        </w:trPr>
        <w:tc>
          <w:tcPr>
            <w:tcW w:w="2704" w:type="dxa"/>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2161B2" w:rsidRPr="002161B2" w:rsidRDefault="002161B2" w:rsidP="002161B2">
            <w:pPr>
              <w:jc w:val="cente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Detalle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2161B2" w:rsidRPr="002161B2" w:rsidRDefault="002161B2" w:rsidP="002161B2">
            <w:pPr>
              <w:jc w:val="cente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Nota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2161B2" w:rsidRPr="002161B2" w:rsidRDefault="002161B2" w:rsidP="002161B2">
            <w:pPr>
              <w:jc w:val="cente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Saldos a diciembre 2018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2161B2" w:rsidRPr="002161B2" w:rsidRDefault="002161B2" w:rsidP="002161B2">
            <w:pPr>
              <w:jc w:val="cente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Movimiento Interanual</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2161B2" w:rsidRPr="002161B2" w:rsidRDefault="002161B2" w:rsidP="002161B2">
            <w:pPr>
              <w:jc w:val="cente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Saldo a diciembre 2019</w:t>
            </w:r>
          </w:p>
        </w:tc>
        <w:tc>
          <w:tcPr>
            <w:tcW w:w="2461" w:type="dxa"/>
            <w:gridSpan w:val="2"/>
            <w:tcBorders>
              <w:top w:val="single" w:sz="8" w:space="0" w:color="auto"/>
              <w:left w:val="nil"/>
              <w:bottom w:val="single" w:sz="8" w:space="0" w:color="auto"/>
              <w:right w:val="single" w:sz="8" w:space="0" w:color="000000"/>
            </w:tcBorders>
            <w:shd w:val="clear" w:color="000000" w:fill="00B050"/>
            <w:vAlign w:val="bottom"/>
            <w:hideMark/>
          </w:tcPr>
          <w:p w:rsidR="002161B2" w:rsidRPr="002161B2" w:rsidRDefault="002161B2" w:rsidP="002161B2">
            <w:pPr>
              <w:jc w:val="cente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Variación</w:t>
            </w:r>
          </w:p>
        </w:tc>
      </w:tr>
      <w:tr w:rsidR="002161B2" w:rsidRPr="002161B2" w:rsidTr="002161B2">
        <w:trPr>
          <w:trHeight w:val="218"/>
        </w:trPr>
        <w:tc>
          <w:tcPr>
            <w:tcW w:w="2704" w:type="dxa"/>
            <w:vMerge/>
            <w:tcBorders>
              <w:top w:val="single" w:sz="8" w:space="0" w:color="auto"/>
              <w:left w:val="single" w:sz="8" w:space="0" w:color="auto"/>
              <w:bottom w:val="single" w:sz="8" w:space="0" w:color="000000"/>
              <w:right w:val="single" w:sz="8" w:space="0" w:color="auto"/>
            </w:tcBorders>
            <w:vAlign w:val="center"/>
            <w:hideMark/>
          </w:tcPr>
          <w:p w:rsidR="002161B2" w:rsidRPr="002161B2" w:rsidRDefault="002161B2" w:rsidP="002161B2">
            <w:pPr>
              <w:rPr>
                <w:rFonts w:ascii="Arial" w:eastAsia="Times New Roman" w:hAnsi="Arial" w:cs="Arial"/>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161B2" w:rsidRPr="002161B2" w:rsidRDefault="002161B2" w:rsidP="002161B2">
            <w:pPr>
              <w:rPr>
                <w:rFonts w:ascii="Arial" w:eastAsia="Times New Roman" w:hAnsi="Arial" w:cs="Arial"/>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161B2" w:rsidRPr="002161B2" w:rsidRDefault="002161B2" w:rsidP="002161B2">
            <w:pPr>
              <w:rPr>
                <w:rFonts w:ascii="Arial" w:eastAsia="Times New Roman" w:hAnsi="Arial" w:cs="Arial"/>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161B2" w:rsidRPr="002161B2" w:rsidRDefault="002161B2" w:rsidP="002161B2">
            <w:pPr>
              <w:rPr>
                <w:rFonts w:ascii="Arial" w:eastAsia="Times New Roman" w:hAnsi="Arial" w:cs="Arial"/>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161B2" w:rsidRPr="002161B2" w:rsidRDefault="002161B2" w:rsidP="002161B2">
            <w:pPr>
              <w:rPr>
                <w:rFonts w:ascii="Arial" w:eastAsia="Times New Roman" w:hAnsi="Arial" w:cs="Arial"/>
                <w:b/>
                <w:bCs/>
                <w:color w:val="000000"/>
                <w:sz w:val="14"/>
                <w:szCs w:val="14"/>
                <w:lang w:eastAsia="es-CR"/>
              </w:rPr>
            </w:pPr>
          </w:p>
        </w:tc>
        <w:tc>
          <w:tcPr>
            <w:tcW w:w="0" w:type="auto"/>
            <w:tcBorders>
              <w:top w:val="nil"/>
              <w:left w:val="nil"/>
              <w:bottom w:val="single" w:sz="8" w:space="0" w:color="auto"/>
              <w:right w:val="single" w:sz="8" w:space="0" w:color="auto"/>
            </w:tcBorders>
            <w:shd w:val="clear" w:color="000000" w:fill="00B050"/>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Absoluta</w:t>
            </w:r>
          </w:p>
        </w:tc>
        <w:tc>
          <w:tcPr>
            <w:tcW w:w="1139" w:type="dxa"/>
            <w:tcBorders>
              <w:top w:val="nil"/>
              <w:left w:val="nil"/>
              <w:bottom w:val="single" w:sz="8" w:space="0" w:color="auto"/>
              <w:right w:val="single" w:sz="8" w:space="0" w:color="auto"/>
            </w:tcBorders>
            <w:shd w:val="clear" w:color="000000" w:fill="00B050"/>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Relativa</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ACTIVOS</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u w:val="single"/>
                <w:lang w:eastAsia="es-CR"/>
              </w:rPr>
            </w:pPr>
            <w:r w:rsidRPr="002161B2">
              <w:rPr>
                <w:rFonts w:ascii="Arial" w:eastAsia="Times New Roman" w:hAnsi="Arial" w:cs="Arial"/>
                <w:b/>
                <w:bCs/>
                <w:color w:val="000000"/>
                <w:sz w:val="14"/>
                <w:szCs w:val="14"/>
                <w:u w:val="single"/>
                <w:lang w:eastAsia="es-CR"/>
              </w:rPr>
              <w:t xml:space="preserve">Activos Corrientes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Efectivo del Fideicomiso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3.044.646,30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375.194,96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2.669.451,34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375.194,96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-12%</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Efectivo restringido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0,01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936.263,32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936.263,33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936.263,32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9362633200%</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Disponibilidades en Cuenta Corriente</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293.328,60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447.832,30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741.160,90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447.832,30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153%</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Tesorería Nacional Caja Única del Estado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5</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1.241.688.963,87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247.246.617,82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994.442.346,05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- 247.246.617,82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-20%</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Anticipos a Proveedores</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6</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669.910,35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953.656,31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1.623.566,66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953.656,31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142%</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Otras cuentas por cobrar</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7</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1.587.469,19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1.124.939,86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462.529,33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1.124.939,86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-71%</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Cartera de Crédito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8</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194.634.775,14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34.557.479,99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160.077.295,15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34.557.479,99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-18%</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Activo Corrientes</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1.441.919.093,46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280.966.480,70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1.160.952.612,76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- 280.966.480,70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-19%</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u w:val="single"/>
                <w:lang w:eastAsia="es-CR"/>
              </w:rPr>
            </w:pPr>
            <w:r w:rsidRPr="002161B2">
              <w:rPr>
                <w:rFonts w:ascii="Arial" w:eastAsia="Times New Roman" w:hAnsi="Arial" w:cs="Arial"/>
                <w:b/>
                <w:bCs/>
                <w:color w:val="000000"/>
                <w:sz w:val="14"/>
                <w:szCs w:val="14"/>
                <w:u w:val="single"/>
                <w:lang w:eastAsia="es-CR"/>
              </w:rPr>
              <w:t>Activos no Corrientes</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Tesorería Nacional Caja Única del Estado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5</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Cartera de Crédito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8</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2.766.653.069,03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360.970.634,60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3.127.623.703,63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360.970.634,60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13%</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Gastos Judiciales de cartera de crédito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9</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17.476.300,10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1.402.094,82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18.878.394,92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1.402.094,82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8%</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Propiedad Planta y Equipo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10</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400.248.202,12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11.351.263,83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411.599.465,95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11.351.263,83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3%</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Bienes y valores Adquir. Recup. Creditos de Vivienda</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11</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83.913.469,27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68.501.544,12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152.415.013,39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68.501.544,12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82%</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Activos Intangibles</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12</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14.307.160,89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37.013.693,37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51.320.854,26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37.013.693,37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259%</w:t>
            </w:r>
          </w:p>
        </w:tc>
      </w:tr>
      <w:tr w:rsidR="002161B2" w:rsidRPr="002161B2" w:rsidTr="002161B2">
        <w:trPr>
          <w:trHeight w:val="218"/>
        </w:trPr>
        <w:tc>
          <w:tcPr>
            <w:tcW w:w="2704" w:type="dxa"/>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activos no corrientes</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3.282.598.201,41 </w:t>
            </w:r>
          </w:p>
        </w:tc>
        <w:tc>
          <w:tcPr>
            <w:tcW w:w="0" w:type="auto"/>
            <w:tcBorders>
              <w:top w:val="nil"/>
              <w:left w:val="nil"/>
              <w:bottom w:val="single" w:sz="8" w:space="0" w:color="auto"/>
              <w:right w:val="nil"/>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479.239.230,74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3.761.837.432,15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479.239.230,74 </w:t>
            </w:r>
          </w:p>
        </w:tc>
        <w:tc>
          <w:tcPr>
            <w:tcW w:w="1139" w:type="dxa"/>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15%</w:t>
            </w:r>
          </w:p>
        </w:tc>
      </w:tr>
      <w:tr w:rsidR="002161B2" w:rsidRPr="002161B2" w:rsidTr="002161B2">
        <w:trPr>
          <w:trHeight w:val="218"/>
        </w:trPr>
        <w:tc>
          <w:tcPr>
            <w:tcW w:w="2704" w:type="dxa"/>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ACTIVOS</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4.724.517.294,87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198.272.750,04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4.922.790.044,91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198.272.750,04 </w:t>
            </w:r>
          </w:p>
        </w:tc>
        <w:tc>
          <w:tcPr>
            <w:tcW w:w="1139" w:type="dxa"/>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4%</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single" w:sz="8" w:space="0" w:color="auto"/>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PASIVO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u w:val="single"/>
                <w:lang w:eastAsia="es-CR"/>
              </w:rPr>
            </w:pPr>
            <w:r w:rsidRPr="002161B2">
              <w:rPr>
                <w:rFonts w:ascii="Arial" w:eastAsia="Times New Roman" w:hAnsi="Arial" w:cs="Arial"/>
                <w:b/>
                <w:bCs/>
                <w:color w:val="000000"/>
                <w:sz w:val="14"/>
                <w:szCs w:val="14"/>
                <w:u w:val="single"/>
                <w:lang w:eastAsia="es-CR"/>
              </w:rPr>
              <w:t>Pasivo Corriente</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Cuentas por pagar y Provisiones</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13</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11.066.169,49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2.081.289,93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8.984.879,56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2.081.289,93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-19%</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Retenciones por pagar</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14</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Intereses Ganados s/ carteras de crédito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15</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1.379.445,52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77.227,53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1.302.217,99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77.227,53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-6%</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Impuesto municipales por pagar</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16</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420.549,05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420.549,05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420.549,05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-100%</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Pasivo Corriente</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12.866.164,06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2.579.066,51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10.287.097,55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2.579.066,51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-20%</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Pasivo No Corriente</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Garantía de cumplimiento</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17</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3.009.143,51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127.872,00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2.881.271,51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127.872,00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r>
      <w:tr w:rsidR="002161B2" w:rsidRPr="002161B2" w:rsidTr="002161B2">
        <w:trPr>
          <w:trHeight w:val="218"/>
        </w:trPr>
        <w:tc>
          <w:tcPr>
            <w:tcW w:w="2704" w:type="dxa"/>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Pasivo no Corriente</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3.009.143,51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127.872,00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2.881.271,51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127.872,00 </w:t>
            </w:r>
          </w:p>
        </w:tc>
        <w:tc>
          <w:tcPr>
            <w:tcW w:w="1139" w:type="dxa"/>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r>
      <w:tr w:rsidR="002161B2" w:rsidRPr="002161B2" w:rsidTr="002161B2">
        <w:trPr>
          <w:trHeight w:val="218"/>
        </w:trPr>
        <w:tc>
          <w:tcPr>
            <w:tcW w:w="2704" w:type="dxa"/>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PASIVO</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15.875.307,57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2.706.938,51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13.168.369,06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2.706.938,51 </w:t>
            </w:r>
          </w:p>
        </w:tc>
        <w:tc>
          <w:tcPr>
            <w:tcW w:w="1139" w:type="dxa"/>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-17%</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PATRIMONIO</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Aportaciones de fideicomitentes netas</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18</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4.827.805.782,51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198.651.977,50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5.026.457.760,01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198.651.977,50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Superávit por revaluación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19</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131.367.000,00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131.367.000,00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Utilidades o pérdidas acumuladas</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20</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104.059.171,39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354.589.966,60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250.530.795,21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- 354.589.966,60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-341%</w:t>
            </w:r>
          </w:p>
        </w:tc>
      </w:tr>
      <w:tr w:rsidR="002161B2" w:rsidRPr="002161B2" w:rsidTr="002161B2">
        <w:trPr>
          <w:trHeight w:val="208"/>
        </w:trPr>
        <w:tc>
          <w:tcPr>
            <w:tcW w:w="2704" w:type="dxa"/>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Utilidad o Pérdidad del Periodo</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21</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354.589.966,60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356.917.677,65 </w:t>
            </w:r>
          </w:p>
        </w:tc>
        <w:tc>
          <w:tcPr>
            <w:tcW w:w="0" w:type="auto"/>
            <w:tcBorders>
              <w:top w:val="nil"/>
              <w:left w:val="single" w:sz="8" w:space="0" w:color="auto"/>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2.327.711,05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356.917.677,65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-101%</w:t>
            </w:r>
          </w:p>
        </w:tc>
      </w:tr>
      <w:tr w:rsidR="002161B2" w:rsidRPr="002161B2" w:rsidTr="002161B2">
        <w:trPr>
          <w:trHeight w:val="218"/>
        </w:trPr>
        <w:tc>
          <w:tcPr>
            <w:tcW w:w="2704" w:type="dxa"/>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Patrimonio</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4.708.641.987,30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200.979.688,55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4.909.621.675,85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200.979.688,55 </w:t>
            </w:r>
          </w:p>
        </w:tc>
        <w:tc>
          <w:tcPr>
            <w:tcW w:w="1139" w:type="dxa"/>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4%</w:t>
            </w:r>
          </w:p>
        </w:tc>
      </w:tr>
      <w:tr w:rsidR="002161B2" w:rsidRPr="002161B2" w:rsidTr="002161B2">
        <w:trPr>
          <w:trHeight w:val="218"/>
        </w:trPr>
        <w:tc>
          <w:tcPr>
            <w:tcW w:w="2704" w:type="dxa"/>
            <w:tcBorders>
              <w:top w:val="nil"/>
              <w:left w:val="single" w:sz="8" w:space="0" w:color="auto"/>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TOTAL PASIVO + PATRIMONIO</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2161B2" w:rsidRPr="002161B2" w:rsidRDefault="002161B2" w:rsidP="002161B2">
            <w:pPr>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4.724.517.294,87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198.272.750,04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4.922.790.044,91 </w:t>
            </w:r>
          </w:p>
        </w:tc>
        <w:tc>
          <w:tcPr>
            <w:tcW w:w="0" w:type="auto"/>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 xml:space="preserve">   198.272.750,04 </w:t>
            </w:r>
          </w:p>
        </w:tc>
        <w:tc>
          <w:tcPr>
            <w:tcW w:w="1139" w:type="dxa"/>
            <w:tcBorders>
              <w:top w:val="nil"/>
              <w:left w:val="nil"/>
              <w:bottom w:val="single" w:sz="8" w:space="0" w:color="auto"/>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b/>
                <w:bCs/>
                <w:color w:val="000000"/>
                <w:sz w:val="14"/>
                <w:szCs w:val="14"/>
                <w:lang w:eastAsia="es-CR"/>
              </w:rPr>
            </w:pPr>
            <w:r w:rsidRPr="002161B2">
              <w:rPr>
                <w:rFonts w:ascii="Arial" w:eastAsia="Times New Roman" w:hAnsi="Arial" w:cs="Arial"/>
                <w:b/>
                <w:bCs/>
                <w:color w:val="000000"/>
                <w:sz w:val="14"/>
                <w:szCs w:val="14"/>
                <w:lang w:eastAsia="es-CR"/>
              </w:rPr>
              <w:t>4%</w:t>
            </w:r>
          </w:p>
        </w:tc>
      </w:tr>
      <w:tr w:rsidR="002161B2" w:rsidRPr="002161B2" w:rsidTr="002161B2">
        <w:trPr>
          <w:trHeight w:val="208"/>
        </w:trPr>
        <w:tc>
          <w:tcPr>
            <w:tcW w:w="2704" w:type="dxa"/>
            <w:tcBorders>
              <w:top w:val="nil"/>
              <w:left w:val="single" w:sz="8" w:space="0" w:color="auto"/>
              <w:bottom w:val="nil"/>
              <w:right w:val="nil"/>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Cuentas de orden Acredoras</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22</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44.115.803,26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861.957,71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44.977.760,97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861.957,71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w:t>
            </w:r>
          </w:p>
        </w:tc>
      </w:tr>
      <w:tr w:rsidR="002161B2" w:rsidRPr="002161B2" w:rsidTr="002161B2">
        <w:trPr>
          <w:trHeight w:val="218"/>
        </w:trPr>
        <w:tc>
          <w:tcPr>
            <w:tcW w:w="2704" w:type="dxa"/>
            <w:tcBorders>
              <w:top w:val="nil"/>
              <w:left w:val="single" w:sz="8" w:space="0" w:color="auto"/>
              <w:bottom w:val="nil"/>
              <w:right w:val="nil"/>
            </w:tcBorders>
            <w:shd w:val="clear" w:color="000000" w:fill="FFFFFF"/>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Cuentas de orden  Deudoras</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22</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44.115.803,26 </w:t>
            </w:r>
          </w:p>
        </w:tc>
        <w:tc>
          <w:tcPr>
            <w:tcW w:w="0" w:type="auto"/>
            <w:tcBorders>
              <w:top w:val="nil"/>
              <w:left w:val="nil"/>
              <w:bottom w:val="nil"/>
              <w:right w:val="nil"/>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861.957,71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44.977.760,97 </w:t>
            </w:r>
          </w:p>
        </w:tc>
        <w:tc>
          <w:tcPr>
            <w:tcW w:w="0" w:type="auto"/>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xml:space="preserve">           861.957,71 </w:t>
            </w:r>
          </w:p>
        </w:tc>
        <w:tc>
          <w:tcPr>
            <w:tcW w:w="1139" w:type="dxa"/>
            <w:tcBorders>
              <w:top w:val="nil"/>
              <w:left w:val="nil"/>
              <w:bottom w:val="nil"/>
              <w:right w:val="single" w:sz="8" w:space="0" w:color="auto"/>
            </w:tcBorders>
            <w:shd w:val="clear" w:color="000000" w:fill="FFFFFF"/>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2%</w:t>
            </w:r>
          </w:p>
        </w:tc>
      </w:tr>
      <w:tr w:rsidR="002161B2" w:rsidRPr="002161B2" w:rsidTr="002161B2">
        <w:trPr>
          <w:trHeight w:val="218"/>
        </w:trPr>
        <w:tc>
          <w:tcPr>
            <w:tcW w:w="2704" w:type="dxa"/>
            <w:tcBorders>
              <w:top w:val="single" w:sz="8" w:space="0" w:color="auto"/>
              <w:left w:val="single" w:sz="8" w:space="0" w:color="auto"/>
              <w:bottom w:val="single" w:sz="8" w:space="0" w:color="auto"/>
              <w:right w:val="nil"/>
            </w:tcBorders>
            <w:shd w:val="clear" w:color="000000" w:fill="00B050"/>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2161B2" w:rsidRPr="002161B2" w:rsidRDefault="002161B2" w:rsidP="002161B2">
            <w:pPr>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c>
          <w:tcPr>
            <w:tcW w:w="1139" w:type="dxa"/>
            <w:tcBorders>
              <w:top w:val="single" w:sz="8" w:space="0" w:color="auto"/>
              <w:left w:val="nil"/>
              <w:bottom w:val="single" w:sz="8" w:space="0" w:color="auto"/>
              <w:right w:val="single" w:sz="8" w:space="0" w:color="auto"/>
            </w:tcBorders>
            <w:shd w:val="clear" w:color="000000" w:fill="00B050"/>
            <w:noWrap/>
            <w:vAlign w:val="bottom"/>
            <w:hideMark/>
          </w:tcPr>
          <w:p w:rsidR="002161B2" w:rsidRPr="002161B2" w:rsidRDefault="002161B2" w:rsidP="002161B2">
            <w:pPr>
              <w:jc w:val="right"/>
              <w:rPr>
                <w:rFonts w:ascii="Arial" w:eastAsia="Times New Roman" w:hAnsi="Arial" w:cs="Arial"/>
                <w:color w:val="000000"/>
                <w:sz w:val="14"/>
                <w:szCs w:val="14"/>
                <w:lang w:eastAsia="es-CR"/>
              </w:rPr>
            </w:pPr>
            <w:r w:rsidRPr="002161B2">
              <w:rPr>
                <w:rFonts w:ascii="Arial" w:eastAsia="Times New Roman" w:hAnsi="Arial" w:cs="Arial"/>
                <w:color w:val="000000"/>
                <w:sz w:val="14"/>
                <w:szCs w:val="14"/>
                <w:lang w:eastAsia="es-CR"/>
              </w:rPr>
              <w:t> </w:t>
            </w:r>
          </w:p>
        </w:tc>
      </w:tr>
    </w:tbl>
    <w:p w:rsidR="00C42EBF" w:rsidRDefault="00C42EBF">
      <w:r>
        <w:br w:type="page"/>
      </w:r>
    </w:p>
    <w:p w:rsidR="00842670" w:rsidRDefault="00842670" w:rsidP="00C470ED">
      <w:pPr>
        <w:tabs>
          <w:tab w:val="left" w:pos="2775"/>
          <w:tab w:val="center" w:pos="5035"/>
        </w:tabs>
        <w:rPr>
          <w:rFonts w:ascii="Arial" w:hAnsi="Arial" w:cs="Arial"/>
          <w:b/>
          <w:sz w:val="22"/>
          <w:szCs w:val="22"/>
        </w:rPr>
      </w:pPr>
    </w:p>
    <w:p w:rsidR="00D50FE8" w:rsidRDefault="00D50FE8" w:rsidP="00C470ED">
      <w:pPr>
        <w:tabs>
          <w:tab w:val="left" w:pos="2775"/>
          <w:tab w:val="center" w:pos="5035"/>
        </w:tabs>
        <w:rPr>
          <w:rFonts w:ascii="Arial" w:hAnsi="Arial" w:cs="Arial"/>
          <w:b/>
          <w:sz w:val="22"/>
          <w:szCs w:val="22"/>
        </w:rPr>
      </w:pPr>
    </w:p>
    <w:p w:rsidR="00C470ED" w:rsidRPr="006B5875" w:rsidRDefault="00C470ED" w:rsidP="00C470ED">
      <w:pPr>
        <w:tabs>
          <w:tab w:val="left" w:pos="2775"/>
          <w:tab w:val="center" w:pos="5035"/>
        </w:tabs>
        <w:rPr>
          <w:rFonts w:ascii="Arial" w:hAnsi="Arial" w:cs="Arial"/>
          <w:b/>
          <w:sz w:val="22"/>
          <w:szCs w:val="22"/>
        </w:rPr>
      </w:pPr>
      <w:r w:rsidRPr="006B5875">
        <w:rPr>
          <w:rFonts w:ascii="Arial" w:hAnsi="Arial" w:cs="Arial"/>
          <w:b/>
          <w:sz w:val="22"/>
          <w:szCs w:val="22"/>
        </w:rPr>
        <w:t>Comentarios al Balance de Situación Financiera:</w:t>
      </w:r>
    </w:p>
    <w:p w:rsidR="000911A5" w:rsidRPr="006B5875" w:rsidRDefault="000911A5" w:rsidP="00C470ED">
      <w:pPr>
        <w:ind w:right="432"/>
        <w:jc w:val="both"/>
        <w:rPr>
          <w:rFonts w:ascii="Arial" w:hAnsi="Arial" w:cs="Arial"/>
          <w:sz w:val="22"/>
          <w:szCs w:val="22"/>
        </w:rPr>
      </w:pPr>
    </w:p>
    <w:p w:rsidR="00C8685B" w:rsidRDefault="00C470ED" w:rsidP="00C470ED">
      <w:pPr>
        <w:ind w:right="432"/>
        <w:jc w:val="both"/>
        <w:rPr>
          <w:rFonts w:ascii="Arial" w:hAnsi="Arial" w:cs="Arial"/>
          <w:sz w:val="22"/>
          <w:szCs w:val="22"/>
        </w:rPr>
      </w:pPr>
      <w:r w:rsidRPr="002B5B8D">
        <w:rPr>
          <w:rFonts w:ascii="Arial" w:hAnsi="Arial" w:cs="Arial"/>
          <w:sz w:val="22"/>
          <w:szCs w:val="22"/>
        </w:rPr>
        <w:t xml:space="preserve">Al cierre del </w:t>
      </w:r>
      <w:r w:rsidR="002161B2">
        <w:rPr>
          <w:rFonts w:ascii="Arial" w:hAnsi="Arial" w:cs="Arial"/>
          <w:sz w:val="22"/>
          <w:szCs w:val="22"/>
        </w:rPr>
        <w:t>segundo</w:t>
      </w:r>
      <w:r w:rsidR="005338D9" w:rsidRPr="002B5B8D">
        <w:rPr>
          <w:rFonts w:ascii="Arial" w:hAnsi="Arial" w:cs="Arial"/>
          <w:sz w:val="22"/>
          <w:szCs w:val="22"/>
        </w:rPr>
        <w:t xml:space="preserve"> </w:t>
      </w:r>
      <w:r w:rsidR="00F11598" w:rsidRPr="002B5B8D">
        <w:rPr>
          <w:rFonts w:ascii="Arial" w:hAnsi="Arial" w:cs="Arial"/>
          <w:sz w:val="22"/>
          <w:szCs w:val="22"/>
        </w:rPr>
        <w:t>semestre</w:t>
      </w:r>
      <w:r w:rsidRPr="002B5B8D">
        <w:rPr>
          <w:rFonts w:ascii="Arial" w:hAnsi="Arial" w:cs="Arial"/>
          <w:sz w:val="22"/>
          <w:szCs w:val="22"/>
        </w:rPr>
        <w:t xml:space="preserve"> la institución cuenta con un activo total de </w:t>
      </w:r>
      <w:r w:rsidR="00C8685B">
        <w:rPr>
          <w:rFonts w:ascii="Arial" w:hAnsi="Arial" w:cs="Arial"/>
          <w:sz w:val="22"/>
          <w:szCs w:val="22"/>
        </w:rPr>
        <w:t>¢</w:t>
      </w:r>
      <w:r w:rsidR="00C8685B" w:rsidRPr="005876CE">
        <w:rPr>
          <w:rFonts w:ascii="Arial" w:hAnsi="Arial" w:cs="Arial"/>
          <w:sz w:val="22"/>
          <w:szCs w:val="22"/>
        </w:rPr>
        <w:t>4</w:t>
      </w:r>
      <w:r w:rsidR="002161B2">
        <w:rPr>
          <w:rFonts w:ascii="Arial" w:hAnsi="Arial" w:cs="Arial"/>
          <w:sz w:val="22"/>
          <w:szCs w:val="22"/>
        </w:rPr>
        <w:t>.</w:t>
      </w:r>
      <w:r w:rsidR="00460FCD">
        <w:rPr>
          <w:rFonts w:ascii="Arial" w:hAnsi="Arial" w:cs="Arial"/>
          <w:sz w:val="22"/>
          <w:szCs w:val="22"/>
        </w:rPr>
        <w:t>922.790.044,91</w:t>
      </w:r>
      <w:r w:rsidR="002B5B8D" w:rsidRPr="002B5B8D">
        <w:rPr>
          <w:rFonts w:ascii="Arial" w:hAnsi="Arial" w:cs="Arial"/>
          <w:sz w:val="22"/>
          <w:szCs w:val="22"/>
        </w:rPr>
        <w:t xml:space="preserve"> con</w:t>
      </w:r>
      <w:r w:rsidR="00F11598" w:rsidRPr="002B5B8D">
        <w:rPr>
          <w:rFonts w:ascii="Arial" w:hAnsi="Arial" w:cs="Arial"/>
          <w:sz w:val="22"/>
          <w:szCs w:val="22"/>
        </w:rPr>
        <w:t xml:space="preserve"> relación al mismo periodo del año anterior se aprecia </w:t>
      </w:r>
      <w:r w:rsidR="00C8685B">
        <w:rPr>
          <w:rFonts w:ascii="Arial" w:hAnsi="Arial" w:cs="Arial"/>
          <w:sz w:val="22"/>
          <w:szCs w:val="22"/>
        </w:rPr>
        <w:t xml:space="preserve">un incremento del </w:t>
      </w:r>
      <w:r w:rsidR="00460FCD">
        <w:rPr>
          <w:rFonts w:ascii="Arial" w:hAnsi="Arial" w:cs="Arial"/>
          <w:sz w:val="22"/>
          <w:szCs w:val="22"/>
        </w:rPr>
        <w:t>4</w:t>
      </w:r>
      <w:r w:rsidR="00C8685B">
        <w:rPr>
          <w:rFonts w:ascii="Arial" w:hAnsi="Arial" w:cs="Arial"/>
          <w:sz w:val="22"/>
          <w:szCs w:val="22"/>
        </w:rPr>
        <w:t>%, para un monto absoluto de ¢</w:t>
      </w:r>
      <w:r w:rsidR="00460FCD">
        <w:rPr>
          <w:rFonts w:ascii="Arial" w:hAnsi="Arial" w:cs="Arial"/>
          <w:sz w:val="22"/>
          <w:szCs w:val="22"/>
        </w:rPr>
        <w:t>198.272.750,04</w:t>
      </w:r>
      <w:r w:rsidR="00C8685B">
        <w:rPr>
          <w:rFonts w:ascii="Arial" w:hAnsi="Arial" w:cs="Arial"/>
          <w:sz w:val="22"/>
          <w:szCs w:val="22"/>
        </w:rPr>
        <w:t xml:space="preserve">. </w:t>
      </w:r>
    </w:p>
    <w:p w:rsidR="00C8685B" w:rsidRDefault="00C8685B" w:rsidP="00C470ED">
      <w:pPr>
        <w:ind w:right="432"/>
        <w:jc w:val="both"/>
        <w:rPr>
          <w:rFonts w:ascii="Arial" w:hAnsi="Arial" w:cs="Arial"/>
          <w:sz w:val="22"/>
          <w:szCs w:val="22"/>
        </w:rPr>
      </w:pPr>
    </w:p>
    <w:p w:rsidR="00CE61E4" w:rsidRDefault="00C8685B" w:rsidP="00C470ED">
      <w:pPr>
        <w:ind w:right="432"/>
        <w:jc w:val="both"/>
        <w:rPr>
          <w:rFonts w:ascii="Arial" w:hAnsi="Arial" w:cs="Arial"/>
          <w:sz w:val="22"/>
          <w:szCs w:val="22"/>
        </w:rPr>
      </w:pPr>
      <w:r>
        <w:rPr>
          <w:rFonts w:ascii="Arial" w:hAnsi="Arial" w:cs="Arial"/>
          <w:sz w:val="22"/>
          <w:szCs w:val="22"/>
        </w:rPr>
        <w:t xml:space="preserve">Se puede observar en los activos corrientes, una disminución </w:t>
      </w:r>
      <w:r w:rsidR="00CD630E">
        <w:rPr>
          <w:rFonts w:ascii="Arial" w:hAnsi="Arial" w:cs="Arial"/>
          <w:sz w:val="22"/>
          <w:szCs w:val="22"/>
        </w:rPr>
        <w:t>absoluta de -¢</w:t>
      </w:r>
      <w:r w:rsidR="000F1900">
        <w:rPr>
          <w:rFonts w:ascii="Arial" w:hAnsi="Arial" w:cs="Arial"/>
          <w:sz w:val="22"/>
          <w:szCs w:val="22"/>
        </w:rPr>
        <w:t>280.966.480,70</w:t>
      </w:r>
      <w:r w:rsidR="00CD630E">
        <w:rPr>
          <w:rFonts w:ascii="Arial" w:hAnsi="Arial" w:cs="Arial"/>
          <w:sz w:val="22"/>
          <w:szCs w:val="22"/>
        </w:rPr>
        <w:t xml:space="preserve"> con un porcentaje de -</w:t>
      </w:r>
      <w:r w:rsidR="000F1900">
        <w:rPr>
          <w:rFonts w:ascii="Arial" w:hAnsi="Arial" w:cs="Arial"/>
          <w:sz w:val="22"/>
          <w:szCs w:val="22"/>
        </w:rPr>
        <w:t>1</w:t>
      </w:r>
      <w:r w:rsidR="00CD630E">
        <w:rPr>
          <w:rFonts w:ascii="Arial" w:hAnsi="Arial" w:cs="Arial"/>
          <w:sz w:val="22"/>
          <w:szCs w:val="22"/>
        </w:rPr>
        <w:t>9%</w:t>
      </w:r>
      <w:r w:rsidR="000F1900">
        <w:rPr>
          <w:rFonts w:ascii="Arial" w:hAnsi="Arial" w:cs="Arial"/>
          <w:sz w:val="22"/>
          <w:szCs w:val="22"/>
        </w:rPr>
        <w:t xml:space="preserve">, la disminución se presenta principalmente </w:t>
      </w:r>
      <w:r w:rsidR="00957563">
        <w:rPr>
          <w:rFonts w:ascii="Arial" w:hAnsi="Arial" w:cs="Arial"/>
          <w:sz w:val="22"/>
          <w:szCs w:val="22"/>
        </w:rPr>
        <w:t xml:space="preserve"> </w:t>
      </w:r>
      <w:r w:rsidR="000F1900">
        <w:rPr>
          <w:rFonts w:ascii="Arial" w:hAnsi="Arial" w:cs="Arial"/>
          <w:sz w:val="22"/>
          <w:szCs w:val="22"/>
        </w:rPr>
        <w:t xml:space="preserve">en </w:t>
      </w:r>
      <w:r w:rsidR="00957563">
        <w:rPr>
          <w:rFonts w:ascii="Arial" w:hAnsi="Arial" w:cs="Arial"/>
          <w:sz w:val="22"/>
          <w:szCs w:val="22"/>
        </w:rPr>
        <w:t>la caja única del estado tesorer</w:t>
      </w:r>
      <w:r w:rsidR="00820862">
        <w:rPr>
          <w:rFonts w:ascii="Arial" w:hAnsi="Arial" w:cs="Arial"/>
          <w:sz w:val="22"/>
          <w:szCs w:val="22"/>
        </w:rPr>
        <w:t>ía nacional</w:t>
      </w:r>
      <w:r w:rsidR="000F1900">
        <w:rPr>
          <w:rFonts w:ascii="Arial" w:hAnsi="Arial" w:cs="Arial"/>
          <w:sz w:val="22"/>
          <w:szCs w:val="22"/>
        </w:rPr>
        <w:t xml:space="preserve"> la cual presenta </w:t>
      </w:r>
      <w:r w:rsidR="00957563">
        <w:rPr>
          <w:rFonts w:ascii="Arial" w:hAnsi="Arial" w:cs="Arial"/>
          <w:sz w:val="22"/>
          <w:szCs w:val="22"/>
        </w:rPr>
        <w:t>una disminución absoluta de -¢2</w:t>
      </w:r>
      <w:r w:rsidR="000F1900">
        <w:rPr>
          <w:rFonts w:ascii="Arial" w:hAnsi="Arial" w:cs="Arial"/>
          <w:sz w:val="22"/>
          <w:szCs w:val="22"/>
        </w:rPr>
        <w:t>47.246.617,82</w:t>
      </w:r>
      <w:r w:rsidR="00957563">
        <w:rPr>
          <w:rFonts w:ascii="Arial" w:hAnsi="Arial" w:cs="Arial"/>
          <w:sz w:val="22"/>
          <w:szCs w:val="22"/>
        </w:rPr>
        <w:t xml:space="preserve"> con un porcentaje</w:t>
      </w:r>
      <w:r w:rsidR="003261B6">
        <w:rPr>
          <w:rFonts w:ascii="Arial" w:hAnsi="Arial" w:cs="Arial"/>
          <w:sz w:val="22"/>
          <w:szCs w:val="22"/>
        </w:rPr>
        <w:t xml:space="preserve"> relativo</w:t>
      </w:r>
      <w:r w:rsidR="00957563">
        <w:rPr>
          <w:rFonts w:ascii="Arial" w:hAnsi="Arial" w:cs="Arial"/>
          <w:sz w:val="22"/>
          <w:szCs w:val="22"/>
        </w:rPr>
        <w:t xml:space="preserve"> del -</w:t>
      </w:r>
      <w:r w:rsidR="000F1900">
        <w:rPr>
          <w:rFonts w:ascii="Arial" w:hAnsi="Arial" w:cs="Arial"/>
          <w:sz w:val="22"/>
          <w:szCs w:val="22"/>
        </w:rPr>
        <w:t>20</w:t>
      </w:r>
      <w:r w:rsidR="00957563">
        <w:rPr>
          <w:rFonts w:ascii="Arial" w:hAnsi="Arial" w:cs="Arial"/>
          <w:sz w:val="22"/>
          <w:szCs w:val="22"/>
        </w:rPr>
        <w:t>%</w:t>
      </w:r>
      <w:r w:rsidR="00236ABD">
        <w:rPr>
          <w:rFonts w:ascii="Arial" w:hAnsi="Arial" w:cs="Arial"/>
          <w:sz w:val="22"/>
          <w:szCs w:val="22"/>
        </w:rPr>
        <w:t xml:space="preserve">, </w:t>
      </w:r>
      <w:r w:rsidR="00CE61E4">
        <w:rPr>
          <w:rFonts w:ascii="Arial" w:hAnsi="Arial" w:cs="Arial"/>
          <w:sz w:val="22"/>
          <w:szCs w:val="22"/>
        </w:rPr>
        <w:t xml:space="preserve">así mismo la cartera de crédito presenta una disminución absoluta de  -¢34.557.479,99 con un porcentaje de -18%.  </w:t>
      </w:r>
    </w:p>
    <w:p w:rsidR="00236ABD" w:rsidRDefault="00236ABD" w:rsidP="00C470ED">
      <w:pPr>
        <w:ind w:right="432"/>
        <w:jc w:val="both"/>
        <w:rPr>
          <w:rFonts w:ascii="Arial" w:hAnsi="Arial" w:cs="Arial"/>
          <w:sz w:val="22"/>
          <w:szCs w:val="22"/>
        </w:rPr>
      </w:pPr>
    </w:p>
    <w:p w:rsidR="00C8685B" w:rsidRDefault="00957563" w:rsidP="00C470ED">
      <w:pPr>
        <w:ind w:right="432"/>
        <w:jc w:val="both"/>
        <w:rPr>
          <w:rFonts w:ascii="Arial" w:hAnsi="Arial" w:cs="Arial"/>
          <w:sz w:val="22"/>
          <w:szCs w:val="22"/>
        </w:rPr>
      </w:pPr>
      <w:r>
        <w:rPr>
          <w:rFonts w:ascii="Arial" w:hAnsi="Arial" w:cs="Arial"/>
          <w:sz w:val="22"/>
          <w:szCs w:val="22"/>
        </w:rPr>
        <w:t xml:space="preserve">En cuanto </w:t>
      </w:r>
      <w:r w:rsidR="00820862">
        <w:rPr>
          <w:rFonts w:ascii="Arial" w:hAnsi="Arial" w:cs="Arial"/>
          <w:sz w:val="22"/>
          <w:szCs w:val="22"/>
        </w:rPr>
        <w:t xml:space="preserve">a los activos no corrientes </w:t>
      </w:r>
      <w:r w:rsidR="00B63037">
        <w:rPr>
          <w:rFonts w:ascii="Arial" w:hAnsi="Arial" w:cs="Arial"/>
          <w:sz w:val="22"/>
          <w:szCs w:val="22"/>
        </w:rPr>
        <w:t xml:space="preserve"> éstos presenta un aumento de </w:t>
      </w:r>
      <w:r w:rsidR="00657FB6">
        <w:rPr>
          <w:rFonts w:ascii="Arial" w:hAnsi="Arial" w:cs="Arial"/>
          <w:sz w:val="22"/>
          <w:szCs w:val="22"/>
        </w:rPr>
        <w:t>¢479.239.230,74 y porcentualmente de un 15%, esta variación se presenta principalmente en la</w:t>
      </w:r>
      <w:r w:rsidR="00C82CB3">
        <w:rPr>
          <w:rFonts w:ascii="Arial" w:hAnsi="Arial" w:cs="Arial"/>
          <w:sz w:val="22"/>
          <w:szCs w:val="22"/>
        </w:rPr>
        <w:t xml:space="preserve"> cartera de crédito </w:t>
      </w:r>
      <w:r w:rsidR="00657FB6">
        <w:rPr>
          <w:rFonts w:ascii="Arial" w:hAnsi="Arial" w:cs="Arial"/>
          <w:sz w:val="22"/>
          <w:szCs w:val="22"/>
        </w:rPr>
        <w:t xml:space="preserve">con un monto de </w:t>
      </w:r>
      <w:r w:rsidR="00C82CB3">
        <w:rPr>
          <w:rFonts w:ascii="Arial" w:hAnsi="Arial" w:cs="Arial"/>
          <w:sz w:val="22"/>
          <w:szCs w:val="22"/>
        </w:rPr>
        <w:t>¢3</w:t>
      </w:r>
      <w:r w:rsidR="00657FB6">
        <w:rPr>
          <w:rFonts w:ascii="Arial" w:hAnsi="Arial" w:cs="Arial"/>
          <w:sz w:val="22"/>
          <w:szCs w:val="22"/>
        </w:rPr>
        <w:t>60.970.634,60</w:t>
      </w:r>
      <w:r w:rsidR="00C82CB3">
        <w:rPr>
          <w:rFonts w:ascii="Arial" w:hAnsi="Arial" w:cs="Arial"/>
          <w:sz w:val="22"/>
          <w:szCs w:val="22"/>
        </w:rPr>
        <w:t xml:space="preserve"> con un porcentaje </w:t>
      </w:r>
      <w:r w:rsidR="00C31723">
        <w:rPr>
          <w:rFonts w:ascii="Arial" w:hAnsi="Arial" w:cs="Arial"/>
          <w:sz w:val="22"/>
          <w:szCs w:val="22"/>
        </w:rPr>
        <w:t xml:space="preserve">relativo </w:t>
      </w:r>
      <w:r w:rsidR="00C82CB3">
        <w:rPr>
          <w:rFonts w:ascii="Arial" w:hAnsi="Arial" w:cs="Arial"/>
          <w:sz w:val="22"/>
          <w:szCs w:val="22"/>
        </w:rPr>
        <w:t>del 1</w:t>
      </w:r>
      <w:r w:rsidR="00657FB6">
        <w:rPr>
          <w:rFonts w:ascii="Arial" w:hAnsi="Arial" w:cs="Arial"/>
          <w:sz w:val="22"/>
          <w:szCs w:val="22"/>
        </w:rPr>
        <w:t>3</w:t>
      </w:r>
      <w:r w:rsidR="00C82CB3">
        <w:rPr>
          <w:rFonts w:ascii="Arial" w:hAnsi="Arial" w:cs="Arial"/>
          <w:sz w:val="22"/>
          <w:szCs w:val="22"/>
        </w:rPr>
        <w:t>%</w:t>
      </w:r>
      <w:r w:rsidR="00657FB6">
        <w:rPr>
          <w:rFonts w:ascii="Arial" w:hAnsi="Arial" w:cs="Arial"/>
          <w:sz w:val="22"/>
          <w:szCs w:val="22"/>
        </w:rPr>
        <w:t xml:space="preserve"> con</w:t>
      </w:r>
      <w:r w:rsidR="00392603">
        <w:rPr>
          <w:rFonts w:ascii="Arial" w:hAnsi="Arial" w:cs="Arial"/>
          <w:sz w:val="22"/>
          <w:szCs w:val="22"/>
        </w:rPr>
        <w:t xml:space="preserve"> respecto al año anterior.</w:t>
      </w:r>
    </w:p>
    <w:p w:rsidR="00957563" w:rsidRDefault="00957563" w:rsidP="00C470ED">
      <w:pPr>
        <w:ind w:right="432"/>
        <w:jc w:val="both"/>
        <w:rPr>
          <w:rFonts w:ascii="Arial" w:hAnsi="Arial" w:cs="Arial"/>
          <w:sz w:val="22"/>
          <w:szCs w:val="22"/>
        </w:rPr>
      </w:pPr>
    </w:p>
    <w:p w:rsidR="00C470ED" w:rsidRPr="00EE14E4" w:rsidRDefault="00C470ED" w:rsidP="00C470ED">
      <w:pPr>
        <w:ind w:right="432"/>
        <w:contextualSpacing/>
        <w:jc w:val="both"/>
        <w:rPr>
          <w:rFonts w:ascii="Arial" w:hAnsi="Arial" w:cs="Arial"/>
          <w:sz w:val="22"/>
          <w:szCs w:val="22"/>
        </w:rPr>
      </w:pPr>
      <w:r w:rsidRPr="00EE14E4">
        <w:rPr>
          <w:rFonts w:ascii="Arial" w:hAnsi="Arial" w:cs="Arial"/>
          <w:sz w:val="22"/>
          <w:szCs w:val="22"/>
          <w:lang w:val="es-AR"/>
        </w:rPr>
        <w:t>En cuanto al grupo de pasivo</w:t>
      </w:r>
      <w:r w:rsidR="00AA3960" w:rsidRPr="00EE14E4">
        <w:rPr>
          <w:rFonts w:ascii="Arial" w:hAnsi="Arial" w:cs="Arial"/>
          <w:sz w:val="22"/>
          <w:szCs w:val="22"/>
          <w:lang w:val="es-AR"/>
        </w:rPr>
        <w:t xml:space="preserve"> la institución presenta un pasivo total por </w:t>
      </w:r>
      <w:r w:rsidR="00AA3960" w:rsidRPr="00EE14E4">
        <w:rPr>
          <w:rFonts w:ascii="Arial" w:hAnsi="Arial" w:cs="Arial"/>
          <w:sz w:val="22"/>
          <w:szCs w:val="22"/>
        </w:rPr>
        <w:t>¢</w:t>
      </w:r>
      <w:r w:rsidR="005914F9">
        <w:rPr>
          <w:rFonts w:ascii="Arial" w:hAnsi="Arial" w:cs="Arial"/>
          <w:sz w:val="22"/>
          <w:szCs w:val="22"/>
        </w:rPr>
        <w:t>13.168.369,06</w:t>
      </w:r>
      <w:r w:rsidR="00392603">
        <w:rPr>
          <w:rFonts w:ascii="Arial" w:hAnsi="Arial" w:cs="Arial"/>
          <w:sz w:val="22"/>
          <w:szCs w:val="22"/>
        </w:rPr>
        <w:t xml:space="preserve"> representando un decremento de -</w:t>
      </w:r>
      <w:r w:rsidR="005914F9">
        <w:rPr>
          <w:rFonts w:ascii="Arial" w:hAnsi="Arial" w:cs="Arial"/>
          <w:sz w:val="22"/>
          <w:szCs w:val="22"/>
        </w:rPr>
        <w:t>17</w:t>
      </w:r>
      <w:r w:rsidR="00392603">
        <w:rPr>
          <w:rFonts w:ascii="Arial" w:hAnsi="Arial" w:cs="Arial"/>
          <w:sz w:val="22"/>
          <w:szCs w:val="22"/>
        </w:rPr>
        <w:t>% en términos relativos y de -¢2</w:t>
      </w:r>
      <w:r w:rsidR="005914F9">
        <w:rPr>
          <w:rFonts w:ascii="Arial" w:hAnsi="Arial" w:cs="Arial"/>
          <w:sz w:val="22"/>
          <w:szCs w:val="22"/>
        </w:rPr>
        <w:t>.706.938,51</w:t>
      </w:r>
      <w:r w:rsidR="00392603">
        <w:rPr>
          <w:rFonts w:ascii="Arial" w:hAnsi="Arial" w:cs="Arial"/>
          <w:sz w:val="22"/>
          <w:szCs w:val="22"/>
        </w:rPr>
        <w:t xml:space="preserve"> en términos absolutos respecto al año anterior. </w:t>
      </w:r>
      <w:r w:rsidR="00AA3960" w:rsidRPr="00EE14E4">
        <w:rPr>
          <w:rFonts w:ascii="Arial" w:hAnsi="Arial" w:cs="Arial"/>
          <w:sz w:val="22"/>
          <w:szCs w:val="22"/>
        </w:rPr>
        <w:t xml:space="preserve">Es la cuenta de </w:t>
      </w:r>
      <w:r w:rsidR="0055120D">
        <w:rPr>
          <w:rFonts w:ascii="Arial" w:hAnsi="Arial" w:cs="Arial"/>
          <w:sz w:val="22"/>
          <w:szCs w:val="22"/>
        </w:rPr>
        <w:t>pasivo</w:t>
      </w:r>
      <w:r w:rsidR="00AA3960" w:rsidRPr="00EE14E4">
        <w:rPr>
          <w:rFonts w:ascii="Arial" w:hAnsi="Arial" w:cs="Arial"/>
          <w:sz w:val="22"/>
          <w:szCs w:val="22"/>
        </w:rPr>
        <w:t xml:space="preserve"> corriente denominada </w:t>
      </w:r>
      <w:r w:rsidR="005914F9">
        <w:rPr>
          <w:rFonts w:ascii="Arial" w:hAnsi="Arial" w:cs="Arial"/>
          <w:sz w:val="22"/>
          <w:szCs w:val="22"/>
        </w:rPr>
        <w:t>cuentas por pagar y provisiones</w:t>
      </w:r>
      <w:r w:rsidR="00AA3960" w:rsidRPr="00EE14E4">
        <w:rPr>
          <w:rFonts w:ascii="Arial" w:hAnsi="Arial" w:cs="Arial"/>
          <w:sz w:val="22"/>
          <w:szCs w:val="22"/>
        </w:rPr>
        <w:t xml:space="preserve"> la que presenta una mayor disminución, e</w:t>
      </w:r>
      <w:r w:rsidR="00331993" w:rsidRPr="00EE14E4">
        <w:rPr>
          <w:rFonts w:ascii="Arial" w:hAnsi="Arial" w:cs="Arial"/>
          <w:sz w:val="22"/>
          <w:szCs w:val="22"/>
        </w:rPr>
        <w:t>n términos absolutos de ¢</w:t>
      </w:r>
      <w:r w:rsidR="0055120D">
        <w:rPr>
          <w:rFonts w:ascii="Arial" w:hAnsi="Arial" w:cs="Arial"/>
          <w:sz w:val="22"/>
          <w:szCs w:val="22"/>
        </w:rPr>
        <w:t>-</w:t>
      </w:r>
      <w:r w:rsidR="005914F9">
        <w:rPr>
          <w:rFonts w:ascii="Arial" w:hAnsi="Arial" w:cs="Arial"/>
          <w:sz w:val="22"/>
          <w:szCs w:val="22"/>
        </w:rPr>
        <w:t>2.081.289,93</w:t>
      </w:r>
      <w:r w:rsidR="00331993" w:rsidRPr="00EE14E4">
        <w:rPr>
          <w:rFonts w:ascii="Arial" w:hAnsi="Arial" w:cs="Arial"/>
          <w:sz w:val="22"/>
          <w:szCs w:val="22"/>
        </w:rPr>
        <w:t xml:space="preserve"> y en términos relativo de -1</w:t>
      </w:r>
      <w:r w:rsidR="005914F9">
        <w:rPr>
          <w:rFonts w:ascii="Arial" w:hAnsi="Arial" w:cs="Arial"/>
          <w:sz w:val="22"/>
          <w:szCs w:val="22"/>
        </w:rPr>
        <w:t>9</w:t>
      </w:r>
      <w:r w:rsidR="00331993" w:rsidRPr="00EE14E4">
        <w:rPr>
          <w:rFonts w:ascii="Arial" w:hAnsi="Arial" w:cs="Arial"/>
          <w:sz w:val="22"/>
          <w:szCs w:val="22"/>
        </w:rPr>
        <w:t>%.</w:t>
      </w:r>
    </w:p>
    <w:p w:rsidR="00AA3960" w:rsidRPr="00EE14E4" w:rsidRDefault="00AA3960" w:rsidP="00C470ED">
      <w:pPr>
        <w:ind w:right="432"/>
        <w:contextualSpacing/>
        <w:jc w:val="both"/>
        <w:rPr>
          <w:rFonts w:ascii="Arial" w:hAnsi="Arial" w:cs="Arial"/>
          <w:sz w:val="22"/>
          <w:szCs w:val="22"/>
          <w:lang w:val="es-AR"/>
        </w:rPr>
      </w:pPr>
    </w:p>
    <w:p w:rsidR="00C470ED" w:rsidRDefault="00435CAB" w:rsidP="00C470ED">
      <w:pPr>
        <w:ind w:right="432"/>
        <w:contextualSpacing/>
        <w:jc w:val="both"/>
        <w:rPr>
          <w:rFonts w:ascii="Arial" w:hAnsi="Arial" w:cs="Arial"/>
          <w:sz w:val="22"/>
          <w:szCs w:val="22"/>
          <w:lang w:val="es-AR"/>
        </w:rPr>
      </w:pPr>
      <w:r w:rsidRPr="00663BD1">
        <w:rPr>
          <w:rFonts w:ascii="Arial" w:hAnsi="Arial" w:cs="Arial"/>
          <w:sz w:val="22"/>
          <w:szCs w:val="22"/>
          <w:lang w:val="es-AR"/>
        </w:rPr>
        <w:t>Por su parte,</w:t>
      </w:r>
      <w:r w:rsidR="007441B6" w:rsidRPr="00663BD1">
        <w:rPr>
          <w:rFonts w:ascii="Arial" w:hAnsi="Arial" w:cs="Arial"/>
          <w:sz w:val="22"/>
          <w:szCs w:val="22"/>
          <w:lang w:val="es-AR"/>
        </w:rPr>
        <w:t xml:space="preserve"> al cierre </w:t>
      </w:r>
      <w:r w:rsidR="00D06448">
        <w:rPr>
          <w:rFonts w:ascii="Arial" w:hAnsi="Arial" w:cs="Arial"/>
          <w:sz w:val="22"/>
          <w:szCs w:val="22"/>
          <w:lang w:val="es-AR"/>
        </w:rPr>
        <w:t xml:space="preserve">del </w:t>
      </w:r>
      <w:r w:rsidR="008D4506">
        <w:rPr>
          <w:rFonts w:ascii="Arial" w:hAnsi="Arial" w:cs="Arial"/>
          <w:sz w:val="22"/>
          <w:szCs w:val="22"/>
          <w:lang w:val="es-AR"/>
        </w:rPr>
        <w:t>segundo</w:t>
      </w:r>
      <w:r w:rsidR="00D06448">
        <w:rPr>
          <w:rFonts w:ascii="Arial" w:hAnsi="Arial" w:cs="Arial"/>
          <w:sz w:val="22"/>
          <w:szCs w:val="22"/>
          <w:lang w:val="es-AR"/>
        </w:rPr>
        <w:t xml:space="preserve"> semestre del 2019</w:t>
      </w:r>
      <w:r w:rsidR="007441B6" w:rsidRPr="00663BD1">
        <w:rPr>
          <w:rFonts w:ascii="Arial" w:hAnsi="Arial" w:cs="Arial"/>
          <w:sz w:val="22"/>
          <w:szCs w:val="22"/>
          <w:lang w:val="es-AR"/>
        </w:rPr>
        <w:t xml:space="preserve"> el fideicomiso cuenta con un </w:t>
      </w:r>
      <w:r w:rsidR="00C470ED" w:rsidRPr="00663BD1">
        <w:rPr>
          <w:rFonts w:ascii="Arial" w:hAnsi="Arial" w:cs="Arial"/>
          <w:sz w:val="22"/>
          <w:szCs w:val="22"/>
          <w:lang w:val="es-AR"/>
        </w:rPr>
        <w:t xml:space="preserve">patrimonio </w:t>
      </w:r>
      <w:r w:rsidR="007441B6" w:rsidRPr="00663BD1">
        <w:rPr>
          <w:rFonts w:ascii="Arial" w:hAnsi="Arial" w:cs="Arial"/>
          <w:sz w:val="22"/>
          <w:szCs w:val="22"/>
          <w:lang w:val="es-AR"/>
        </w:rPr>
        <w:t>total</w:t>
      </w:r>
      <w:r w:rsidRPr="00663BD1">
        <w:rPr>
          <w:rFonts w:ascii="Arial" w:hAnsi="Arial" w:cs="Arial"/>
          <w:sz w:val="22"/>
          <w:szCs w:val="22"/>
          <w:lang w:val="es-AR"/>
        </w:rPr>
        <w:t xml:space="preserve"> de </w:t>
      </w:r>
      <w:r w:rsidRPr="00663BD1">
        <w:rPr>
          <w:rFonts w:ascii="Arial" w:hAnsi="Arial" w:cs="Arial"/>
          <w:sz w:val="22"/>
          <w:szCs w:val="22"/>
        </w:rPr>
        <w:t>¢</w:t>
      </w:r>
      <w:r w:rsidR="00D06448">
        <w:rPr>
          <w:rFonts w:ascii="Arial" w:hAnsi="Arial" w:cs="Arial"/>
          <w:sz w:val="22"/>
          <w:szCs w:val="22"/>
        </w:rPr>
        <w:t>4.</w:t>
      </w:r>
      <w:r w:rsidR="008D4506">
        <w:rPr>
          <w:rFonts w:ascii="Arial" w:hAnsi="Arial" w:cs="Arial"/>
          <w:sz w:val="22"/>
          <w:szCs w:val="22"/>
        </w:rPr>
        <w:t>909.621.675</w:t>
      </w:r>
      <w:r w:rsidRPr="00663BD1">
        <w:rPr>
          <w:rFonts w:ascii="Arial" w:hAnsi="Arial" w:cs="Arial"/>
          <w:sz w:val="22"/>
          <w:szCs w:val="22"/>
          <w:lang w:val="es-AR"/>
        </w:rPr>
        <w:t>,</w:t>
      </w:r>
      <w:r w:rsidR="008D4506">
        <w:rPr>
          <w:rFonts w:ascii="Arial" w:hAnsi="Arial" w:cs="Arial"/>
          <w:sz w:val="22"/>
          <w:szCs w:val="22"/>
          <w:lang w:val="es-AR"/>
        </w:rPr>
        <w:t>85</w:t>
      </w:r>
      <w:r w:rsidRPr="00663BD1">
        <w:rPr>
          <w:rFonts w:ascii="Arial" w:hAnsi="Arial" w:cs="Arial"/>
          <w:sz w:val="22"/>
          <w:szCs w:val="22"/>
          <w:lang w:val="es-AR"/>
        </w:rPr>
        <w:t xml:space="preserve"> </w:t>
      </w:r>
      <w:r w:rsidR="007441B6" w:rsidRPr="00663BD1">
        <w:rPr>
          <w:rFonts w:ascii="Arial" w:hAnsi="Arial" w:cs="Arial"/>
          <w:sz w:val="22"/>
          <w:szCs w:val="22"/>
          <w:lang w:val="es-AR"/>
        </w:rPr>
        <w:t xml:space="preserve">presentándose </w:t>
      </w:r>
      <w:r w:rsidRPr="00663BD1">
        <w:rPr>
          <w:rFonts w:ascii="Arial" w:hAnsi="Arial" w:cs="Arial"/>
          <w:sz w:val="22"/>
          <w:szCs w:val="22"/>
          <w:lang w:val="es-AR"/>
        </w:rPr>
        <w:t xml:space="preserve">un </w:t>
      </w:r>
      <w:r w:rsidR="00D06448">
        <w:rPr>
          <w:rFonts w:ascii="Arial" w:hAnsi="Arial" w:cs="Arial"/>
          <w:sz w:val="22"/>
          <w:szCs w:val="22"/>
          <w:lang w:val="es-AR"/>
        </w:rPr>
        <w:t xml:space="preserve">incremento de un </w:t>
      </w:r>
      <w:r w:rsidR="008D4506">
        <w:rPr>
          <w:rFonts w:ascii="Arial" w:hAnsi="Arial" w:cs="Arial"/>
          <w:sz w:val="22"/>
          <w:szCs w:val="22"/>
          <w:lang w:val="es-AR"/>
        </w:rPr>
        <w:t>4</w:t>
      </w:r>
      <w:r w:rsidRPr="00663BD1">
        <w:rPr>
          <w:rFonts w:ascii="Arial" w:hAnsi="Arial" w:cs="Arial"/>
          <w:sz w:val="22"/>
          <w:szCs w:val="22"/>
          <w:lang w:val="es-AR"/>
        </w:rPr>
        <w:t>% con respecto al año anterior.</w:t>
      </w: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Default="00722E3F" w:rsidP="00C470ED">
      <w:pPr>
        <w:ind w:right="432"/>
        <w:contextualSpacing/>
        <w:jc w:val="both"/>
        <w:rPr>
          <w:rFonts w:ascii="Arial" w:hAnsi="Arial" w:cs="Arial"/>
          <w:sz w:val="22"/>
          <w:szCs w:val="22"/>
          <w:lang w:val="es-AR"/>
        </w:rPr>
      </w:pPr>
    </w:p>
    <w:p w:rsidR="00722E3F" w:rsidRPr="00663BD1" w:rsidRDefault="008E6FC3" w:rsidP="00C470ED">
      <w:pPr>
        <w:ind w:right="432"/>
        <w:contextualSpacing/>
        <w:jc w:val="both"/>
        <w:rPr>
          <w:rFonts w:ascii="Arial" w:hAnsi="Arial" w:cs="Arial"/>
          <w:sz w:val="22"/>
          <w:szCs w:val="22"/>
          <w:lang w:val="es-AR"/>
        </w:rPr>
      </w:pPr>
      <w:r>
        <w:rPr>
          <w:rFonts w:ascii="Arial" w:hAnsi="Arial" w:cs="Arial"/>
          <w:sz w:val="22"/>
          <w:szCs w:val="22"/>
          <w:lang w:val="es-AR"/>
        </w:rPr>
        <w:tab/>
      </w:r>
    </w:p>
    <w:p w:rsidR="007601F3" w:rsidRPr="00663BD1" w:rsidRDefault="007601F3" w:rsidP="00FC2809">
      <w:pPr>
        <w:ind w:right="432"/>
        <w:jc w:val="both"/>
        <w:rPr>
          <w:rFonts w:ascii="Arial" w:hAnsi="Arial" w:cs="Arial"/>
          <w:sz w:val="22"/>
          <w:szCs w:val="22"/>
        </w:rPr>
      </w:pPr>
    </w:p>
    <w:p w:rsidR="00F1343B" w:rsidRPr="00767C7C" w:rsidRDefault="00F1343B" w:rsidP="007A15A0">
      <w:pPr>
        <w:contextualSpacing/>
        <w:jc w:val="both"/>
        <w:rPr>
          <w:rFonts w:ascii="Trebuchet MS" w:hAnsi="Trebuchet MS" w:cs="Arial"/>
          <w:b/>
        </w:rPr>
      </w:pPr>
    </w:p>
    <w:p w:rsidR="00D92A79" w:rsidRPr="00767C7C" w:rsidRDefault="00D92A79" w:rsidP="00D92A79">
      <w:pPr>
        <w:pStyle w:val="Prrafodelista"/>
        <w:ind w:left="1080"/>
        <w:contextualSpacing/>
        <w:jc w:val="center"/>
        <w:rPr>
          <w:rFonts w:ascii="Trebuchet MS" w:hAnsi="Trebuchet MS" w:cs="Arial"/>
          <w:b/>
        </w:rPr>
      </w:pPr>
      <w:r>
        <w:rPr>
          <w:rFonts w:ascii="Trebuchet MS" w:hAnsi="Trebuchet MS" w:cs="Arial"/>
          <w:b/>
        </w:rPr>
        <w:t>Estado de Resultados Consolidado</w:t>
      </w:r>
    </w:p>
    <w:p w:rsidR="00D92A79" w:rsidRPr="00015A4E" w:rsidRDefault="00D92A79" w:rsidP="00D92A79">
      <w:pPr>
        <w:pStyle w:val="Prrafodelista"/>
        <w:ind w:left="1080"/>
        <w:contextualSpacing/>
        <w:jc w:val="center"/>
        <w:rPr>
          <w:rFonts w:ascii="Arial" w:hAnsi="Arial" w:cs="Arial"/>
          <w:b/>
        </w:rPr>
      </w:pPr>
      <w:r w:rsidRPr="00015A4E">
        <w:rPr>
          <w:rFonts w:ascii="Arial" w:hAnsi="Arial" w:cs="Arial"/>
          <w:b/>
        </w:rPr>
        <w:t>Fideicomiso 544 FONAFIFO CONSOLIDADO – BNCR</w:t>
      </w:r>
    </w:p>
    <w:p w:rsidR="00D92A79" w:rsidRDefault="00D92A79" w:rsidP="00D92A79">
      <w:pPr>
        <w:pStyle w:val="Prrafodelista"/>
        <w:ind w:left="1080"/>
        <w:contextualSpacing/>
        <w:jc w:val="center"/>
        <w:rPr>
          <w:rFonts w:ascii="Arial" w:hAnsi="Arial" w:cs="Arial"/>
          <w:b/>
        </w:rPr>
      </w:pPr>
      <w:r w:rsidRPr="00015A4E">
        <w:rPr>
          <w:rFonts w:ascii="Arial" w:hAnsi="Arial" w:cs="Arial"/>
          <w:b/>
        </w:rPr>
        <w:t xml:space="preserve">Al </w:t>
      </w:r>
      <w:r w:rsidR="009D2FA8">
        <w:rPr>
          <w:rFonts w:ascii="Arial" w:hAnsi="Arial" w:cs="Arial"/>
          <w:b/>
        </w:rPr>
        <w:t>30 de junio del 2018 y 2019</w:t>
      </w:r>
    </w:p>
    <w:p w:rsidR="00D92A79" w:rsidRPr="00D92A79" w:rsidRDefault="00D92A79" w:rsidP="00D92A79">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8245" w:type="dxa"/>
        <w:jc w:val="center"/>
        <w:tblCellMar>
          <w:left w:w="70" w:type="dxa"/>
          <w:right w:w="70" w:type="dxa"/>
        </w:tblCellMar>
        <w:tblLook w:val="04A0" w:firstRow="1" w:lastRow="0" w:firstColumn="1" w:lastColumn="0" w:noHBand="0" w:noVBand="1"/>
      </w:tblPr>
      <w:tblGrid>
        <w:gridCol w:w="2537"/>
        <w:gridCol w:w="426"/>
        <w:gridCol w:w="1832"/>
        <w:gridCol w:w="1981"/>
        <w:gridCol w:w="1143"/>
        <w:gridCol w:w="612"/>
      </w:tblGrid>
      <w:tr w:rsidR="008E6FC3" w:rsidRPr="008E6FC3" w:rsidTr="008E6FC3">
        <w:trPr>
          <w:trHeight w:val="236"/>
          <w:jc w:val="center"/>
        </w:trPr>
        <w:tc>
          <w:tcPr>
            <w:tcW w:w="0" w:type="auto"/>
            <w:vMerge w:val="restart"/>
            <w:tcBorders>
              <w:top w:val="single" w:sz="8" w:space="0" w:color="auto"/>
              <w:left w:val="single" w:sz="8" w:space="0" w:color="auto"/>
              <w:bottom w:val="single" w:sz="8" w:space="0" w:color="000000"/>
              <w:right w:val="nil"/>
            </w:tcBorders>
            <w:shd w:val="clear" w:color="000000" w:fill="00B050"/>
            <w:noWrap/>
            <w:vAlign w:val="bottom"/>
            <w:hideMark/>
          </w:tcPr>
          <w:p w:rsidR="008E6FC3" w:rsidRPr="008E6FC3" w:rsidRDefault="008E6FC3" w:rsidP="008E6FC3">
            <w:pPr>
              <w:jc w:val="cente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Detalle</w:t>
            </w:r>
          </w:p>
        </w:tc>
        <w:tc>
          <w:tcPr>
            <w:tcW w:w="0" w:type="auto"/>
            <w:vMerge w:val="restart"/>
            <w:tcBorders>
              <w:top w:val="single" w:sz="8" w:space="0" w:color="auto"/>
              <w:left w:val="nil"/>
              <w:bottom w:val="single" w:sz="8" w:space="0" w:color="000000"/>
              <w:right w:val="nil"/>
            </w:tcBorders>
            <w:shd w:val="clear" w:color="000000" w:fill="00B050"/>
            <w:noWrap/>
            <w:vAlign w:val="bottom"/>
            <w:hideMark/>
          </w:tcPr>
          <w:p w:rsidR="008E6FC3" w:rsidRPr="008E6FC3" w:rsidRDefault="008E6FC3" w:rsidP="008E6FC3">
            <w:pPr>
              <w:jc w:val="cente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Nota</w:t>
            </w:r>
          </w:p>
        </w:tc>
        <w:tc>
          <w:tcPr>
            <w:tcW w:w="0" w:type="auto"/>
            <w:vMerge w:val="restart"/>
            <w:tcBorders>
              <w:top w:val="single" w:sz="8" w:space="0" w:color="auto"/>
              <w:left w:val="nil"/>
              <w:bottom w:val="single" w:sz="8" w:space="0" w:color="000000"/>
              <w:right w:val="nil"/>
            </w:tcBorders>
            <w:shd w:val="clear" w:color="000000" w:fill="00B050"/>
            <w:noWrap/>
            <w:vAlign w:val="bottom"/>
            <w:hideMark/>
          </w:tcPr>
          <w:p w:rsidR="008E6FC3" w:rsidRPr="008E6FC3" w:rsidRDefault="008E6FC3" w:rsidP="008E6FC3">
            <w:pPr>
              <w:jc w:val="cente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Acumulado a diciembre 2018</w:t>
            </w:r>
          </w:p>
        </w:tc>
        <w:tc>
          <w:tcPr>
            <w:tcW w:w="0" w:type="auto"/>
            <w:vMerge w:val="restart"/>
            <w:tcBorders>
              <w:top w:val="single" w:sz="8" w:space="0" w:color="auto"/>
              <w:left w:val="nil"/>
              <w:bottom w:val="single" w:sz="8" w:space="0" w:color="000000"/>
              <w:right w:val="nil"/>
            </w:tcBorders>
            <w:shd w:val="clear" w:color="000000" w:fill="00B050"/>
            <w:noWrap/>
            <w:vAlign w:val="bottom"/>
            <w:hideMark/>
          </w:tcPr>
          <w:p w:rsidR="008E6FC3" w:rsidRPr="008E6FC3" w:rsidRDefault="008E6FC3" w:rsidP="008E6FC3">
            <w:pPr>
              <w:jc w:val="cente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Acumulado a diciembre 2019</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00B050"/>
            <w:vAlign w:val="bottom"/>
            <w:hideMark/>
          </w:tcPr>
          <w:p w:rsidR="008E6FC3" w:rsidRPr="008E6FC3" w:rsidRDefault="008E6FC3" w:rsidP="008E6FC3">
            <w:pPr>
              <w:jc w:val="cente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Variacion</w:t>
            </w:r>
          </w:p>
        </w:tc>
      </w:tr>
      <w:tr w:rsidR="008E6FC3" w:rsidRPr="008E6FC3" w:rsidTr="008E6FC3">
        <w:trPr>
          <w:trHeight w:val="236"/>
          <w:jc w:val="center"/>
        </w:trPr>
        <w:tc>
          <w:tcPr>
            <w:tcW w:w="0" w:type="auto"/>
            <w:vMerge/>
            <w:tcBorders>
              <w:top w:val="single" w:sz="8" w:space="0" w:color="auto"/>
              <w:left w:val="single" w:sz="8" w:space="0" w:color="auto"/>
              <w:bottom w:val="single" w:sz="8" w:space="0" w:color="000000"/>
              <w:right w:val="nil"/>
            </w:tcBorders>
            <w:vAlign w:val="center"/>
            <w:hideMark/>
          </w:tcPr>
          <w:p w:rsidR="008E6FC3" w:rsidRPr="008E6FC3" w:rsidRDefault="008E6FC3" w:rsidP="008E6FC3">
            <w:pPr>
              <w:rPr>
                <w:rFonts w:ascii="Calibri" w:eastAsia="Times New Roman" w:hAnsi="Calibri"/>
                <w:b/>
                <w:bCs/>
                <w:color w:val="000000"/>
                <w:sz w:val="14"/>
                <w:szCs w:val="14"/>
                <w:lang w:eastAsia="es-CR"/>
              </w:rPr>
            </w:pPr>
          </w:p>
        </w:tc>
        <w:tc>
          <w:tcPr>
            <w:tcW w:w="0" w:type="auto"/>
            <w:vMerge/>
            <w:tcBorders>
              <w:top w:val="single" w:sz="8" w:space="0" w:color="auto"/>
              <w:left w:val="nil"/>
              <w:bottom w:val="single" w:sz="8" w:space="0" w:color="000000"/>
              <w:right w:val="nil"/>
            </w:tcBorders>
            <w:vAlign w:val="center"/>
            <w:hideMark/>
          </w:tcPr>
          <w:p w:rsidR="008E6FC3" w:rsidRPr="008E6FC3" w:rsidRDefault="008E6FC3" w:rsidP="008E6FC3">
            <w:pPr>
              <w:rPr>
                <w:rFonts w:ascii="Calibri" w:eastAsia="Times New Roman" w:hAnsi="Calibri"/>
                <w:b/>
                <w:bCs/>
                <w:color w:val="000000"/>
                <w:sz w:val="14"/>
                <w:szCs w:val="14"/>
                <w:lang w:eastAsia="es-CR"/>
              </w:rPr>
            </w:pPr>
          </w:p>
        </w:tc>
        <w:tc>
          <w:tcPr>
            <w:tcW w:w="0" w:type="auto"/>
            <w:vMerge/>
            <w:tcBorders>
              <w:top w:val="single" w:sz="8" w:space="0" w:color="auto"/>
              <w:left w:val="nil"/>
              <w:bottom w:val="single" w:sz="8" w:space="0" w:color="000000"/>
              <w:right w:val="nil"/>
            </w:tcBorders>
            <w:vAlign w:val="center"/>
            <w:hideMark/>
          </w:tcPr>
          <w:p w:rsidR="008E6FC3" w:rsidRPr="008E6FC3" w:rsidRDefault="008E6FC3" w:rsidP="008E6FC3">
            <w:pPr>
              <w:rPr>
                <w:rFonts w:ascii="Calibri" w:eastAsia="Times New Roman" w:hAnsi="Calibri"/>
                <w:b/>
                <w:bCs/>
                <w:color w:val="000000"/>
                <w:sz w:val="14"/>
                <w:szCs w:val="14"/>
                <w:lang w:eastAsia="es-CR"/>
              </w:rPr>
            </w:pPr>
          </w:p>
        </w:tc>
        <w:tc>
          <w:tcPr>
            <w:tcW w:w="0" w:type="auto"/>
            <w:vMerge/>
            <w:tcBorders>
              <w:top w:val="single" w:sz="8" w:space="0" w:color="auto"/>
              <w:left w:val="nil"/>
              <w:bottom w:val="single" w:sz="8" w:space="0" w:color="000000"/>
              <w:right w:val="nil"/>
            </w:tcBorders>
            <w:vAlign w:val="center"/>
            <w:hideMark/>
          </w:tcPr>
          <w:p w:rsidR="008E6FC3" w:rsidRPr="008E6FC3" w:rsidRDefault="008E6FC3" w:rsidP="008E6FC3">
            <w:pPr>
              <w:rPr>
                <w:rFonts w:ascii="Calibri" w:eastAsia="Times New Roman" w:hAnsi="Calibri"/>
                <w:b/>
                <w:bCs/>
                <w:color w:val="000000"/>
                <w:sz w:val="14"/>
                <w:szCs w:val="14"/>
                <w:lang w:eastAsia="es-CR"/>
              </w:rPr>
            </w:pPr>
          </w:p>
        </w:tc>
        <w:tc>
          <w:tcPr>
            <w:tcW w:w="0" w:type="auto"/>
            <w:tcBorders>
              <w:top w:val="nil"/>
              <w:left w:val="single" w:sz="8" w:space="0" w:color="auto"/>
              <w:bottom w:val="single" w:sz="8" w:space="0" w:color="auto"/>
              <w:right w:val="single" w:sz="8" w:space="0" w:color="auto"/>
            </w:tcBorders>
            <w:shd w:val="clear" w:color="000000" w:fill="00B050"/>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Absoluta</w:t>
            </w:r>
          </w:p>
        </w:tc>
        <w:tc>
          <w:tcPr>
            <w:tcW w:w="0" w:type="auto"/>
            <w:tcBorders>
              <w:top w:val="nil"/>
              <w:left w:val="nil"/>
              <w:bottom w:val="single" w:sz="8" w:space="0" w:color="auto"/>
              <w:right w:val="single" w:sz="8" w:space="0" w:color="auto"/>
            </w:tcBorders>
            <w:shd w:val="clear" w:color="000000" w:fill="00B050"/>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Relativa</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Ingresos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auto" w:fill="auto"/>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Ingresos Operativos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Productos por cartera de crédito</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23</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156.628.510,53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177.865.526,30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21.237.015,77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14%</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Disminución Estimaciones por incobrables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24</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136.577.198,29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421.807.887,21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285.230.688,92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209%</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Ingresos por Afectaciones-PSA</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25</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37.025.342,58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53.315.196,95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16.289.854,37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44%</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Otros Ingresos Operativos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26</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588.850.835,42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869.622.546,70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280.771.711,28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48%</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Ingresos por bienes realizables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27</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7.039.168,34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7.039.168,34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-100%</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Total Ingresoso operativos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926.121.055,16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1.522.611.157,16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596.490.102,00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64%</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Ingresos Financieros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Ingreso por diferencial cambiario</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28</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17.965.381,46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6.849.686,72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11.115.694,74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-62%</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Ingresos Financieros por Disponibilidades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29</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627,28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   </w:t>
            </w:r>
          </w:p>
        </w:tc>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627,28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-100%</w:t>
            </w:r>
          </w:p>
        </w:tc>
      </w:tr>
      <w:tr w:rsidR="008E6FC3" w:rsidRPr="008E6FC3" w:rsidTr="008E6FC3">
        <w:trPr>
          <w:trHeight w:val="236"/>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Total ingresos financieros</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17.966.008,74 </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6.849.686,72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11.116.322,02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-62%</w:t>
            </w:r>
          </w:p>
        </w:tc>
      </w:tr>
      <w:tr w:rsidR="008E6FC3" w:rsidRPr="008E6FC3" w:rsidTr="008E6FC3">
        <w:trPr>
          <w:trHeight w:val="236"/>
          <w:jc w:val="center"/>
        </w:trPr>
        <w:tc>
          <w:tcPr>
            <w:tcW w:w="0" w:type="auto"/>
            <w:tcBorders>
              <w:top w:val="nil"/>
              <w:left w:val="single" w:sz="8" w:space="0" w:color="auto"/>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Total ingresos</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944.087.063,90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1.529.460.843,88 </w:t>
            </w:r>
          </w:p>
        </w:tc>
        <w:tc>
          <w:tcPr>
            <w:tcW w:w="0" w:type="auto"/>
            <w:tcBorders>
              <w:top w:val="nil"/>
              <w:left w:val="nil"/>
              <w:bottom w:val="single" w:sz="8" w:space="0" w:color="auto"/>
              <w:right w:val="single" w:sz="8" w:space="0" w:color="auto"/>
            </w:tcBorders>
            <w:shd w:val="clear" w:color="auto" w:fill="auto"/>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585</w:t>
            </w:r>
            <w:r>
              <w:rPr>
                <w:rFonts w:ascii="Calibri" w:eastAsia="Times New Roman" w:hAnsi="Calibri"/>
                <w:color w:val="000000"/>
                <w:sz w:val="14"/>
                <w:szCs w:val="14"/>
                <w:lang w:eastAsia="es-CR"/>
              </w:rPr>
              <w:t>.</w:t>
            </w:r>
            <w:r w:rsidRPr="008E6FC3">
              <w:rPr>
                <w:rFonts w:ascii="Calibri" w:eastAsia="Times New Roman" w:hAnsi="Calibri"/>
                <w:color w:val="000000"/>
                <w:sz w:val="14"/>
                <w:szCs w:val="14"/>
                <w:lang w:eastAsia="es-CR"/>
              </w:rPr>
              <w:t>373</w:t>
            </w:r>
            <w:r>
              <w:rPr>
                <w:rFonts w:ascii="Calibri" w:eastAsia="Times New Roman" w:hAnsi="Calibri"/>
                <w:color w:val="000000"/>
                <w:sz w:val="14"/>
                <w:szCs w:val="14"/>
                <w:lang w:eastAsia="es-CR"/>
              </w:rPr>
              <w:t>.</w:t>
            </w:r>
            <w:r w:rsidRPr="008E6FC3">
              <w:rPr>
                <w:rFonts w:ascii="Calibri" w:eastAsia="Times New Roman" w:hAnsi="Calibri"/>
                <w:color w:val="000000"/>
                <w:sz w:val="14"/>
                <w:szCs w:val="14"/>
                <w:lang w:eastAsia="es-CR"/>
              </w:rPr>
              <w:t>7</w:t>
            </w:r>
            <w:r>
              <w:rPr>
                <w:rFonts w:ascii="Calibri" w:eastAsia="Times New Roman" w:hAnsi="Calibri"/>
                <w:color w:val="000000"/>
                <w:sz w:val="14"/>
                <w:szCs w:val="14"/>
                <w:lang w:eastAsia="es-CR"/>
              </w:rPr>
              <w:t>79,98</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62%</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Egresos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Gastos operativos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por estimación cartera crédito</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30</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87.149.493,47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420.308.153,57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333.158.660,10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382%</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por Bienes Realizables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31</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65.036.084,96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91.764.457,04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26.728.372,08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41%</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Servicios Ambietales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32</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1.840.913,92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862.237,80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978.676,12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-53%</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Comisión por servicios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33</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125.869.211,76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- 125.869.211,76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-100%</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Otros gastos operativos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34</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3.721.401,22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52.702.745,48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48.981.344,26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1316%</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Total Gastos Operativos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283.617.105,33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565.637.593,89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282.020.488,56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99%</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Gastos Financieros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Diferencial cambiario</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28</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3.615.335,13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17.276.948,33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13.661.613,20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378%</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Total gastos Financieros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3.615.335,13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17.276.948,33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13.661.613,20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378%</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Gastos de Administración</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de personal</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35</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229.733.130,12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133.674.356,17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96.058.773,95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-42%</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por provisiones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36</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88.555.136,29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47.766.367,08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40.788.769,21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-46%</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por servicios externos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37</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556.664.031,77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630.304.191,10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73.640.159,33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13%</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de movilidad y comunicaciones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38</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27.148.495,42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28.405.789,45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1.257.294,03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5%</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de infraestructura</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39</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63.570.830,50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67.383.508,78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3.812.678,28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6%</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Gastos generales</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40</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45.772.965,94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36.684.378,03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9.088.587,91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-20%</w:t>
            </w:r>
          </w:p>
        </w:tc>
      </w:tr>
      <w:tr w:rsidR="008E6FC3" w:rsidRPr="008E6FC3" w:rsidTr="008E6FC3">
        <w:trPr>
          <w:trHeight w:val="226"/>
          <w:jc w:val="center"/>
        </w:trPr>
        <w:tc>
          <w:tcPr>
            <w:tcW w:w="0" w:type="auto"/>
            <w:tcBorders>
              <w:top w:val="nil"/>
              <w:left w:val="single" w:sz="8" w:space="0" w:color="auto"/>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Total Gastos Administrativos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1.011.444.590,04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944.218.590,61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67.225.999,43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-7%</w:t>
            </w:r>
          </w:p>
        </w:tc>
      </w:tr>
      <w:tr w:rsidR="008E6FC3" w:rsidRPr="008E6FC3" w:rsidTr="008E6FC3">
        <w:trPr>
          <w:trHeight w:val="236"/>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36"/>
          <w:jc w:val="center"/>
        </w:trPr>
        <w:tc>
          <w:tcPr>
            <w:tcW w:w="0" w:type="auto"/>
            <w:tcBorders>
              <w:top w:val="nil"/>
              <w:left w:val="single" w:sz="8" w:space="0" w:color="auto"/>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Total  Egresos</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1.298.677.030,50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1.527.133.132,83 </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228.456.102,33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18%</w:t>
            </w:r>
          </w:p>
        </w:tc>
      </w:tr>
      <w:tr w:rsidR="008E6FC3" w:rsidRPr="008E6FC3" w:rsidTr="008E6FC3">
        <w:trPr>
          <w:trHeight w:val="226"/>
          <w:jc w:val="center"/>
        </w:trPr>
        <w:tc>
          <w:tcPr>
            <w:tcW w:w="0" w:type="auto"/>
            <w:tcBorders>
              <w:top w:val="nil"/>
              <w:left w:val="single" w:sz="8" w:space="0" w:color="auto"/>
              <w:bottom w:val="nil"/>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r>
      <w:tr w:rsidR="008E6FC3" w:rsidRPr="008E6FC3" w:rsidTr="008E6FC3">
        <w:trPr>
          <w:trHeight w:val="236"/>
          <w:jc w:val="center"/>
        </w:trPr>
        <w:tc>
          <w:tcPr>
            <w:tcW w:w="0" w:type="auto"/>
            <w:tcBorders>
              <w:top w:val="nil"/>
              <w:left w:val="single" w:sz="8" w:space="0" w:color="auto"/>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Utilidad o (Perdida)</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354.589.966,60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rPr>
                <w:rFonts w:ascii="Calibri" w:eastAsia="Times New Roman" w:hAnsi="Calibri"/>
                <w:b/>
                <w:bCs/>
                <w:color w:val="000000"/>
                <w:sz w:val="14"/>
                <w:szCs w:val="14"/>
                <w:lang w:eastAsia="es-CR"/>
              </w:rPr>
            </w:pPr>
            <w:r w:rsidRPr="008E6FC3">
              <w:rPr>
                <w:rFonts w:ascii="Calibri" w:eastAsia="Times New Roman" w:hAnsi="Calibri"/>
                <w:b/>
                <w:bCs/>
                <w:color w:val="000000"/>
                <w:sz w:val="14"/>
                <w:szCs w:val="14"/>
                <w:lang w:eastAsia="es-CR"/>
              </w:rPr>
              <w:t xml:space="preserve">                                  2.327.711,05 </w:t>
            </w:r>
          </w:p>
        </w:tc>
        <w:tc>
          <w:tcPr>
            <w:tcW w:w="0" w:type="auto"/>
            <w:tcBorders>
              <w:top w:val="nil"/>
              <w:left w:val="nil"/>
              <w:bottom w:val="single" w:sz="8" w:space="0" w:color="auto"/>
              <w:right w:val="nil"/>
            </w:tcBorders>
            <w:shd w:val="clear" w:color="000000" w:fill="FFFFFF"/>
            <w:noWrap/>
            <w:vAlign w:val="bottom"/>
            <w:hideMark/>
          </w:tcPr>
          <w:p w:rsidR="008E6FC3" w:rsidRPr="008E6FC3" w:rsidRDefault="008E6FC3" w:rsidP="008E6FC3">
            <w:pPr>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 xml:space="preserve">   356.917.677,65 </w:t>
            </w:r>
          </w:p>
        </w:tc>
        <w:tc>
          <w:tcPr>
            <w:tcW w:w="0" w:type="auto"/>
            <w:tcBorders>
              <w:top w:val="nil"/>
              <w:left w:val="nil"/>
              <w:bottom w:val="single" w:sz="8" w:space="0" w:color="auto"/>
              <w:right w:val="single" w:sz="8" w:space="0" w:color="auto"/>
            </w:tcBorders>
            <w:shd w:val="clear" w:color="000000" w:fill="FFFFFF"/>
            <w:noWrap/>
            <w:vAlign w:val="bottom"/>
            <w:hideMark/>
          </w:tcPr>
          <w:p w:rsidR="008E6FC3" w:rsidRPr="008E6FC3" w:rsidRDefault="008E6FC3" w:rsidP="008E6FC3">
            <w:pPr>
              <w:jc w:val="right"/>
              <w:rPr>
                <w:rFonts w:ascii="Calibri" w:eastAsia="Times New Roman" w:hAnsi="Calibri"/>
                <w:color w:val="000000"/>
                <w:sz w:val="14"/>
                <w:szCs w:val="14"/>
                <w:lang w:eastAsia="es-CR"/>
              </w:rPr>
            </w:pPr>
            <w:r w:rsidRPr="008E6FC3">
              <w:rPr>
                <w:rFonts w:ascii="Calibri" w:eastAsia="Times New Roman" w:hAnsi="Calibri"/>
                <w:color w:val="000000"/>
                <w:sz w:val="14"/>
                <w:szCs w:val="14"/>
                <w:lang w:eastAsia="es-CR"/>
              </w:rPr>
              <w:t>-101%</w:t>
            </w:r>
          </w:p>
        </w:tc>
      </w:tr>
    </w:tbl>
    <w:p w:rsidR="00C94CCA" w:rsidRPr="00767C7C" w:rsidRDefault="00C94CCA">
      <w:pPr>
        <w:rPr>
          <w:rFonts w:ascii="Trebuchet MS" w:eastAsia="Times New Roman" w:hAnsi="Trebuchet MS" w:cs="Arial"/>
          <w:b/>
          <w:sz w:val="22"/>
          <w:szCs w:val="22"/>
          <w:lang w:eastAsia="en-US"/>
        </w:rPr>
      </w:pPr>
    </w:p>
    <w:p w:rsidR="002E5057" w:rsidRDefault="002E5057" w:rsidP="00FC2809">
      <w:pPr>
        <w:contextualSpacing/>
        <w:jc w:val="both"/>
        <w:rPr>
          <w:rFonts w:ascii="Trebuchet MS" w:hAnsi="Trebuchet MS" w:cs="Arial"/>
          <w:b/>
        </w:rPr>
      </w:pPr>
    </w:p>
    <w:p w:rsidR="008E6FC3" w:rsidRDefault="008E6FC3" w:rsidP="00FC2809">
      <w:pPr>
        <w:contextualSpacing/>
        <w:jc w:val="both"/>
        <w:rPr>
          <w:rFonts w:ascii="Trebuchet MS" w:hAnsi="Trebuchet MS" w:cs="Arial"/>
          <w:b/>
        </w:rPr>
      </w:pPr>
    </w:p>
    <w:p w:rsidR="008E6FC3" w:rsidRDefault="008E6FC3" w:rsidP="00FC2809">
      <w:pPr>
        <w:contextualSpacing/>
        <w:jc w:val="both"/>
        <w:rPr>
          <w:rFonts w:ascii="Trebuchet MS" w:hAnsi="Trebuchet MS" w:cs="Arial"/>
          <w:b/>
        </w:rPr>
      </w:pPr>
    </w:p>
    <w:p w:rsidR="008E6FC3" w:rsidRDefault="008E6FC3" w:rsidP="00FC2809">
      <w:pPr>
        <w:contextualSpacing/>
        <w:jc w:val="both"/>
        <w:rPr>
          <w:rFonts w:ascii="Trebuchet MS" w:hAnsi="Trebuchet MS" w:cs="Arial"/>
          <w:b/>
        </w:rPr>
      </w:pPr>
    </w:p>
    <w:p w:rsidR="00D041AF" w:rsidRPr="00494B08" w:rsidRDefault="00D041AF" w:rsidP="00D041AF">
      <w:pPr>
        <w:contextualSpacing/>
        <w:jc w:val="both"/>
        <w:rPr>
          <w:rFonts w:ascii="Arial" w:hAnsi="Arial" w:cs="Arial"/>
          <w:b/>
          <w:sz w:val="24"/>
          <w:szCs w:val="24"/>
        </w:rPr>
      </w:pPr>
      <w:r w:rsidRPr="00494B08">
        <w:rPr>
          <w:rFonts w:ascii="Arial" w:hAnsi="Arial" w:cs="Arial"/>
          <w:b/>
          <w:sz w:val="24"/>
          <w:szCs w:val="24"/>
        </w:rPr>
        <w:t>Comentarios al Estado de Resultados:</w:t>
      </w:r>
    </w:p>
    <w:p w:rsidR="00D041AF" w:rsidRPr="00494B08" w:rsidRDefault="00D041AF" w:rsidP="00D041AF">
      <w:pPr>
        <w:contextualSpacing/>
        <w:jc w:val="both"/>
        <w:rPr>
          <w:rFonts w:ascii="Arial" w:hAnsi="Arial" w:cs="Arial"/>
          <w:b/>
          <w:sz w:val="24"/>
          <w:szCs w:val="24"/>
        </w:rPr>
      </w:pPr>
    </w:p>
    <w:p w:rsidR="00A93347" w:rsidRPr="00A93347" w:rsidRDefault="002E5057" w:rsidP="00A93347">
      <w:pPr>
        <w:jc w:val="both"/>
        <w:rPr>
          <w:rFonts w:ascii="Arial" w:hAnsi="Arial" w:cs="Arial"/>
          <w:color w:val="000000" w:themeColor="text1"/>
          <w:sz w:val="24"/>
          <w:szCs w:val="24"/>
        </w:rPr>
      </w:pPr>
      <w:r w:rsidRPr="00F35175">
        <w:rPr>
          <w:rFonts w:ascii="Arial" w:hAnsi="Arial" w:cs="Arial"/>
          <w:color w:val="000000" w:themeColor="text1"/>
          <w:sz w:val="24"/>
          <w:szCs w:val="24"/>
        </w:rPr>
        <w:t>El Fideicomiso presenta un ingreso total de ¢</w:t>
      </w:r>
      <w:r w:rsidR="008E6FC3">
        <w:rPr>
          <w:rFonts w:ascii="Arial" w:hAnsi="Arial" w:cs="Arial"/>
          <w:color w:val="000000" w:themeColor="text1"/>
          <w:sz w:val="24"/>
          <w:szCs w:val="24"/>
        </w:rPr>
        <w:t>1.529.460.843,88</w:t>
      </w:r>
      <w:r w:rsidR="00A93347">
        <w:rPr>
          <w:rFonts w:ascii="Arial" w:hAnsi="Arial" w:cs="Arial"/>
          <w:color w:val="000000" w:themeColor="text1"/>
          <w:sz w:val="24"/>
          <w:szCs w:val="24"/>
        </w:rPr>
        <w:t xml:space="preserve"> los cuales, con respecto al año anterior, presentan un aumento del </w:t>
      </w:r>
      <w:r w:rsidR="008E6FC3">
        <w:rPr>
          <w:rFonts w:ascii="Arial" w:hAnsi="Arial" w:cs="Arial"/>
          <w:color w:val="000000" w:themeColor="text1"/>
          <w:sz w:val="24"/>
          <w:szCs w:val="24"/>
        </w:rPr>
        <w:t>62</w:t>
      </w:r>
      <w:r w:rsidR="00A93347">
        <w:rPr>
          <w:rFonts w:ascii="Arial" w:hAnsi="Arial" w:cs="Arial"/>
          <w:color w:val="000000" w:themeColor="text1"/>
          <w:sz w:val="24"/>
          <w:szCs w:val="24"/>
        </w:rPr>
        <w:t xml:space="preserve">%. </w:t>
      </w:r>
      <w:r w:rsidR="008E6FC3">
        <w:rPr>
          <w:rFonts w:ascii="Arial" w:hAnsi="Arial" w:cs="Arial"/>
          <w:color w:val="000000" w:themeColor="text1"/>
          <w:sz w:val="24"/>
          <w:szCs w:val="24"/>
        </w:rPr>
        <w:t xml:space="preserve">El mayor incremento lo presentan la disminución estimaciones por incobrables con un monto absoluto </w:t>
      </w:r>
      <w:r w:rsidR="008E6FC3" w:rsidRPr="00F35175">
        <w:rPr>
          <w:rFonts w:ascii="Arial" w:hAnsi="Arial" w:cs="Arial"/>
          <w:color w:val="000000" w:themeColor="text1"/>
          <w:sz w:val="24"/>
          <w:szCs w:val="24"/>
        </w:rPr>
        <w:t xml:space="preserve"> ¢</w:t>
      </w:r>
      <w:r w:rsidR="008E6FC3">
        <w:rPr>
          <w:rFonts w:ascii="Arial" w:hAnsi="Arial" w:cs="Arial"/>
          <w:color w:val="000000" w:themeColor="text1"/>
          <w:sz w:val="24"/>
          <w:szCs w:val="24"/>
        </w:rPr>
        <w:t xml:space="preserve">285.230.688,92 y de forma porcentual de 209%, así </w:t>
      </w:r>
      <w:r w:rsidR="00F74F0D">
        <w:rPr>
          <w:rFonts w:ascii="Arial" w:hAnsi="Arial" w:cs="Arial"/>
          <w:color w:val="000000" w:themeColor="text1"/>
          <w:sz w:val="24"/>
          <w:szCs w:val="24"/>
        </w:rPr>
        <w:t>c</w:t>
      </w:r>
      <w:r w:rsidR="008E6FC3">
        <w:rPr>
          <w:rFonts w:ascii="Arial" w:hAnsi="Arial" w:cs="Arial"/>
          <w:color w:val="000000" w:themeColor="text1"/>
          <w:sz w:val="24"/>
          <w:szCs w:val="24"/>
        </w:rPr>
        <w:t xml:space="preserve">omo otros ingresos operativos con un inremento absoluto de </w:t>
      </w:r>
      <w:r w:rsidR="008E6FC3" w:rsidRPr="00F35175">
        <w:rPr>
          <w:rFonts w:ascii="Arial" w:hAnsi="Arial" w:cs="Arial"/>
          <w:color w:val="000000" w:themeColor="text1"/>
          <w:sz w:val="24"/>
          <w:szCs w:val="24"/>
        </w:rPr>
        <w:t xml:space="preserve"> ¢</w:t>
      </w:r>
      <w:r w:rsidR="008E6FC3">
        <w:rPr>
          <w:rFonts w:ascii="Arial" w:hAnsi="Arial" w:cs="Arial"/>
          <w:color w:val="000000" w:themeColor="text1"/>
          <w:sz w:val="24"/>
          <w:szCs w:val="24"/>
        </w:rPr>
        <w:t>280.771.711,28 y de forma porcentual de 48%.</w:t>
      </w:r>
      <w:r w:rsidR="00A93347" w:rsidRPr="00A93347">
        <w:rPr>
          <w:rFonts w:ascii="Arial" w:hAnsi="Arial" w:cs="Arial"/>
          <w:color w:val="000000" w:themeColor="text1"/>
          <w:sz w:val="24"/>
          <w:szCs w:val="24"/>
        </w:rPr>
        <w:t xml:space="preserve"> </w:t>
      </w:r>
    </w:p>
    <w:p w:rsidR="00A93347" w:rsidRPr="00A93347" w:rsidRDefault="00A93347" w:rsidP="00A93347">
      <w:pPr>
        <w:jc w:val="both"/>
        <w:rPr>
          <w:rFonts w:ascii="Arial" w:eastAsia="Times New Roman" w:hAnsi="Arial" w:cs="Arial"/>
          <w:color w:val="000000"/>
          <w:sz w:val="14"/>
          <w:szCs w:val="14"/>
          <w:lang w:eastAsia="es-CR"/>
        </w:rPr>
      </w:pPr>
    </w:p>
    <w:p w:rsidR="000F70C0" w:rsidRPr="00634FF4" w:rsidRDefault="000F70C0" w:rsidP="00D041AF">
      <w:pPr>
        <w:contextualSpacing/>
        <w:jc w:val="both"/>
        <w:rPr>
          <w:rFonts w:ascii="Arial" w:hAnsi="Arial" w:cs="Arial"/>
          <w:color w:val="FF0000"/>
          <w:sz w:val="24"/>
          <w:szCs w:val="24"/>
        </w:rPr>
      </w:pPr>
    </w:p>
    <w:p w:rsidR="002077B2" w:rsidRDefault="00D041AF" w:rsidP="00D041AF">
      <w:pPr>
        <w:contextualSpacing/>
        <w:jc w:val="both"/>
        <w:rPr>
          <w:rFonts w:ascii="Arial" w:hAnsi="Arial" w:cs="Arial"/>
          <w:sz w:val="24"/>
          <w:szCs w:val="24"/>
        </w:rPr>
      </w:pPr>
      <w:r w:rsidRPr="00FC0981">
        <w:rPr>
          <w:rFonts w:ascii="Arial" w:hAnsi="Arial" w:cs="Arial"/>
          <w:sz w:val="24"/>
          <w:szCs w:val="24"/>
        </w:rPr>
        <w:t>Con respecto a los gastos</w:t>
      </w:r>
      <w:r w:rsidR="00BF0078" w:rsidRPr="00FC0981">
        <w:rPr>
          <w:rFonts w:ascii="Arial" w:hAnsi="Arial" w:cs="Arial"/>
          <w:sz w:val="24"/>
          <w:szCs w:val="24"/>
        </w:rPr>
        <w:t>,</w:t>
      </w:r>
      <w:r w:rsidRPr="00FC0981">
        <w:rPr>
          <w:rFonts w:ascii="Arial" w:hAnsi="Arial" w:cs="Arial"/>
          <w:sz w:val="24"/>
          <w:szCs w:val="24"/>
        </w:rPr>
        <w:t xml:space="preserve"> </w:t>
      </w:r>
      <w:r w:rsidR="00BF0078" w:rsidRPr="00FC0981">
        <w:rPr>
          <w:rFonts w:ascii="Arial" w:hAnsi="Arial" w:cs="Arial"/>
          <w:sz w:val="24"/>
          <w:szCs w:val="24"/>
        </w:rPr>
        <w:t xml:space="preserve">el Fideicomiso presenta </w:t>
      </w:r>
      <w:r w:rsidR="002077B2">
        <w:rPr>
          <w:rFonts w:ascii="Arial" w:hAnsi="Arial" w:cs="Arial"/>
          <w:sz w:val="24"/>
          <w:szCs w:val="24"/>
        </w:rPr>
        <w:t>gastos totales por un monto de ¢</w:t>
      </w:r>
      <w:r w:rsidR="00F74F0D">
        <w:rPr>
          <w:rFonts w:ascii="Arial" w:hAnsi="Arial" w:cs="Arial"/>
          <w:sz w:val="24"/>
          <w:szCs w:val="24"/>
        </w:rPr>
        <w:t>1.527.133.132,83</w:t>
      </w:r>
      <w:r w:rsidR="002077B2">
        <w:rPr>
          <w:rFonts w:ascii="Arial" w:hAnsi="Arial" w:cs="Arial"/>
          <w:sz w:val="24"/>
          <w:szCs w:val="24"/>
        </w:rPr>
        <w:t xml:space="preserve"> con respecto al año anterior, presenta un aumento relativo de 18% y  absoluto de ¢</w:t>
      </w:r>
      <w:r w:rsidR="00F74F0D">
        <w:rPr>
          <w:rFonts w:ascii="Arial" w:hAnsi="Arial" w:cs="Arial"/>
          <w:sz w:val="24"/>
          <w:szCs w:val="24"/>
        </w:rPr>
        <w:t>228.456.102,33</w:t>
      </w:r>
      <w:r w:rsidR="002077B2">
        <w:rPr>
          <w:rFonts w:ascii="Arial" w:hAnsi="Arial" w:cs="Arial"/>
          <w:sz w:val="24"/>
          <w:szCs w:val="24"/>
        </w:rPr>
        <w:t>.</w:t>
      </w:r>
    </w:p>
    <w:p w:rsidR="002077B2" w:rsidRDefault="002077B2"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AA07A0" w:rsidRDefault="00AA07A0"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Default="004904DE" w:rsidP="00D041AF">
      <w:pPr>
        <w:contextualSpacing/>
        <w:jc w:val="both"/>
        <w:rPr>
          <w:rFonts w:ascii="Arial" w:hAnsi="Arial" w:cs="Arial"/>
          <w:sz w:val="24"/>
          <w:szCs w:val="24"/>
        </w:rPr>
      </w:pPr>
    </w:p>
    <w:p w:rsidR="004904DE" w:rsidRPr="00767C7C" w:rsidRDefault="004904DE" w:rsidP="00D041AF">
      <w:pPr>
        <w:contextualSpacing/>
        <w:jc w:val="both"/>
        <w:rPr>
          <w:rFonts w:ascii="Arial" w:hAnsi="Arial" w:cs="Arial"/>
          <w:sz w:val="24"/>
          <w:szCs w:val="24"/>
        </w:rPr>
      </w:pPr>
    </w:p>
    <w:p w:rsidR="00CB011B" w:rsidRPr="00767C7C" w:rsidRDefault="00787E97" w:rsidP="009B4919">
      <w:pPr>
        <w:pStyle w:val="Prrafodelista"/>
        <w:numPr>
          <w:ilvl w:val="1"/>
          <w:numId w:val="39"/>
        </w:numPr>
        <w:spacing w:after="0" w:line="240" w:lineRule="auto"/>
        <w:ind w:right="1372"/>
        <w:contextualSpacing/>
        <w:jc w:val="both"/>
        <w:outlineLvl w:val="1"/>
        <w:rPr>
          <w:rFonts w:ascii="Arial" w:eastAsia="SimSun" w:hAnsi="Arial" w:cs="Arial"/>
          <w:b/>
          <w:lang w:val="es-ES_tradnl" w:eastAsia="es-ES"/>
        </w:rPr>
      </w:pPr>
      <w:bookmarkStart w:id="14" w:name="_Toc32593426"/>
      <w:r w:rsidRPr="00767C7C">
        <w:rPr>
          <w:rFonts w:ascii="Arial" w:eastAsia="SimSun" w:hAnsi="Arial" w:cs="Arial"/>
          <w:b/>
          <w:lang w:eastAsia="es-ES"/>
        </w:rPr>
        <w:t>Análisis Vertical</w:t>
      </w:r>
      <w:bookmarkEnd w:id="14"/>
    </w:p>
    <w:p w:rsidR="00CB011B" w:rsidRDefault="00CB011B" w:rsidP="00CB011B">
      <w:pPr>
        <w:pStyle w:val="Prrafodelista"/>
        <w:spacing w:after="0" w:line="240" w:lineRule="auto"/>
        <w:ind w:left="1440" w:right="1372"/>
        <w:contextualSpacing/>
        <w:jc w:val="both"/>
        <w:rPr>
          <w:rFonts w:ascii="Arial" w:eastAsia="SimSun" w:hAnsi="Arial" w:cs="Arial"/>
          <w:b/>
          <w:lang w:eastAsia="es-ES"/>
        </w:rPr>
      </w:pP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 xml:space="preserve">Estado de </w:t>
      </w:r>
      <w:r>
        <w:rPr>
          <w:rFonts w:ascii="Arial" w:hAnsi="Arial" w:cs="Arial"/>
          <w:b/>
        </w:rPr>
        <w:t>Situación Financiera C</w:t>
      </w:r>
      <w:r w:rsidRPr="00015A4E">
        <w:rPr>
          <w:rFonts w:ascii="Arial" w:hAnsi="Arial" w:cs="Arial"/>
          <w:b/>
        </w:rPr>
        <w:t>onsolidado</w:t>
      </w: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Fideicomiso 544 FONAFIFO CONSOLIDADO – BNCR</w:t>
      </w: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 xml:space="preserve">Al </w:t>
      </w:r>
      <w:r w:rsidR="0046660D">
        <w:rPr>
          <w:rFonts w:ascii="Arial" w:hAnsi="Arial" w:cs="Arial"/>
          <w:b/>
        </w:rPr>
        <w:t>3</w:t>
      </w:r>
      <w:r w:rsidR="00303878">
        <w:rPr>
          <w:rFonts w:ascii="Arial" w:hAnsi="Arial" w:cs="Arial"/>
          <w:b/>
        </w:rPr>
        <w:t>1</w:t>
      </w:r>
      <w:r w:rsidR="0046660D">
        <w:rPr>
          <w:rFonts w:ascii="Arial" w:hAnsi="Arial" w:cs="Arial"/>
          <w:b/>
        </w:rPr>
        <w:t xml:space="preserve"> de </w:t>
      </w:r>
      <w:r w:rsidR="00303878">
        <w:rPr>
          <w:rFonts w:ascii="Arial" w:hAnsi="Arial" w:cs="Arial"/>
          <w:b/>
        </w:rPr>
        <w:t>diciembre</w:t>
      </w:r>
      <w:r w:rsidR="0046660D">
        <w:rPr>
          <w:rFonts w:ascii="Arial" w:hAnsi="Arial" w:cs="Arial"/>
          <w:b/>
        </w:rPr>
        <w:t xml:space="preserve"> del 2018 y 2019</w:t>
      </w:r>
    </w:p>
    <w:p w:rsidR="00CB011B" w:rsidRPr="00281F35" w:rsidRDefault="00CC7D2B" w:rsidP="00281F35">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9812" w:type="dxa"/>
        <w:tblInd w:w="57" w:type="dxa"/>
        <w:tblCellMar>
          <w:left w:w="70" w:type="dxa"/>
          <w:right w:w="70" w:type="dxa"/>
        </w:tblCellMar>
        <w:tblLook w:val="04A0" w:firstRow="1" w:lastRow="0" w:firstColumn="1" w:lastColumn="0" w:noHBand="0" w:noVBand="1"/>
      </w:tblPr>
      <w:tblGrid>
        <w:gridCol w:w="3827"/>
        <w:gridCol w:w="522"/>
        <w:gridCol w:w="1896"/>
        <w:gridCol w:w="870"/>
        <w:gridCol w:w="1827"/>
        <w:gridCol w:w="870"/>
      </w:tblGrid>
      <w:tr w:rsidR="00303878" w:rsidRPr="00303878" w:rsidTr="00303878">
        <w:trPr>
          <w:trHeight w:val="20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303878" w:rsidRPr="00303878" w:rsidRDefault="00303878" w:rsidP="00303878">
            <w:pPr>
              <w:jc w:val="cente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Detalle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303878" w:rsidRPr="00303878" w:rsidRDefault="00303878" w:rsidP="00303878">
            <w:pPr>
              <w:jc w:val="cente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Nota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303878" w:rsidRPr="00303878" w:rsidRDefault="00303878" w:rsidP="00303878">
            <w:pPr>
              <w:jc w:val="cente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Saldos a diciembre 2018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303878" w:rsidRPr="00303878" w:rsidRDefault="00303878" w:rsidP="00303878">
            <w:pPr>
              <w:jc w:val="cente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Porentaje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303878" w:rsidRPr="00303878" w:rsidRDefault="00303878" w:rsidP="00303878">
            <w:pPr>
              <w:jc w:val="cente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Saldo a diciembre 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bottom"/>
            <w:hideMark/>
          </w:tcPr>
          <w:p w:rsidR="00303878" w:rsidRPr="00303878" w:rsidRDefault="00303878" w:rsidP="00303878">
            <w:pPr>
              <w:jc w:val="cente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Porentaje</w:t>
            </w:r>
          </w:p>
        </w:tc>
      </w:tr>
      <w:tr w:rsidR="00303878" w:rsidRPr="00303878" w:rsidTr="00303878">
        <w:trPr>
          <w:trHeight w:val="21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03878" w:rsidRPr="0030387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3878" w:rsidRPr="0030387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3878" w:rsidRPr="0030387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3878" w:rsidRPr="0030387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3878" w:rsidRPr="0030387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03878" w:rsidRPr="00303878" w:rsidRDefault="00303878" w:rsidP="00303878">
            <w:pPr>
              <w:rPr>
                <w:rFonts w:ascii="Calibri" w:eastAsia="Times New Roman" w:hAnsi="Calibri"/>
                <w:b/>
                <w:bCs/>
                <w:color w:val="000000"/>
                <w:sz w:val="14"/>
                <w:szCs w:val="14"/>
                <w:lang w:eastAsia="es-CR"/>
              </w:rPr>
            </w:pP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ACTIVOS</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u w:val="single"/>
                <w:lang w:eastAsia="es-CR"/>
              </w:rPr>
            </w:pPr>
            <w:r w:rsidRPr="00303878">
              <w:rPr>
                <w:rFonts w:ascii="Calibri" w:eastAsia="Times New Roman" w:hAnsi="Calibri"/>
                <w:b/>
                <w:bCs/>
                <w:color w:val="000000"/>
                <w:sz w:val="14"/>
                <w:szCs w:val="14"/>
                <w:u w:val="single"/>
                <w:lang w:eastAsia="es-CR"/>
              </w:rPr>
              <w:t xml:space="preserve">Activos Corrientes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Efectivo del Fideicomiso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4</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3.044.646,30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val="es-ES" w:eastAsia="es-CR"/>
              </w:rPr>
              <w:t>0,06%</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2.669.451,34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0,05%</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Efectivo restringido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4</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0,01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0,00%</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936.263,33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0,02%</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Disponibilidades en Cuenta Corriente</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4</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293.328,60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0,01%</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741.160,90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0,02%</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Tesorería Nacional Caja Única del Estado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5</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1.241.688.963,87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26,28%</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994.442.346,05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20,20%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Anticipos a Proveedores</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6</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669.910,35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0,01%</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1.623.566,66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0,03%</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Otras cuentas por cobrar</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7</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1.587.469,19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0,03%</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462.529,33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0,01%</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Cartera de Crédito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8</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194.634.775,14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4,12%</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160.077.295,15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3,25%</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Activo Corrientes</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1.441.919.093,46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30,52%</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1.160.952.612,76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23,58%</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u w:val="single"/>
                <w:lang w:eastAsia="es-CR"/>
              </w:rPr>
            </w:pPr>
            <w:r w:rsidRPr="00303878">
              <w:rPr>
                <w:rFonts w:ascii="Calibri" w:eastAsia="Times New Roman" w:hAnsi="Calibri"/>
                <w:b/>
                <w:bCs/>
                <w:color w:val="000000"/>
                <w:sz w:val="14"/>
                <w:szCs w:val="14"/>
                <w:u w:val="single"/>
                <w:lang w:eastAsia="es-CR"/>
              </w:rPr>
              <w:t>Activos no Corrientes</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Tesorería Nacional Caja Única del Estado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5</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val="es-ES" w:eastAsia="es-CR"/>
              </w:rPr>
              <w:t>0,00%</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Cartera de Crédito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8</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2.766.653.069,03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58,56%</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3.127.623.703,63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63,53%</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Gastos Judiciales de cartera de crédito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9</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17.476.300,10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0,37%</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18.878.394,92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0,38%</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Propiedad Planta y Equipo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400.248.202,12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8,47%</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411.599.465,95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8,36%</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Bienes y valores Adquir. Recup. Creditos de Vivienda</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11</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83.913.469,27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1,78%</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152.415.013,39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3,10%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Activos Intangibles</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12</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14.307.160,89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0,30%</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51.320.854,26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1,04%</w:t>
            </w:r>
          </w:p>
        </w:tc>
      </w:tr>
      <w:tr w:rsidR="00303878" w:rsidRPr="00303878" w:rsidTr="00303878">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activos no corrientes</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3.282.598.201,41 </w:t>
            </w:r>
          </w:p>
        </w:tc>
        <w:tc>
          <w:tcPr>
            <w:tcW w:w="0" w:type="auto"/>
            <w:tcBorders>
              <w:top w:val="nil"/>
              <w:left w:val="nil"/>
              <w:bottom w:val="single" w:sz="8" w:space="0" w:color="auto"/>
              <w:right w:val="nil"/>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69,48%</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3.761.837.432,15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76,42%</w:t>
            </w:r>
          </w:p>
        </w:tc>
      </w:tr>
      <w:tr w:rsidR="00303878" w:rsidRPr="00303878" w:rsidTr="00303878">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ACTIVOS</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4.724.517.294,87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100,00%</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4.922.790.044,91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100,00%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single" w:sz="8" w:space="0" w:color="auto"/>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PASIVO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u w:val="single"/>
                <w:lang w:eastAsia="es-CR"/>
              </w:rPr>
            </w:pPr>
            <w:r w:rsidRPr="00303878">
              <w:rPr>
                <w:rFonts w:ascii="Calibri" w:eastAsia="Times New Roman" w:hAnsi="Calibri"/>
                <w:b/>
                <w:bCs/>
                <w:color w:val="000000"/>
                <w:sz w:val="14"/>
                <w:szCs w:val="14"/>
                <w:u w:val="single"/>
                <w:lang w:eastAsia="es-CR"/>
              </w:rPr>
              <w:t>Pasivo Corriente</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Cuentas por pagar y Provisiones</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13</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11.066.169,49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69,71%</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8.984.879,56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68,23%</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Retenciones por pagar</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14</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0,00%</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Intereses Ganados s/ carteras de crédito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15</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1.379.445,52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8,69%</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1.302.217,99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9,89%</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Impuesto municipales por pagar</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16</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420.549,05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2,65%</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0,00%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Pasivo Corriente</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12.866.164,06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81,05%</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10.287.097,55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78,12%</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Pasivo No Corriente</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Garantía de cumplimiento</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17</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3.009.143,51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18,95%</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2.881.271,51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21,88%</w:t>
            </w:r>
          </w:p>
        </w:tc>
      </w:tr>
      <w:tr w:rsidR="00303878" w:rsidRPr="00303878" w:rsidTr="00303878">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Pasivo no Corriente</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3.009.143,51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18,95%</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2.881.271,51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21,88%</w:t>
            </w:r>
          </w:p>
        </w:tc>
      </w:tr>
      <w:tr w:rsidR="00303878" w:rsidRPr="00303878" w:rsidTr="00303878">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PASIVO</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15.875.307,57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100,00%</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13.168.369,06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100,00%</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PATRIMONIO</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Aportaciones de fideicomitentes netas</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18</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4.827.805.782,51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102,53%</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5.026.457.760,01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102,38%</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Superávit por revaluación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19</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131.367.000,00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2,79%</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131.367.000,00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102,38%</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Utilidades o pérdidas acumuladas</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20</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104.059.171,39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2,21%</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250.530.795,21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102,38%</w:t>
            </w:r>
          </w:p>
        </w:tc>
      </w:tr>
      <w:tr w:rsidR="00303878" w:rsidRPr="00303878" w:rsidTr="00303878">
        <w:trPr>
          <w:trHeight w:val="205"/>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Utilidad o Pérdidad del Periodo</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21</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354.589.966,60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-7,53%</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2.327.711,05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102,38%</w:t>
            </w:r>
          </w:p>
        </w:tc>
      </w:tr>
      <w:tr w:rsidR="00303878" w:rsidRPr="00303878" w:rsidTr="00303878">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Patrimonio</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4.708.641.987,30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100,00%</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4.909.621.675,85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102,38%</w:t>
            </w:r>
          </w:p>
        </w:tc>
      </w:tr>
      <w:tr w:rsidR="00303878" w:rsidRPr="00303878" w:rsidTr="00303878">
        <w:trPr>
          <w:trHeight w:val="216"/>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TOTAL PASIVO + PATRIMONIO</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4.724.517.294,87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100,00%</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 xml:space="preserve">   4.922.790.044,91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303878" w:rsidRDefault="00303878" w:rsidP="00303878">
            <w:pPr>
              <w:jc w:val="right"/>
              <w:rPr>
                <w:rFonts w:ascii="Calibri" w:eastAsia="Times New Roman" w:hAnsi="Calibri"/>
                <w:b/>
                <w:bCs/>
                <w:color w:val="000000"/>
                <w:sz w:val="14"/>
                <w:szCs w:val="14"/>
                <w:lang w:eastAsia="es-CR"/>
              </w:rPr>
            </w:pPr>
            <w:r w:rsidRPr="00303878">
              <w:rPr>
                <w:rFonts w:ascii="Calibri" w:eastAsia="Times New Roman" w:hAnsi="Calibri"/>
                <w:b/>
                <w:bCs/>
                <w:color w:val="000000"/>
                <w:sz w:val="14"/>
                <w:szCs w:val="14"/>
                <w:lang w:eastAsia="es-CR"/>
              </w:rPr>
              <w:t>100%</w:t>
            </w:r>
          </w:p>
        </w:tc>
      </w:tr>
      <w:tr w:rsidR="00303878" w:rsidRPr="00303878" w:rsidTr="00303878">
        <w:trPr>
          <w:trHeight w:val="205"/>
        </w:trPr>
        <w:tc>
          <w:tcPr>
            <w:tcW w:w="0" w:type="auto"/>
            <w:tcBorders>
              <w:top w:val="nil"/>
              <w:left w:val="single" w:sz="8" w:space="0" w:color="auto"/>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Cuentas de orden Acredoras</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22</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44.115.803,26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44.977.760,97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16"/>
        </w:trPr>
        <w:tc>
          <w:tcPr>
            <w:tcW w:w="0" w:type="auto"/>
            <w:tcBorders>
              <w:top w:val="nil"/>
              <w:left w:val="single" w:sz="8" w:space="0" w:color="auto"/>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Cuentas de orden  Deudoras</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jc w:val="right"/>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22</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44.115.803,26 </w:t>
            </w:r>
          </w:p>
        </w:tc>
        <w:tc>
          <w:tcPr>
            <w:tcW w:w="0" w:type="auto"/>
            <w:tcBorders>
              <w:top w:val="nil"/>
              <w:left w:val="nil"/>
              <w:bottom w:val="nil"/>
              <w:right w:val="nil"/>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xml:space="preserve">         44.977.760,97 </w:t>
            </w:r>
          </w:p>
        </w:tc>
        <w:tc>
          <w:tcPr>
            <w:tcW w:w="0" w:type="auto"/>
            <w:tcBorders>
              <w:top w:val="nil"/>
              <w:left w:val="nil"/>
              <w:bottom w:val="nil"/>
              <w:right w:val="single" w:sz="8" w:space="0" w:color="auto"/>
            </w:tcBorders>
            <w:shd w:val="clear" w:color="000000" w:fill="FFFFFF"/>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r w:rsidR="00303878" w:rsidRPr="00303878" w:rsidTr="00303878">
        <w:trPr>
          <w:trHeight w:val="216"/>
        </w:trPr>
        <w:tc>
          <w:tcPr>
            <w:tcW w:w="0" w:type="auto"/>
            <w:tcBorders>
              <w:top w:val="single" w:sz="8" w:space="0" w:color="auto"/>
              <w:left w:val="single" w:sz="8" w:space="0" w:color="auto"/>
              <w:bottom w:val="single" w:sz="8" w:space="0" w:color="auto"/>
              <w:right w:val="nil"/>
            </w:tcBorders>
            <w:shd w:val="clear" w:color="000000" w:fill="00B050"/>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single" w:sz="8" w:space="0" w:color="auto"/>
              <w:left w:val="nil"/>
              <w:bottom w:val="single" w:sz="8" w:space="0" w:color="auto"/>
              <w:right w:val="nil"/>
            </w:tcBorders>
            <w:shd w:val="clear" w:color="000000" w:fill="00B050"/>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303878" w:rsidRPr="00303878" w:rsidRDefault="00303878" w:rsidP="00303878">
            <w:pPr>
              <w:rPr>
                <w:rFonts w:ascii="Calibri" w:eastAsia="Times New Roman" w:hAnsi="Calibri"/>
                <w:color w:val="000000"/>
                <w:sz w:val="14"/>
                <w:szCs w:val="14"/>
                <w:lang w:eastAsia="es-CR"/>
              </w:rPr>
            </w:pPr>
            <w:r w:rsidRPr="00303878">
              <w:rPr>
                <w:rFonts w:ascii="Calibri" w:eastAsia="Times New Roman" w:hAnsi="Calibri"/>
                <w:color w:val="000000"/>
                <w:sz w:val="14"/>
                <w:szCs w:val="14"/>
                <w:lang w:eastAsia="es-CR"/>
              </w:rPr>
              <w:t> </w:t>
            </w:r>
          </w:p>
        </w:tc>
      </w:tr>
    </w:tbl>
    <w:p w:rsidR="00452316" w:rsidRDefault="00452316">
      <w:r>
        <w:br w:type="page"/>
      </w:r>
    </w:p>
    <w:p w:rsidR="00CB011B" w:rsidRPr="00767C7C" w:rsidRDefault="00CB011B" w:rsidP="00D041AF">
      <w:pPr>
        <w:contextualSpacing/>
        <w:jc w:val="both"/>
        <w:rPr>
          <w:rFonts w:ascii="Arial" w:hAnsi="Arial" w:cs="Arial"/>
          <w:sz w:val="24"/>
          <w:szCs w:val="24"/>
        </w:rPr>
      </w:pPr>
    </w:p>
    <w:p w:rsidR="0022629D" w:rsidRDefault="0022629D" w:rsidP="00D041AF">
      <w:pPr>
        <w:contextualSpacing/>
        <w:jc w:val="both"/>
        <w:rPr>
          <w:rFonts w:ascii="Arial" w:hAnsi="Arial" w:cs="Arial"/>
          <w:sz w:val="24"/>
          <w:szCs w:val="24"/>
        </w:rPr>
      </w:pPr>
    </w:p>
    <w:p w:rsidR="00787E97" w:rsidRPr="00C446C4" w:rsidRDefault="00787E97" w:rsidP="00787E97">
      <w:pPr>
        <w:contextualSpacing/>
        <w:jc w:val="both"/>
        <w:rPr>
          <w:rFonts w:ascii="Arial" w:hAnsi="Arial" w:cs="Arial"/>
          <w:b/>
          <w:sz w:val="24"/>
          <w:szCs w:val="24"/>
        </w:rPr>
      </w:pPr>
      <w:r w:rsidRPr="00C446C4">
        <w:rPr>
          <w:rFonts w:ascii="Arial" w:hAnsi="Arial" w:cs="Arial"/>
          <w:b/>
          <w:sz w:val="24"/>
          <w:szCs w:val="24"/>
        </w:rPr>
        <w:t>Comentarios al Balance de Situación:</w:t>
      </w:r>
    </w:p>
    <w:p w:rsidR="00CB011B" w:rsidRPr="00AA07A0" w:rsidRDefault="00CB011B" w:rsidP="00D041AF">
      <w:pPr>
        <w:contextualSpacing/>
        <w:jc w:val="both"/>
        <w:rPr>
          <w:rFonts w:ascii="Arial" w:hAnsi="Arial" w:cs="Arial"/>
          <w:sz w:val="24"/>
          <w:szCs w:val="24"/>
        </w:rPr>
      </w:pPr>
    </w:p>
    <w:p w:rsidR="003F2402" w:rsidRPr="00303878" w:rsidRDefault="00787E97" w:rsidP="00787E97">
      <w:pPr>
        <w:contextualSpacing/>
        <w:jc w:val="both"/>
        <w:rPr>
          <w:rFonts w:ascii="Arial" w:hAnsi="Arial" w:cs="Arial"/>
          <w:color w:val="FF0000"/>
          <w:sz w:val="24"/>
          <w:szCs w:val="24"/>
        </w:rPr>
      </w:pPr>
      <w:r w:rsidRPr="00AA07A0">
        <w:rPr>
          <w:rFonts w:ascii="Arial" w:hAnsi="Arial" w:cs="Arial"/>
          <w:sz w:val="24"/>
          <w:szCs w:val="24"/>
        </w:rPr>
        <w:t xml:space="preserve">Del cuadro anterior podemos observar que el activo de la Institución </w:t>
      </w:r>
      <w:r w:rsidR="003F2402" w:rsidRPr="00AA07A0">
        <w:rPr>
          <w:rFonts w:ascii="Arial" w:hAnsi="Arial" w:cs="Arial"/>
          <w:sz w:val="24"/>
          <w:szCs w:val="24"/>
        </w:rPr>
        <w:t xml:space="preserve">está concentrado en el </w:t>
      </w:r>
      <w:r w:rsidR="00B84EFC" w:rsidRPr="00AA07A0">
        <w:rPr>
          <w:rFonts w:ascii="Arial" w:hAnsi="Arial" w:cs="Arial"/>
          <w:sz w:val="24"/>
          <w:szCs w:val="24"/>
        </w:rPr>
        <w:t>activo</w:t>
      </w:r>
      <w:r w:rsidR="003F2402" w:rsidRPr="00AA07A0">
        <w:rPr>
          <w:rFonts w:ascii="Arial" w:hAnsi="Arial" w:cs="Arial"/>
          <w:sz w:val="24"/>
          <w:szCs w:val="24"/>
        </w:rPr>
        <w:t xml:space="preserve"> no</w:t>
      </w:r>
      <w:r w:rsidR="00B84EFC" w:rsidRPr="00AA07A0">
        <w:rPr>
          <w:rFonts w:ascii="Arial" w:hAnsi="Arial" w:cs="Arial"/>
          <w:sz w:val="24"/>
          <w:szCs w:val="24"/>
        </w:rPr>
        <w:t xml:space="preserve"> </w:t>
      </w:r>
      <w:r w:rsidRPr="00AA07A0">
        <w:rPr>
          <w:rFonts w:ascii="Arial" w:hAnsi="Arial" w:cs="Arial"/>
          <w:sz w:val="24"/>
          <w:szCs w:val="24"/>
        </w:rPr>
        <w:t>corriente, principalmente</w:t>
      </w:r>
      <w:r w:rsidR="00FA736E" w:rsidRPr="00AA07A0">
        <w:rPr>
          <w:rFonts w:ascii="Arial" w:hAnsi="Arial" w:cs="Arial"/>
          <w:sz w:val="24"/>
          <w:szCs w:val="24"/>
        </w:rPr>
        <w:t xml:space="preserve"> en la </w:t>
      </w:r>
      <w:r w:rsidR="003F2402" w:rsidRPr="00AA07A0">
        <w:rPr>
          <w:rFonts w:ascii="Arial" w:hAnsi="Arial" w:cs="Arial"/>
          <w:sz w:val="24"/>
          <w:szCs w:val="24"/>
        </w:rPr>
        <w:t xml:space="preserve">cartera de crédito del fideicomiso con un </w:t>
      </w:r>
      <w:r w:rsidR="00AA07A0" w:rsidRPr="00AA07A0">
        <w:rPr>
          <w:rFonts w:ascii="Arial" w:hAnsi="Arial" w:cs="Arial"/>
          <w:sz w:val="24"/>
          <w:szCs w:val="24"/>
        </w:rPr>
        <w:t>58,56%</w:t>
      </w:r>
      <w:r w:rsidR="003F2402" w:rsidRPr="00AA07A0">
        <w:rPr>
          <w:rFonts w:ascii="Arial" w:hAnsi="Arial" w:cs="Arial"/>
          <w:sz w:val="24"/>
          <w:szCs w:val="24"/>
        </w:rPr>
        <w:t xml:space="preserve">, </w:t>
      </w:r>
      <w:r w:rsidR="008F624D" w:rsidRPr="00AA07A0">
        <w:rPr>
          <w:rFonts w:ascii="Arial" w:hAnsi="Arial" w:cs="Arial"/>
          <w:sz w:val="24"/>
          <w:szCs w:val="24"/>
        </w:rPr>
        <w:t xml:space="preserve">lo </w:t>
      </w:r>
      <w:r w:rsidR="003F2402" w:rsidRPr="00AA07A0">
        <w:rPr>
          <w:rFonts w:ascii="Arial" w:hAnsi="Arial" w:cs="Arial"/>
          <w:sz w:val="24"/>
          <w:szCs w:val="24"/>
        </w:rPr>
        <w:t xml:space="preserve">que corresponden a los créditos que se les giran a los productores para el manejo del bosque, recuperación de áreas desnudas y los cambios tecnológicos en aprovechamiento e industrialización de los recursos </w:t>
      </w:r>
      <w:r w:rsidR="00BF4080" w:rsidRPr="00AA07A0">
        <w:rPr>
          <w:rFonts w:ascii="Arial" w:hAnsi="Arial" w:cs="Arial"/>
          <w:sz w:val="24"/>
          <w:szCs w:val="24"/>
        </w:rPr>
        <w:t>forestales</w:t>
      </w:r>
      <w:r w:rsidR="00AA07A0" w:rsidRPr="00AA07A0">
        <w:rPr>
          <w:rFonts w:ascii="Arial" w:hAnsi="Arial" w:cs="Arial"/>
          <w:sz w:val="24"/>
          <w:szCs w:val="24"/>
        </w:rPr>
        <w:t>.</w:t>
      </w:r>
    </w:p>
    <w:p w:rsidR="003F2402" w:rsidRPr="00303878" w:rsidRDefault="003F2402" w:rsidP="00787E97">
      <w:pPr>
        <w:contextualSpacing/>
        <w:jc w:val="both"/>
        <w:rPr>
          <w:rFonts w:ascii="Arial" w:hAnsi="Arial" w:cs="Arial"/>
          <w:color w:val="FF0000"/>
          <w:sz w:val="24"/>
          <w:szCs w:val="24"/>
        </w:rPr>
      </w:pPr>
    </w:p>
    <w:p w:rsidR="00B84EFC" w:rsidRPr="00826350" w:rsidRDefault="003F2402" w:rsidP="00787E97">
      <w:pPr>
        <w:contextualSpacing/>
        <w:jc w:val="both"/>
        <w:rPr>
          <w:rFonts w:ascii="Arial" w:hAnsi="Arial" w:cs="Arial"/>
          <w:sz w:val="24"/>
          <w:szCs w:val="24"/>
        </w:rPr>
      </w:pPr>
      <w:r w:rsidRPr="00826350">
        <w:rPr>
          <w:rFonts w:ascii="Arial" w:hAnsi="Arial" w:cs="Arial"/>
          <w:sz w:val="24"/>
          <w:szCs w:val="24"/>
        </w:rPr>
        <w:t>El pasivo de la institución está representado</w:t>
      </w:r>
      <w:r w:rsidR="00BF4080" w:rsidRPr="00826350">
        <w:rPr>
          <w:rFonts w:ascii="Arial" w:hAnsi="Arial" w:cs="Arial"/>
          <w:sz w:val="24"/>
          <w:szCs w:val="24"/>
        </w:rPr>
        <w:t xml:space="preserve"> principalmente en el pasivo corriente</w:t>
      </w:r>
      <w:r w:rsidR="00C538B2" w:rsidRPr="00826350">
        <w:rPr>
          <w:rFonts w:ascii="Arial" w:hAnsi="Arial" w:cs="Arial"/>
          <w:sz w:val="24"/>
          <w:szCs w:val="24"/>
        </w:rPr>
        <w:t>,</w:t>
      </w:r>
      <w:r w:rsidRPr="00826350">
        <w:rPr>
          <w:rFonts w:ascii="Arial" w:hAnsi="Arial" w:cs="Arial"/>
          <w:sz w:val="24"/>
          <w:szCs w:val="24"/>
        </w:rPr>
        <w:t xml:space="preserve"> específicamente en las cuentas por pagar y provisiones con un </w:t>
      </w:r>
      <w:r w:rsidR="00826350" w:rsidRPr="00826350">
        <w:rPr>
          <w:rFonts w:ascii="Arial" w:hAnsi="Arial" w:cs="Arial"/>
          <w:sz w:val="24"/>
          <w:szCs w:val="24"/>
        </w:rPr>
        <w:t>69,71</w:t>
      </w:r>
      <w:r w:rsidR="002918D3" w:rsidRPr="00826350">
        <w:rPr>
          <w:rFonts w:ascii="Arial" w:hAnsi="Arial" w:cs="Arial"/>
          <w:sz w:val="24"/>
          <w:szCs w:val="24"/>
        </w:rPr>
        <w:t>%</w:t>
      </w:r>
      <w:r w:rsidR="00BF4080" w:rsidRPr="00826350">
        <w:rPr>
          <w:rFonts w:ascii="Arial" w:hAnsi="Arial" w:cs="Arial"/>
          <w:sz w:val="24"/>
          <w:szCs w:val="24"/>
        </w:rPr>
        <w:t>, que corresponde a los pagos acumulados por pagar generados por el personal contratado en el Fideicomiso (aguinaldo, vacaciones y el monto a cancelar por concep</w:t>
      </w:r>
      <w:r w:rsidR="00826350" w:rsidRPr="00826350">
        <w:rPr>
          <w:rFonts w:ascii="Arial" w:hAnsi="Arial" w:cs="Arial"/>
          <w:sz w:val="24"/>
          <w:szCs w:val="24"/>
        </w:rPr>
        <w:t>to de cuotas obrero patronales).</w:t>
      </w:r>
    </w:p>
    <w:p w:rsidR="002918D3" w:rsidRPr="00826350" w:rsidRDefault="002918D3" w:rsidP="00787E97">
      <w:pPr>
        <w:contextualSpacing/>
        <w:jc w:val="both"/>
        <w:rPr>
          <w:rFonts w:ascii="Arial" w:hAnsi="Arial" w:cs="Arial"/>
          <w:sz w:val="24"/>
          <w:szCs w:val="24"/>
        </w:rPr>
      </w:pPr>
    </w:p>
    <w:p w:rsidR="00303878" w:rsidRDefault="00303878"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826350" w:rsidRDefault="00826350"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Default="00303878" w:rsidP="00D041AF">
      <w:pPr>
        <w:contextualSpacing/>
        <w:jc w:val="both"/>
        <w:rPr>
          <w:rFonts w:ascii="Arial" w:hAnsi="Arial" w:cs="Arial"/>
          <w:color w:val="FF0000"/>
          <w:sz w:val="22"/>
          <w:szCs w:val="22"/>
        </w:rPr>
      </w:pPr>
    </w:p>
    <w:p w:rsidR="00303878" w:rsidRPr="0022629D" w:rsidRDefault="00303878" w:rsidP="00D041AF">
      <w:pPr>
        <w:contextualSpacing/>
        <w:jc w:val="both"/>
        <w:rPr>
          <w:rFonts w:ascii="Arial" w:hAnsi="Arial" w:cs="Arial"/>
          <w:color w:val="FF0000"/>
          <w:sz w:val="22"/>
          <w:szCs w:val="22"/>
        </w:rPr>
      </w:pPr>
    </w:p>
    <w:p w:rsidR="00B56F0C" w:rsidRDefault="00B56F0C" w:rsidP="00CC7D2B">
      <w:pPr>
        <w:pStyle w:val="Prrafodelista"/>
        <w:ind w:left="1080"/>
        <w:contextualSpacing/>
        <w:jc w:val="center"/>
        <w:rPr>
          <w:rFonts w:ascii="Trebuchet MS" w:hAnsi="Trebuchet MS" w:cs="Arial"/>
          <w:b/>
        </w:rPr>
      </w:pPr>
    </w:p>
    <w:p w:rsidR="00CC7D2B" w:rsidRPr="00767C7C" w:rsidRDefault="00CC7D2B" w:rsidP="00CC7D2B">
      <w:pPr>
        <w:pStyle w:val="Prrafodelista"/>
        <w:ind w:left="1080"/>
        <w:contextualSpacing/>
        <w:jc w:val="center"/>
        <w:rPr>
          <w:rFonts w:ascii="Trebuchet MS" w:hAnsi="Trebuchet MS" w:cs="Arial"/>
          <w:b/>
        </w:rPr>
      </w:pPr>
      <w:r>
        <w:rPr>
          <w:rFonts w:ascii="Trebuchet MS" w:hAnsi="Trebuchet MS" w:cs="Arial"/>
          <w:b/>
        </w:rPr>
        <w:t>Estado de Resultados Consolidado</w:t>
      </w:r>
    </w:p>
    <w:p w:rsidR="00CC7D2B" w:rsidRPr="00015A4E" w:rsidRDefault="00CC7D2B" w:rsidP="00CC7D2B">
      <w:pPr>
        <w:pStyle w:val="Prrafodelista"/>
        <w:ind w:left="1080"/>
        <w:contextualSpacing/>
        <w:jc w:val="center"/>
        <w:rPr>
          <w:rFonts w:ascii="Arial" w:hAnsi="Arial" w:cs="Arial"/>
          <w:b/>
        </w:rPr>
      </w:pPr>
      <w:r w:rsidRPr="00015A4E">
        <w:rPr>
          <w:rFonts w:ascii="Arial" w:hAnsi="Arial" w:cs="Arial"/>
          <w:b/>
        </w:rPr>
        <w:t>Fideicomiso 544 FONAFIFO CONSOLIDADO – BNCR</w:t>
      </w:r>
    </w:p>
    <w:p w:rsidR="00CC7D2B" w:rsidRDefault="00CC7D2B" w:rsidP="00CC7D2B">
      <w:pPr>
        <w:pStyle w:val="Prrafodelista"/>
        <w:ind w:left="1080"/>
        <w:contextualSpacing/>
        <w:jc w:val="center"/>
        <w:rPr>
          <w:rFonts w:ascii="Arial" w:hAnsi="Arial" w:cs="Arial"/>
          <w:b/>
        </w:rPr>
      </w:pPr>
      <w:r w:rsidRPr="00015A4E">
        <w:rPr>
          <w:rFonts w:ascii="Arial" w:hAnsi="Arial" w:cs="Arial"/>
          <w:b/>
        </w:rPr>
        <w:t xml:space="preserve">Al </w:t>
      </w:r>
      <w:r w:rsidR="00782358">
        <w:rPr>
          <w:rFonts w:ascii="Arial" w:hAnsi="Arial" w:cs="Arial"/>
          <w:b/>
        </w:rPr>
        <w:t>3</w:t>
      </w:r>
      <w:r w:rsidR="00303878">
        <w:rPr>
          <w:rFonts w:ascii="Arial" w:hAnsi="Arial" w:cs="Arial"/>
          <w:b/>
        </w:rPr>
        <w:t>1</w:t>
      </w:r>
      <w:r w:rsidR="00782358">
        <w:rPr>
          <w:rFonts w:ascii="Arial" w:hAnsi="Arial" w:cs="Arial"/>
          <w:b/>
        </w:rPr>
        <w:t xml:space="preserve"> de </w:t>
      </w:r>
      <w:r w:rsidR="00303878">
        <w:rPr>
          <w:rFonts w:ascii="Arial" w:hAnsi="Arial" w:cs="Arial"/>
          <w:b/>
        </w:rPr>
        <w:t>diciembre</w:t>
      </w:r>
      <w:r w:rsidR="00782358">
        <w:rPr>
          <w:rFonts w:ascii="Arial" w:hAnsi="Arial" w:cs="Arial"/>
          <w:b/>
        </w:rPr>
        <w:t xml:space="preserve"> del 2018 y 2019</w:t>
      </w:r>
    </w:p>
    <w:p w:rsidR="00787E97" w:rsidRPr="00281F35" w:rsidRDefault="00CC7D2B" w:rsidP="00281F35">
      <w:pPr>
        <w:pStyle w:val="Prrafodelista"/>
        <w:ind w:left="1080"/>
        <w:contextualSpacing/>
        <w:jc w:val="center"/>
        <w:rPr>
          <w:rFonts w:ascii="Arial" w:hAnsi="Arial" w:cs="Arial"/>
          <w:b/>
        </w:rPr>
      </w:pPr>
      <w:r w:rsidRPr="00015A4E">
        <w:rPr>
          <w:rFonts w:ascii="Arial" w:hAnsi="Arial" w:cs="Arial"/>
          <w:b/>
        </w:rPr>
        <w:t>Cifras en colones con dos decimales</w:t>
      </w:r>
    </w:p>
    <w:tbl>
      <w:tblPr>
        <w:tblW w:w="8909" w:type="dxa"/>
        <w:jc w:val="center"/>
        <w:tblCellMar>
          <w:left w:w="70" w:type="dxa"/>
          <w:right w:w="70" w:type="dxa"/>
        </w:tblCellMar>
        <w:tblLook w:val="04A0" w:firstRow="1" w:lastRow="0" w:firstColumn="1" w:lastColumn="0" w:noHBand="0" w:noVBand="1"/>
      </w:tblPr>
      <w:tblGrid>
        <w:gridCol w:w="2740"/>
        <w:gridCol w:w="460"/>
        <w:gridCol w:w="1979"/>
        <w:gridCol w:w="829"/>
        <w:gridCol w:w="1979"/>
        <w:gridCol w:w="922"/>
      </w:tblGrid>
      <w:tr w:rsidR="00EC7FF8" w:rsidRPr="00EC7FF8" w:rsidTr="00EC7FF8">
        <w:trPr>
          <w:trHeight w:val="440"/>
          <w:jc w:val="center"/>
        </w:trPr>
        <w:tc>
          <w:tcPr>
            <w:tcW w:w="0" w:type="auto"/>
            <w:vMerge w:val="restart"/>
            <w:tcBorders>
              <w:top w:val="single" w:sz="8" w:space="0" w:color="auto"/>
              <w:left w:val="single" w:sz="8" w:space="0" w:color="auto"/>
              <w:bottom w:val="single" w:sz="8" w:space="0" w:color="000000"/>
              <w:right w:val="nil"/>
            </w:tcBorders>
            <w:shd w:val="clear" w:color="000000" w:fill="00B050"/>
            <w:noWrap/>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Detalle</w:t>
            </w:r>
          </w:p>
        </w:tc>
        <w:tc>
          <w:tcPr>
            <w:tcW w:w="0" w:type="auto"/>
            <w:vMerge w:val="restart"/>
            <w:tcBorders>
              <w:top w:val="single" w:sz="8" w:space="0" w:color="auto"/>
              <w:left w:val="nil"/>
              <w:bottom w:val="single" w:sz="8" w:space="0" w:color="000000"/>
              <w:right w:val="nil"/>
            </w:tcBorders>
            <w:shd w:val="clear" w:color="000000" w:fill="00B050"/>
            <w:noWrap/>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Nota</w:t>
            </w:r>
          </w:p>
        </w:tc>
        <w:tc>
          <w:tcPr>
            <w:tcW w:w="0" w:type="auto"/>
            <w:vMerge w:val="restart"/>
            <w:tcBorders>
              <w:top w:val="single" w:sz="8" w:space="0" w:color="auto"/>
              <w:left w:val="nil"/>
              <w:bottom w:val="single" w:sz="8" w:space="0" w:color="000000"/>
              <w:right w:val="nil"/>
            </w:tcBorders>
            <w:shd w:val="clear" w:color="000000" w:fill="00B050"/>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Acumulado a diciembre 2018</w:t>
            </w:r>
          </w:p>
        </w:tc>
        <w:tc>
          <w:tcPr>
            <w:tcW w:w="0" w:type="auto"/>
            <w:tcBorders>
              <w:top w:val="single" w:sz="8" w:space="0" w:color="auto"/>
              <w:left w:val="nil"/>
              <w:bottom w:val="nil"/>
              <w:right w:val="nil"/>
            </w:tcBorders>
            <w:shd w:val="clear" w:color="000000" w:fill="00B050"/>
            <w:noWrap/>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w:t>
            </w:r>
          </w:p>
        </w:tc>
        <w:tc>
          <w:tcPr>
            <w:tcW w:w="0" w:type="auto"/>
            <w:vMerge w:val="restart"/>
            <w:tcBorders>
              <w:top w:val="single" w:sz="8" w:space="0" w:color="auto"/>
              <w:left w:val="nil"/>
              <w:bottom w:val="single" w:sz="8" w:space="0" w:color="000000"/>
              <w:right w:val="nil"/>
            </w:tcBorders>
            <w:shd w:val="clear" w:color="000000" w:fill="00B050"/>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Acumulado a diciembre 2019</w:t>
            </w:r>
          </w:p>
        </w:tc>
        <w:tc>
          <w:tcPr>
            <w:tcW w:w="922" w:type="dxa"/>
            <w:vMerge w:val="restart"/>
            <w:tcBorders>
              <w:top w:val="single" w:sz="8" w:space="0" w:color="auto"/>
              <w:left w:val="nil"/>
              <w:bottom w:val="single" w:sz="8" w:space="0" w:color="000000"/>
              <w:right w:val="single" w:sz="8" w:space="0" w:color="auto"/>
            </w:tcBorders>
            <w:shd w:val="clear" w:color="000000" w:fill="00B050"/>
            <w:noWrap/>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Porcentaje</w:t>
            </w:r>
          </w:p>
        </w:tc>
      </w:tr>
      <w:tr w:rsidR="00EC7FF8" w:rsidRPr="00EC7FF8" w:rsidTr="00EC7FF8">
        <w:trPr>
          <w:trHeight w:val="231"/>
          <w:jc w:val="center"/>
        </w:trPr>
        <w:tc>
          <w:tcPr>
            <w:tcW w:w="0" w:type="auto"/>
            <w:vMerge/>
            <w:tcBorders>
              <w:top w:val="single" w:sz="8" w:space="0" w:color="auto"/>
              <w:left w:val="single" w:sz="8" w:space="0" w:color="auto"/>
              <w:bottom w:val="single" w:sz="8" w:space="0" w:color="000000"/>
              <w:right w:val="nil"/>
            </w:tcBorders>
            <w:vAlign w:val="center"/>
            <w:hideMark/>
          </w:tcPr>
          <w:p w:rsidR="00303878" w:rsidRPr="00EC7FF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nil"/>
              <w:bottom w:val="single" w:sz="8" w:space="0" w:color="000000"/>
              <w:right w:val="nil"/>
            </w:tcBorders>
            <w:vAlign w:val="center"/>
            <w:hideMark/>
          </w:tcPr>
          <w:p w:rsidR="00303878" w:rsidRPr="00EC7FF8" w:rsidRDefault="00303878" w:rsidP="00303878">
            <w:pPr>
              <w:rPr>
                <w:rFonts w:ascii="Calibri" w:eastAsia="Times New Roman" w:hAnsi="Calibri"/>
                <w:b/>
                <w:bCs/>
                <w:color w:val="000000"/>
                <w:sz w:val="14"/>
                <w:szCs w:val="14"/>
                <w:lang w:eastAsia="es-CR"/>
              </w:rPr>
            </w:pPr>
          </w:p>
        </w:tc>
        <w:tc>
          <w:tcPr>
            <w:tcW w:w="0" w:type="auto"/>
            <w:vMerge/>
            <w:tcBorders>
              <w:top w:val="single" w:sz="8" w:space="0" w:color="auto"/>
              <w:left w:val="nil"/>
              <w:bottom w:val="single" w:sz="8" w:space="0" w:color="000000"/>
              <w:right w:val="nil"/>
            </w:tcBorders>
            <w:vAlign w:val="center"/>
            <w:hideMark/>
          </w:tcPr>
          <w:p w:rsidR="00303878" w:rsidRPr="00EC7FF8" w:rsidRDefault="00303878" w:rsidP="00303878">
            <w:pPr>
              <w:rPr>
                <w:rFonts w:ascii="Calibri" w:eastAsia="Times New Roman" w:hAnsi="Calibri"/>
                <w:b/>
                <w:bCs/>
                <w:color w:val="000000"/>
                <w:sz w:val="14"/>
                <w:szCs w:val="14"/>
                <w:lang w:eastAsia="es-CR"/>
              </w:rPr>
            </w:pPr>
          </w:p>
        </w:tc>
        <w:tc>
          <w:tcPr>
            <w:tcW w:w="0" w:type="auto"/>
            <w:tcBorders>
              <w:top w:val="nil"/>
              <w:left w:val="nil"/>
              <w:bottom w:val="single" w:sz="8" w:space="0" w:color="auto"/>
              <w:right w:val="nil"/>
            </w:tcBorders>
            <w:shd w:val="clear" w:color="000000" w:fill="00B050"/>
            <w:noWrap/>
            <w:vAlign w:val="bottom"/>
            <w:hideMark/>
          </w:tcPr>
          <w:p w:rsidR="00303878" w:rsidRPr="00EC7FF8" w:rsidRDefault="00303878" w:rsidP="00303878">
            <w:pPr>
              <w:jc w:val="cente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Porcentaje</w:t>
            </w:r>
          </w:p>
        </w:tc>
        <w:tc>
          <w:tcPr>
            <w:tcW w:w="0" w:type="auto"/>
            <w:vMerge/>
            <w:tcBorders>
              <w:top w:val="single" w:sz="8" w:space="0" w:color="auto"/>
              <w:left w:val="nil"/>
              <w:bottom w:val="single" w:sz="8" w:space="0" w:color="000000"/>
              <w:right w:val="nil"/>
            </w:tcBorders>
            <w:vAlign w:val="center"/>
            <w:hideMark/>
          </w:tcPr>
          <w:p w:rsidR="00303878" w:rsidRPr="00EC7FF8" w:rsidRDefault="00303878" w:rsidP="00303878">
            <w:pPr>
              <w:rPr>
                <w:rFonts w:ascii="Calibri" w:eastAsia="Times New Roman" w:hAnsi="Calibri"/>
                <w:b/>
                <w:bCs/>
                <w:color w:val="000000"/>
                <w:sz w:val="14"/>
                <w:szCs w:val="14"/>
                <w:lang w:eastAsia="es-CR"/>
              </w:rPr>
            </w:pPr>
          </w:p>
        </w:tc>
        <w:tc>
          <w:tcPr>
            <w:tcW w:w="922" w:type="dxa"/>
            <w:vMerge/>
            <w:tcBorders>
              <w:top w:val="single" w:sz="8" w:space="0" w:color="auto"/>
              <w:left w:val="nil"/>
              <w:bottom w:val="single" w:sz="8" w:space="0" w:color="000000"/>
              <w:right w:val="single" w:sz="8" w:space="0" w:color="auto"/>
            </w:tcBorders>
            <w:vAlign w:val="center"/>
            <w:hideMark/>
          </w:tcPr>
          <w:p w:rsidR="00303878" w:rsidRPr="00EC7FF8" w:rsidRDefault="00303878" w:rsidP="00303878">
            <w:pPr>
              <w:rPr>
                <w:rFonts w:ascii="Calibri" w:eastAsia="Times New Roman" w:hAnsi="Calibri"/>
                <w:b/>
                <w:bCs/>
                <w:color w:val="000000"/>
                <w:sz w:val="14"/>
                <w:szCs w:val="14"/>
                <w:lang w:eastAsia="es-CR"/>
              </w:rPr>
            </w:pP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Ingresos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auto" w:fill="auto"/>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Ingresos Operativos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Productos por cartera de crédito</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23</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156.628.510,53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16,59%</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177.865.526,30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11,63%</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Disminución Estimaciones por incobrables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24</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136.577.198,29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14,47%</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421.807.887,21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27,58%</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Ingresos por Afectaciones-PSA</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25</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37.025.342,58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3,92%</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53.315.196,95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3,49%</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Otros Ingresos Operativos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26</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588.850.835,42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62,37%</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869.622.546,70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56,86%</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Ingresos por bienes realizables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27</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7.039.168,34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0,75%</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0,00%</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Total Ingresoso operativos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926.121.055,16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98,10%</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1.522.611.157,16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99,55%</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Ingresos Financieros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Ingreso por diferencial cambiario</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28</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17.965.381,46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1,90%</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6.849.686,72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0,45%</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Ingresos Financieros por Disponibilidades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29</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627,28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0,00%</w:t>
            </w:r>
          </w:p>
        </w:tc>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0,00%</w:t>
            </w:r>
          </w:p>
        </w:tc>
      </w:tr>
      <w:tr w:rsidR="00EC7FF8" w:rsidRPr="00EC7FF8" w:rsidTr="00EC7FF8">
        <w:trPr>
          <w:trHeight w:val="231"/>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Total ingresos financieros</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17.966.008,74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1,90%</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6.849.686,72 </w:t>
            </w:r>
          </w:p>
        </w:tc>
        <w:tc>
          <w:tcPr>
            <w:tcW w:w="922" w:type="dxa"/>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0,45%</w:t>
            </w:r>
          </w:p>
        </w:tc>
      </w:tr>
      <w:tr w:rsidR="00EC7FF8" w:rsidRPr="00EC7FF8" w:rsidTr="00EC7FF8">
        <w:trPr>
          <w:trHeight w:val="231"/>
          <w:jc w:val="center"/>
        </w:trPr>
        <w:tc>
          <w:tcPr>
            <w:tcW w:w="0" w:type="auto"/>
            <w:tcBorders>
              <w:top w:val="nil"/>
              <w:left w:val="single" w:sz="8" w:space="0" w:color="auto"/>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Total ingresos</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944.087.063,90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100,00%</w:t>
            </w:r>
          </w:p>
        </w:tc>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1.529.460.843,88 </w:t>
            </w:r>
          </w:p>
        </w:tc>
        <w:tc>
          <w:tcPr>
            <w:tcW w:w="922" w:type="dxa"/>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100,00%</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Egresos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Gastos operativos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por estimación cartera crédito</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30</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87.149.493,47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6,71%</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420.308.153,57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27,52%</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por Bienes Realizables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31</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65.036.084,96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5,01%</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91.764.457,04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6,01%</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Servicios Ambietales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32</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1.840.913,92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0,14%</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862.237,80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0,06%</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Comisión por servicios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33</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125.869.211,76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9,69%</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0,00%</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Otros gastos operativos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34</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3.721.401,22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0,29%</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52.702.745,48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3,45%</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Total Gastos Operativos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283.617.105,33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21,84%</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565.637.593,89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37,04%</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Gastos Financieros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Diferencial cambiario</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28</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3.615.335,13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0,28%</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17.276.948,33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1,13%</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Total gastos Financieros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3.615.335,13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0,28%</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17.276.948,33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1,13%</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Gastos de Administración</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de personal</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35</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229.733.130,12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17,69%</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133.674.356,17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8,75%</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por provisiones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36</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88.555.136,29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6,82%</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47.766.367,08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3,13%</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por servicios externos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37</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556.664.031,77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42,86%</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630.304.191,10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41,27%</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de movilidad y comunicaciones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38</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27.148.495,42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2,09%</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28.405.789,45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1,86%</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de infraestructura</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39</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63.570.830,50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4,90%</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67.383.508,78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4,41%</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Gastos generales</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40</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45.772.965,94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3,52%</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xml:space="preserve">               36.684.378,03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2,40%</w:t>
            </w:r>
          </w:p>
        </w:tc>
      </w:tr>
      <w:tr w:rsidR="00EC7FF8" w:rsidRPr="00EC7FF8" w:rsidTr="00EC7FF8">
        <w:trPr>
          <w:trHeight w:val="219"/>
          <w:jc w:val="center"/>
        </w:trPr>
        <w:tc>
          <w:tcPr>
            <w:tcW w:w="0" w:type="auto"/>
            <w:tcBorders>
              <w:top w:val="nil"/>
              <w:left w:val="single" w:sz="8" w:space="0" w:color="auto"/>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Total Gastos Administrativos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1.011.444.590,04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77,88%</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944.218.590,61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61,83%</w:t>
            </w:r>
          </w:p>
        </w:tc>
      </w:tr>
      <w:tr w:rsidR="00EC7FF8" w:rsidRPr="00EC7FF8" w:rsidTr="00EC7FF8">
        <w:trPr>
          <w:trHeight w:val="231"/>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31"/>
          <w:jc w:val="center"/>
        </w:trPr>
        <w:tc>
          <w:tcPr>
            <w:tcW w:w="0" w:type="auto"/>
            <w:tcBorders>
              <w:top w:val="nil"/>
              <w:left w:val="single" w:sz="8" w:space="0" w:color="auto"/>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Total  Egresos</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1.298.677.030,50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100,00%</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1.527.133.132,83 </w:t>
            </w:r>
          </w:p>
        </w:tc>
        <w:tc>
          <w:tcPr>
            <w:tcW w:w="922" w:type="dxa"/>
            <w:tcBorders>
              <w:top w:val="single" w:sz="8" w:space="0" w:color="auto"/>
              <w:left w:val="nil"/>
              <w:bottom w:val="single" w:sz="8" w:space="0" w:color="auto"/>
              <w:right w:val="single" w:sz="8" w:space="0" w:color="auto"/>
            </w:tcBorders>
            <w:shd w:val="clear" w:color="000000" w:fill="FFFFFF"/>
            <w:noWrap/>
            <w:vAlign w:val="bottom"/>
            <w:hideMark/>
          </w:tcPr>
          <w:p w:rsidR="00303878" w:rsidRPr="00EC7FF8" w:rsidRDefault="00303878" w:rsidP="00303878">
            <w:pPr>
              <w:jc w:val="right"/>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100,00%</w:t>
            </w:r>
          </w:p>
        </w:tc>
      </w:tr>
      <w:tr w:rsidR="00EC7FF8" w:rsidRPr="00EC7FF8" w:rsidTr="00EC7FF8">
        <w:trPr>
          <w:trHeight w:val="219"/>
          <w:jc w:val="center"/>
        </w:trPr>
        <w:tc>
          <w:tcPr>
            <w:tcW w:w="0" w:type="auto"/>
            <w:tcBorders>
              <w:top w:val="nil"/>
              <w:left w:val="single" w:sz="8" w:space="0" w:color="auto"/>
              <w:bottom w:val="nil"/>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922" w:type="dxa"/>
            <w:tcBorders>
              <w:top w:val="nil"/>
              <w:left w:val="nil"/>
              <w:bottom w:val="nil"/>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r w:rsidR="00EC7FF8" w:rsidRPr="00EC7FF8" w:rsidTr="00EC7FF8">
        <w:trPr>
          <w:trHeight w:val="231"/>
          <w:jc w:val="center"/>
        </w:trPr>
        <w:tc>
          <w:tcPr>
            <w:tcW w:w="0" w:type="auto"/>
            <w:tcBorders>
              <w:top w:val="nil"/>
              <w:left w:val="single" w:sz="8" w:space="0" w:color="auto"/>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Utilidad o (Perdida)</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354.589.966,60 </w:t>
            </w:r>
          </w:p>
        </w:tc>
        <w:tc>
          <w:tcPr>
            <w:tcW w:w="0" w:type="auto"/>
            <w:tcBorders>
              <w:top w:val="nil"/>
              <w:left w:val="nil"/>
              <w:bottom w:val="single" w:sz="8" w:space="0" w:color="auto"/>
              <w:right w:val="nil"/>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b/>
                <w:bCs/>
                <w:color w:val="000000"/>
                <w:sz w:val="14"/>
                <w:szCs w:val="14"/>
                <w:lang w:eastAsia="es-CR"/>
              </w:rPr>
            </w:pPr>
            <w:r w:rsidRPr="00EC7FF8">
              <w:rPr>
                <w:rFonts w:ascii="Calibri" w:eastAsia="Times New Roman" w:hAnsi="Calibri"/>
                <w:b/>
                <w:bCs/>
                <w:color w:val="000000"/>
                <w:sz w:val="14"/>
                <w:szCs w:val="14"/>
                <w:lang w:eastAsia="es-CR"/>
              </w:rPr>
              <w:t xml:space="preserve">                 2.327.711,05 </w:t>
            </w:r>
          </w:p>
        </w:tc>
        <w:tc>
          <w:tcPr>
            <w:tcW w:w="922" w:type="dxa"/>
            <w:tcBorders>
              <w:top w:val="nil"/>
              <w:left w:val="nil"/>
              <w:bottom w:val="single" w:sz="8" w:space="0" w:color="auto"/>
              <w:right w:val="single" w:sz="8" w:space="0" w:color="auto"/>
            </w:tcBorders>
            <w:shd w:val="clear" w:color="000000" w:fill="FFFFFF"/>
            <w:noWrap/>
            <w:vAlign w:val="bottom"/>
            <w:hideMark/>
          </w:tcPr>
          <w:p w:rsidR="00303878" w:rsidRPr="00EC7FF8" w:rsidRDefault="00303878" w:rsidP="00303878">
            <w:pPr>
              <w:rPr>
                <w:rFonts w:ascii="Calibri" w:eastAsia="Times New Roman" w:hAnsi="Calibri"/>
                <w:color w:val="000000"/>
                <w:sz w:val="14"/>
                <w:szCs w:val="14"/>
                <w:lang w:eastAsia="es-CR"/>
              </w:rPr>
            </w:pPr>
            <w:r w:rsidRPr="00EC7FF8">
              <w:rPr>
                <w:rFonts w:ascii="Calibri" w:eastAsia="Times New Roman" w:hAnsi="Calibri"/>
                <w:color w:val="000000"/>
                <w:sz w:val="14"/>
                <w:szCs w:val="14"/>
                <w:lang w:eastAsia="es-CR"/>
              </w:rPr>
              <w:t> </w:t>
            </w:r>
          </w:p>
        </w:tc>
      </w:tr>
    </w:tbl>
    <w:p w:rsidR="00CC6AF9" w:rsidRDefault="00CC6AF9" w:rsidP="00D041AF">
      <w:pPr>
        <w:contextualSpacing/>
        <w:jc w:val="both"/>
        <w:rPr>
          <w:rFonts w:ascii="Arial" w:hAnsi="Arial" w:cs="Arial"/>
          <w:sz w:val="24"/>
          <w:szCs w:val="24"/>
        </w:rPr>
      </w:pPr>
    </w:p>
    <w:p w:rsidR="00EC7FF8" w:rsidRDefault="00EC7FF8" w:rsidP="00787E97">
      <w:pPr>
        <w:contextualSpacing/>
        <w:jc w:val="both"/>
        <w:rPr>
          <w:rFonts w:ascii="Arial" w:hAnsi="Arial" w:cs="Arial"/>
          <w:b/>
          <w:sz w:val="24"/>
          <w:szCs w:val="24"/>
        </w:rPr>
      </w:pPr>
    </w:p>
    <w:p w:rsidR="00EC7FF8" w:rsidRDefault="00EC7FF8" w:rsidP="00787E97">
      <w:pPr>
        <w:contextualSpacing/>
        <w:jc w:val="both"/>
        <w:rPr>
          <w:rFonts w:ascii="Arial" w:hAnsi="Arial" w:cs="Arial"/>
          <w:b/>
          <w:sz w:val="24"/>
          <w:szCs w:val="24"/>
        </w:rPr>
      </w:pPr>
    </w:p>
    <w:p w:rsidR="00EC7FF8" w:rsidRDefault="00EC7FF8" w:rsidP="00787E97">
      <w:pPr>
        <w:contextualSpacing/>
        <w:jc w:val="both"/>
        <w:rPr>
          <w:rFonts w:ascii="Arial" w:hAnsi="Arial" w:cs="Arial"/>
          <w:b/>
          <w:sz w:val="24"/>
          <w:szCs w:val="24"/>
        </w:rPr>
      </w:pPr>
    </w:p>
    <w:p w:rsidR="00EC7FF8" w:rsidRDefault="00EC7FF8" w:rsidP="00787E97">
      <w:pPr>
        <w:contextualSpacing/>
        <w:jc w:val="both"/>
        <w:rPr>
          <w:rFonts w:ascii="Arial" w:hAnsi="Arial" w:cs="Arial"/>
          <w:b/>
          <w:sz w:val="24"/>
          <w:szCs w:val="24"/>
        </w:rPr>
      </w:pPr>
    </w:p>
    <w:p w:rsidR="00EC7FF8" w:rsidRDefault="00EC7FF8" w:rsidP="00787E97">
      <w:pPr>
        <w:contextualSpacing/>
        <w:jc w:val="both"/>
        <w:rPr>
          <w:rFonts w:ascii="Arial" w:hAnsi="Arial" w:cs="Arial"/>
          <w:b/>
          <w:sz w:val="24"/>
          <w:szCs w:val="24"/>
        </w:rPr>
      </w:pPr>
    </w:p>
    <w:p w:rsidR="00787E97" w:rsidRPr="009B4B6C" w:rsidRDefault="00787E97" w:rsidP="00787E97">
      <w:pPr>
        <w:contextualSpacing/>
        <w:jc w:val="both"/>
        <w:rPr>
          <w:rFonts w:ascii="Arial" w:hAnsi="Arial" w:cs="Arial"/>
          <w:b/>
          <w:sz w:val="24"/>
          <w:szCs w:val="24"/>
        </w:rPr>
      </w:pPr>
      <w:r w:rsidRPr="009B4B6C">
        <w:rPr>
          <w:rFonts w:ascii="Arial" w:hAnsi="Arial" w:cs="Arial"/>
          <w:b/>
          <w:sz w:val="24"/>
          <w:szCs w:val="24"/>
        </w:rPr>
        <w:t>Otros comentarios al Estado de Resultados:</w:t>
      </w:r>
    </w:p>
    <w:p w:rsidR="009B4B6C" w:rsidRPr="009B4B6C" w:rsidRDefault="009B4B6C" w:rsidP="00787E97">
      <w:pPr>
        <w:contextualSpacing/>
        <w:jc w:val="both"/>
        <w:rPr>
          <w:rFonts w:ascii="Arial" w:hAnsi="Arial" w:cs="Arial"/>
          <w:b/>
          <w:sz w:val="24"/>
          <w:szCs w:val="24"/>
        </w:rPr>
      </w:pPr>
    </w:p>
    <w:p w:rsidR="009B4B6C" w:rsidRPr="00FD11AA" w:rsidRDefault="009B4B6C" w:rsidP="009B4B6C">
      <w:pPr>
        <w:jc w:val="both"/>
        <w:rPr>
          <w:rFonts w:ascii="Arial" w:hAnsi="Arial" w:cs="Arial"/>
          <w:sz w:val="24"/>
          <w:szCs w:val="24"/>
        </w:rPr>
      </w:pPr>
      <w:r w:rsidRPr="00FD11AA">
        <w:rPr>
          <w:rFonts w:ascii="Arial" w:hAnsi="Arial" w:cs="Arial"/>
          <w:sz w:val="24"/>
          <w:szCs w:val="24"/>
        </w:rPr>
        <w:t>Por la naturaleza de la institución, consideramos que las siguientes razones financieras son las que generan información para la toma de decisiones.</w:t>
      </w:r>
    </w:p>
    <w:p w:rsidR="00787E97" w:rsidRPr="00EC7FF8" w:rsidRDefault="00787E97" w:rsidP="00787E97">
      <w:pPr>
        <w:rPr>
          <w:rFonts w:ascii="Arial" w:hAnsi="Arial" w:cs="Arial"/>
          <w:color w:val="FF0000"/>
          <w:sz w:val="24"/>
          <w:szCs w:val="24"/>
          <w:lang w:val="es-MX" w:eastAsia="es-CR"/>
        </w:rPr>
      </w:pPr>
    </w:p>
    <w:p w:rsidR="00352DEB" w:rsidRPr="00EC7FF8" w:rsidRDefault="00352DEB" w:rsidP="00787E97">
      <w:pPr>
        <w:contextualSpacing/>
        <w:jc w:val="both"/>
        <w:rPr>
          <w:rFonts w:ascii="Arial" w:hAnsi="Arial" w:cs="Arial"/>
          <w:color w:val="FF0000"/>
          <w:sz w:val="24"/>
          <w:szCs w:val="24"/>
        </w:rPr>
      </w:pPr>
    </w:p>
    <w:p w:rsidR="00787E97" w:rsidRPr="009B4B6C" w:rsidRDefault="00787E97" w:rsidP="00787E97">
      <w:pPr>
        <w:pStyle w:val="Prrafodelista"/>
        <w:numPr>
          <w:ilvl w:val="1"/>
          <w:numId w:val="28"/>
        </w:numPr>
        <w:spacing w:after="0" w:line="240" w:lineRule="auto"/>
        <w:ind w:left="0"/>
        <w:contextualSpacing/>
        <w:jc w:val="both"/>
        <w:rPr>
          <w:rFonts w:ascii="Arial" w:eastAsia="SimSun" w:hAnsi="Arial" w:cs="Arial"/>
          <w:b/>
          <w:sz w:val="24"/>
          <w:szCs w:val="24"/>
          <w:lang w:val="es-ES_tradnl" w:eastAsia="es-ES"/>
        </w:rPr>
      </w:pPr>
      <w:r w:rsidRPr="009B4B6C">
        <w:rPr>
          <w:rFonts w:ascii="Arial" w:eastAsia="SimSun" w:hAnsi="Arial" w:cs="Arial"/>
          <w:b/>
          <w:sz w:val="24"/>
          <w:szCs w:val="24"/>
          <w:lang w:eastAsia="es-ES"/>
        </w:rPr>
        <w:t>Razones Financieras</w:t>
      </w:r>
    </w:p>
    <w:p w:rsidR="00787E97" w:rsidRPr="009B4B6C" w:rsidRDefault="00787E97" w:rsidP="00787E97">
      <w:pPr>
        <w:pStyle w:val="Prrafodelista"/>
        <w:spacing w:after="0" w:line="240" w:lineRule="auto"/>
        <w:ind w:left="1080"/>
        <w:jc w:val="both"/>
        <w:rPr>
          <w:rFonts w:ascii="Arial" w:eastAsia="SimSun" w:hAnsi="Arial" w:cs="Arial"/>
          <w:b/>
          <w:sz w:val="24"/>
          <w:szCs w:val="24"/>
          <w:lang w:val="es-ES_tradnl" w:eastAsia="es-ES"/>
        </w:rPr>
      </w:pPr>
    </w:p>
    <w:p w:rsidR="00787E97" w:rsidRPr="009B4B6C" w:rsidRDefault="00787E97" w:rsidP="00787E97">
      <w:pPr>
        <w:numPr>
          <w:ilvl w:val="0"/>
          <w:numId w:val="27"/>
        </w:numPr>
        <w:ind w:left="0"/>
        <w:contextualSpacing/>
        <w:jc w:val="both"/>
        <w:rPr>
          <w:rFonts w:ascii="Arial" w:hAnsi="Arial" w:cs="Arial"/>
          <w:b/>
          <w:sz w:val="24"/>
          <w:szCs w:val="24"/>
        </w:rPr>
      </w:pPr>
      <w:r w:rsidRPr="009B4B6C">
        <w:rPr>
          <w:rFonts w:ascii="Arial" w:hAnsi="Arial" w:cs="Arial"/>
          <w:b/>
          <w:sz w:val="24"/>
          <w:szCs w:val="24"/>
        </w:rPr>
        <w:t>Razón Circulante:</w:t>
      </w:r>
      <w:r w:rsidRPr="009B4B6C">
        <w:rPr>
          <w:rFonts w:ascii="Arial" w:hAnsi="Arial" w:cs="Arial"/>
          <w:sz w:val="24"/>
          <w:szCs w:val="24"/>
        </w:rPr>
        <w:t xml:space="preserve"> la razón circulante del</w:t>
      </w:r>
      <w:r w:rsidR="00E70CCE" w:rsidRPr="009B4B6C">
        <w:rPr>
          <w:rFonts w:ascii="Arial" w:hAnsi="Arial" w:cs="Arial"/>
          <w:sz w:val="24"/>
          <w:szCs w:val="24"/>
        </w:rPr>
        <w:t xml:space="preserve"> Fideicomiso</w:t>
      </w:r>
      <w:r w:rsidRPr="009B4B6C">
        <w:rPr>
          <w:rFonts w:ascii="Arial" w:hAnsi="Arial" w:cs="Arial"/>
          <w:sz w:val="24"/>
          <w:szCs w:val="24"/>
        </w:rPr>
        <w:t xml:space="preserve"> para el</w:t>
      </w:r>
      <w:r w:rsidR="00352DEB" w:rsidRPr="009B4B6C">
        <w:rPr>
          <w:rFonts w:ascii="Arial" w:hAnsi="Arial" w:cs="Arial"/>
          <w:sz w:val="24"/>
          <w:szCs w:val="24"/>
        </w:rPr>
        <w:t xml:space="preserve"> </w:t>
      </w:r>
      <w:r w:rsidR="000A7686" w:rsidRPr="009B4B6C">
        <w:rPr>
          <w:rFonts w:ascii="Arial" w:hAnsi="Arial" w:cs="Arial"/>
          <w:sz w:val="24"/>
          <w:szCs w:val="24"/>
        </w:rPr>
        <w:t>primer</w:t>
      </w:r>
      <w:r w:rsidR="00352DEB" w:rsidRPr="009B4B6C">
        <w:rPr>
          <w:rFonts w:ascii="Arial" w:hAnsi="Arial" w:cs="Arial"/>
          <w:sz w:val="24"/>
          <w:szCs w:val="24"/>
        </w:rPr>
        <w:t xml:space="preserve"> semestre del</w:t>
      </w:r>
      <w:r w:rsidRPr="009B4B6C">
        <w:rPr>
          <w:rFonts w:ascii="Arial" w:hAnsi="Arial" w:cs="Arial"/>
          <w:sz w:val="24"/>
          <w:szCs w:val="24"/>
        </w:rPr>
        <w:t xml:space="preserve"> añ</w:t>
      </w:r>
      <w:r w:rsidR="00E70CCE" w:rsidRPr="009B4B6C">
        <w:rPr>
          <w:rFonts w:ascii="Arial" w:hAnsi="Arial" w:cs="Arial"/>
          <w:sz w:val="24"/>
          <w:szCs w:val="24"/>
        </w:rPr>
        <w:t xml:space="preserve">o </w:t>
      </w:r>
      <w:r w:rsidR="00352DEB" w:rsidRPr="009B4B6C">
        <w:rPr>
          <w:rFonts w:ascii="Arial" w:hAnsi="Arial" w:cs="Arial"/>
          <w:sz w:val="24"/>
          <w:szCs w:val="24"/>
        </w:rPr>
        <w:t xml:space="preserve">refleja un resultado </w:t>
      </w:r>
      <w:r w:rsidR="004A0154" w:rsidRPr="009B4B6C">
        <w:rPr>
          <w:rFonts w:ascii="Arial" w:hAnsi="Arial" w:cs="Arial"/>
          <w:sz w:val="24"/>
          <w:szCs w:val="24"/>
        </w:rPr>
        <w:t xml:space="preserve">de </w:t>
      </w:r>
      <w:r w:rsidR="00AF2742" w:rsidRPr="009B4B6C">
        <w:rPr>
          <w:rFonts w:ascii="Arial" w:hAnsi="Arial" w:cs="Arial"/>
          <w:sz w:val="24"/>
          <w:szCs w:val="24"/>
        </w:rPr>
        <w:t>¢</w:t>
      </w:r>
      <w:r w:rsidR="009B4B6C" w:rsidRPr="009B4B6C">
        <w:rPr>
          <w:rFonts w:ascii="Arial" w:hAnsi="Arial" w:cs="Arial"/>
          <w:sz w:val="24"/>
          <w:szCs w:val="24"/>
        </w:rPr>
        <w:t>112,86</w:t>
      </w:r>
      <w:r w:rsidR="00126227" w:rsidRPr="009B4B6C">
        <w:rPr>
          <w:rFonts w:ascii="Arial" w:hAnsi="Arial" w:cs="Arial"/>
          <w:sz w:val="24"/>
          <w:szCs w:val="24"/>
        </w:rPr>
        <w:t xml:space="preserve"> </w:t>
      </w:r>
      <w:r w:rsidRPr="009B4B6C">
        <w:rPr>
          <w:rFonts w:ascii="Arial" w:hAnsi="Arial" w:cs="Arial"/>
          <w:sz w:val="24"/>
          <w:szCs w:val="24"/>
        </w:rPr>
        <w:t>lo que representa la cantidad de veces que los activos corrientes alcanzarían para pagar los pasivos a corto plazo.</w:t>
      </w:r>
      <w:r w:rsidR="003A1733" w:rsidRPr="009B4B6C">
        <w:rPr>
          <w:rFonts w:ascii="Arial" w:hAnsi="Arial" w:cs="Arial"/>
          <w:sz w:val="24"/>
          <w:szCs w:val="24"/>
        </w:rPr>
        <w:t xml:space="preserve"> Lo anterior es originado por que el Fideicomiso no mantiene deudas significativas.</w:t>
      </w:r>
    </w:p>
    <w:p w:rsidR="00787E97" w:rsidRPr="009B4B6C" w:rsidRDefault="00787E97" w:rsidP="00787E97">
      <w:pPr>
        <w:contextualSpacing/>
        <w:jc w:val="both"/>
        <w:rPr>
          <w:rFonts w:ascii="Arial" w:hAnsi="Arial" w:cs="Arial"/>
          <w:b/>
          <w:sz w:val="24"/>
          <w:szCs w:val="24"/>
        </w:rPr>
      </w:pPr>
    </w:p>
    <w:p w:rsidR="00787E97" w:rsidRPr="009B4B6C" w:rsidRDefault="00787E97" w:rsidP="00787E97">
      <w:pPr>
        <w:numPr>
          <w:ilvl w:val="0"/>
          <w:numId w:val="27"/>
        </w:numPr>
        <w:ind w:left="0"/>
        <w:contextualSpacing/>
        <w:jc w:val="both"/>
        <w:rPr>
          <w:rFonts w:ascii="Arial" w:hAnsi="Arial" w:cs="Arial"/>
          <w:sz w:val="24"/>
          <w:szCs w:val="24"/>
        </w:rPr>
      </w:pPr>
      <w:r w:rsidRPr="009B4B6C">
        <w:rPr>
          <w:rFonts w:ascii="Arial" w:hAnsi="Arial" w:cs="Arial"/>
          <w:b/>
          <w:sz w:val="24"/>
          <w:szCs w:val="24"/>
        </w:rPr>
        <w:t>Razón de Endeudamiento:</w:t>
      </w:r>
      <w:r w:rsidRPr="009B4B6C">
        <w:rPr>
          <w:rFonts w:ascii="Arial" w:hAnsi="Arial" w:cs="Arial"/>
          <w:sz w:val="24"/>
          <w:szCs w:val="24"/>
        </w:rPr>
        <w:t xml:space="preserve"> la razón de deuda del </w:t>
      </w:r>
      <w:r w:rsidR="00C25ADE" w:rsidRPr="009B4B6C">
        <w:rPr>
          <w:rFonts w:ascii="Arial" w:hAnsi="Arial" w:cs="Arial"/>
          <w:sz w:val="24"/>
          <w:szCs w:val="24"/>
        </w:rPr>
        <w:t>Fideicom</w:t>
      </w:r>
      <w:r w:rsidR="004A0154" w:rsidRPr="009B4B6C">
        <w:rPr>
          <w:rFonts w:ascii="Arial" w:hAnsi="Arial" w:cs="Arial"/>
          <w:sz w:val="24"/>
          <w:szCs w:val="24"/>
        </w:rPr>
        <w:t xml:space="preserve">iso es de un </w:t>
      </w:r>
      <w:r w:rsidR="005D1F0A" w:rsidRPr="009B4B6C">
        <w:rPr>
          <w:rFonts w:ascii="Arial" w:hAnsi="Arial" w:cs="Arial"/>
          <w:sz w:val="24"/>
          <w:szCs w:val="24"/>
        </w:rPr>
        <w:t>0,</w:t>
      </w:r>
      <w:r w:rsidR="009B4B6C" w:rsidRPr="009B4B6C">
        <w:rPr>
          <w:rFonts w:ascii="Arial" w:hAnsi="Arial" w:cs="Arial"/>
          <w:sz w:val="24"/>
          <w:szCs w:val="24"/>
        </w:rPr>
        <w:t>0026</w:t>
      </w:r>
      <w:r w:rsidRPr="009B4B6C">
        <w:rPr>
          <w:rFonts w:ascii="Arial" w:hAnsi="Arial" w:cs="Arial"/>
          <w:sz w:val="24"/>
          <w:szCs w:val="24"/>
        </w:rPr>
        <w:t xml:space="preserve">%, lo </w:t>
      </w:r>
      <w:r w:rsidR="003A1733" w:rsidRPr="009B4B6C">
        <w:rPr>
          <w:rFonts w:ascii="Arial" w:hAnsi="Arial" w:cs="Arial"/>
          <w:sz w:val="24"/>
          <w:szCs w:val="24"/>
        </w:rPr>
        <w:t>cual no representa un riesgo significativo</w:t>
      </w:r>
      <w:r w:rsidR="00202DE9" w:rsidRPr="009B4B6C">
        <w:rPr>
          <w:rFonts w:ascii="Arial" w:hAnsi="Arial" w:cs="Arial"/>
          <w:sz w:val="24"/>
          <w:szCs w:val="24"/>
        </w:rPr>
        <w:t xml:space="preserve"> al contar con deudas</w:t>
      </w:r>
      <w:r w:rsidR="005D1F0A" w:rsidRPr="009B4B6C">
        <w:rPr>
          <w:rFonts w:ascii="Arial" w:hAnsi="Arial" w:cs="Arial"/>
          <w:sz w:val="24"/>
          <w:szCs w:val="24"/>
        </w:rPr>
        <w:t xml:space="preserve"> relativamente pequeñas para el Fideicomiso</w:t>
      </w:r>
      <w:r w:rsidR="00202DE9" w:rsidRPr="009B4B6C">
        <w:rPr>
          <w:rFonts w:ascii="Arial" w:hAnsi="Arial" w:cs="Arial"/>
          <w:sz w:val="24"/>
          <w:szCs w:val="24"/>
        </w:rPr>
        <w:t>.</w:t>
      </w:r>
    </w:p>
    <w:p w:rsidR="00787E97" w:rsidRPr="009B4B6C" w:rsidRDefault="00787E97" w:rsidP="00D041AF">
      <w:pPr>
        <w:contextualSpacing/>
        <w:jc w:val="both"/>
        <w:rPr>
          <w:rFonts w:ascii="Arial" w:hAnsi="Arial" w:cs="Arial"/>
          <w:sz w:val="24"/>
          <w:szCs w:val="24"/>
        </w:rPr>
      </w:pPr>
    </w:p>
    <w:p w:rsidR="00BD44CA" w:rsidRPr="00EC7FF8" w:rsidRDefault="00BD44CA" w:rsidP="00D041AF">
      <w:pPr>
        <w:contextualSpacing/>
        <w:jc w:val="both"/>
        <w:rPr>
          <w:rFonts w:ascii="Arial" w:hAnsi="Arial" w:cs="Arial"/>
          <w:color w:val="FF0000"/>
          <w:sz w:val="24"/>
          <w:szCs w:val="24"/>
        </w:rPr>
      </w:pPr>
    </w:p>
    <w:p w:rsidR="004137F9" w:rsidRPr="009B4B6C" w:rsidRDefault="004137F9" w:rsidP="009B4919">
      <w:pPr>
        <w:pStyle w:val="Ttulo1"/>
        <w:numPr>
          <w:ilvl w:val="0"/>
          <w:numId w:val="42"/>
        </w:numPr>
        <w:rPr>
          <w:rFonts w:ascii="Arial" w:hAnsi="Arial" w:cs="Arial"/>
          <w:b/>
        </w:rPr>
      </w:pPr>
      <w:bookmarkStart w:id="15" w:name="_Toc32593427"/>
      <w:r w:rsidRPr="009B4B6C">
        <w:rPr>
          <w:rFonts w:ascii="Arial" w:hAnsi="Arial" w:cs="Arial"/>
          <w:b/>
        </w:rPr>
        <w:t>Medidas Correctivas y Acciones de Mejora</w:t>
      </w:r>
      <w:bookmarkEnd w:id="15"/>
    </w:p>
    <w:p w:rsidR="007D4247" w:rsidRPr="00EC7FF8" w:rsidRDefault="007D4247" w:rsidP="00C639C2">
      <w:pPr>
        <w:contextualSpacing/>
        <w:jc w:val="both"/>
        <w:rPr>
          <w:rFonts w:ascii="Arial" w:hAnsi="Arial" w:cs="Arial"/>
          <w:color w:val="FF0000"/>
          <w:sz w:val="22"/>
          <w:szCs w:val="22"/>
        </w:rPr>
      </w:pPr>
    </w:p>
    <w:p w:rsidR="009B4B6C" w:rsidRPr="009B4B6C" w:rsidRDefault="009B4B6C" w:rsidP="009B4B6C">
      <w:pPr>
        <w:pStyle w:val="Default"/>
        <w:spacing w:line="276" w:lineRule="auto"/>
        <w:jc w:val="both"/>
        <w:rPr>
          <w:color w:val="auto"/>
          <w:lang w:val="es-CR" w:eastAsia="es-ES"/>
        </w:rPr>
      </w:pPr>
      <w:r w:rsidRPr="009B4B6C">
        <w:rPr>
          <w:color w:val="auto"/>
          <w:lang w:val="es-CR" w:eastAsia="es-ES"/>
        </w:rPr>
        <w:t xml:space="preserve">Dados los resultados obtenidos, la institución ha ajustado acciones operativas, contextualizada en las condiciones dadas y con el presupuesto disponible para el año 2020. </w:t>
      </w:r>
    </w:p>
    <w:p w:rsidR="009B4B6C" w:rsidRPr="009B4B6C" w:rsidRDefault="009B4B6C" w:rsidP="009B4B6C">
      <w:pPr>
        <w:pStyle w:val="Default"/>
        <w:spacing w:line="276" w:lineRule="auto"/>
        <w:jc w:val="both"/>
        <w:rPr>
          <w:color w:val="auto"/>
          <w:lang w:val="es-CR" w:eastAsia="es-ES"/>
        </w:rPr>
      </w:pPr>
      <w:r w:rsidRPr="009B4B6C">
        <w:rPr>
          <w:color w:val="auto"/>
          <w:lang w:val="es-CR" w:eastAsia="es-ES"/>
        </w:rPr>
        <w:t xml:space="preserve">Asimismo, durante ese año, se inicia el trabajo estratégico, para posicionar a la institución como un ente líder en el financiamiento ambiental forestal en el país. </w:t>
      </w:r>
    </w:p>
    <w:p w:rsidR="009B4B6C" w:rsidRPr="009B4B6C" w:rsidRDefault="009B4B6C" w:rsidP="009B4B6C">
      <w:pPr>
        <w:pStyle w:val="Default"/>
        <w:spacing w:line="276" w:lineRule="auto"/>
        <w:jc w:val="both"/>
        <w:rPr>
          <w:color w:val="auto"/>
          <w:lang w:val="es-CR" w:eastAsia="es-ES"/>
        </w:rPr>
      </w:pPr>
      <w:r w:rsidRPr="009B4B6C">
        <w:rPr>
          <w:color w:val="auto"/>
          <w:lang w:val="es-CR" w:eastAsia="es-ES"/>
        </w:rPr>
        <w:t>El financiamiento de actividades que incluyen todos los servicios ecosistémicos que brinda el territorio, se convierte entonces, en un horizonte para la institución, ya que permite la promoción del sector y el desarrollo del productor desde un abordaje más integral.</w:t>
      </w:r>
    </w:p>
    <w:p w:rsidR="004137F9" w:rsidRPr="009B4B6C" w:rsidRDefault="004137F9" w:rsidP="009B4B6C">
      <w:pPr>
        <w:contextualSpacing/>
        <w:jc w:val="both"/>
        <w:rPr>
          <w:rFonts w:ascii="Arial" w:hAnsi="Arial" w:cs="Arial"/>
          <w:sz w:val="24"/>
          <w:szCs w:val="24"/>
        </w:rPr>
      </w:pPr>
    </w:p>
    <w:sectPr w:rsidR="004137F9" w:rsidRPr="009B4B6C" w:rsidSect="004D1561">
      <w:headerReference w:type="default" r:id="rId10"/>
      <w:footerReference w:type="default" r:id="rId11"/>
      <w:headerReference w:type="first" r:id="rId12"/>
      <w:footerReference w:type="first" r:id="rId13"/>
      <w:pgSz w:w="12242" w:h="15842" w:code="1"/>
      <w:pgMar w:top="1134" w:right="1440" w:bottom="141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BD" w:rsidRDefault="003C53BD">
      <w:r>
        <w:separator/>
      </w:r>
    </w:p>
  </w:endnote>
  <w:endnote w:type="continuationSeparator" w:id="0">
    <w:p w:rsidR="003C53BD" w:rsidRDefault="003C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Narrow"/>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ligraphe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524070"/>
      <w:docPartObj>
        <w:docPartGallery w:val="Page Numbers (Bottom of Page)"/>
        <w:docPartUnique/>
      </w:docPartObj>
    </w:sdtPr>
    <w:sdtContent>
      <w:p w:rsidR="00826350" w:rsidRDefault="00826350">
        <w:pPr>
          <w:pStyle w:val="Piedepgina"/>
        </w:pPr>
        <w:r>
          <w:fldChar w:fldCharType="begin"/>
        </w:r>
        <w:r>
          <w:instrText>PAGE   \* MERGEFORMAT</w:instrText>
        </w:r>
        <w:r>
          <w:fldChar w:fldCharType="separate"/>
        </w:r>
        <w:r w:rsidR="000F2E91">
          <w:rPr>
            <w:noProof/>
          </w:rPr>
          <w:t>11</w:t>
        </w:r>
        <w:r>
          <w:rPr>
            <w:noProof/>
          </w:rPr>
          <w:fldChar w:fldCharType="end"/>
        </w:r>
      </w:p>
    </w:sdtContent>
  </w:sdt>
  <w:p w:rsidR="00826350" w:rsidRDefault="0082635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20495"/>
      <w:docPartObj>
        <w:docPartGallery w:val="Page Numbers (Top of Page)"/>
        <w:docPartUnique/>
      </w:docPartObj>
    </w:sdtPr>
    <w:sdtContent>
      <w:p w:rsidR="00826350" w:rsidRDefault="00826350" w:rsidP="006C2303">
        <w:pPr>
          <w:pStyle w:val="Piedepgina"/>
          <w:jc w:val="center"/>
          <w:rPr>
            <w:sz w:val="20"/>
            <w:lang w:val="es-CR"/>
          </w:rPr>
        </w:pPr>
        <w:r>
          <w:t xml:space="preserve">Página </w:t>
        </w:r>
        <w:r>
          <w:rPr>
            <w:b/>
            <w:bCs/>
            <w:szCs w:val="24"/>
          </w:rPr>
          <w:fldChar w:fldCharType="begin"/>
        </w:r>
        <w:r>
          <w:rPr>
            <w:b/>
            <w:bCs/>
          </w:rPr>
          <w:instrText>PAGE</w:instrText>
        </w:r>
        <w:r>
          <w:rPr>
            <w:b/>
            <w:bCs/>
            <w:szCs w:val="24"/>
          </w:rPr>
          <w:fldChar w:fldCharType="separate"/>
        </w:r>
        <w:r w:rsidR="000F2E91">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0F2E91">
          <w:rPr>
            <w:b/>
            <w:bCs/>
            <w:noProof/>
          </w:rPr>
          <w:t>33</w:t>
        </w:r>
        <w:r>
          <w:rPr>
            <w:b/>
            <w:bCs/>
            <w:szCs w:val="24"/>
          </w:rPr>
          <w:fldChar w:fldCharType="end"/>
        </w:r>
      </w:p>
    </w:sdtContent>
  </w:sdt>
  <w:p w:rsidR="00826350" w:rsidRDefault="00826350" w:rsidP="00C539A9">
    <w:pPr>
      <w:pStyle w:val="Piedepgina"/>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BD" w:rsidRDefault="003C53BD">
      <w:r>
        <w:separator/>
      </w:r>
    </w:p>
  </w:footnote>
  <w:footnote w:type="continuationSeparator" w:id="0">
    <w:p w:rsidR="003C53BD" w:rsidRDefault="003C53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50" w:rsidRDefault="00826350" w:rsidP="00AC1FAC">
    <w:pPr>
      <w:jc w:val="center"/>
      <w:rPr>
        <w:rFonts w:ascii="Arial" w:hAnsi="Arial" w:cs="Arial"/>
        <w:b/>
      </w:rPr>
    </w:pPr>
    <w:r>
      <w:rPr>
        <w:rFonts w:ascii="Arial" w:hAnsi="Arial" w:cs="Arial"/>
        <w:b/>
        <w:noProof/>
        <w:lang w:val="es-MX" w:eastAsia="es-MX"/>
      </w:rPr>
      <w:drawing>
        <wp:anchor distT="0" distB="0" distL="114300" distR="114300" simplePos="0" relativeHeight="251661312" behindDoc="0" locked="0" layoutInCell="1" allowOverlap="1">
          <wp:simplePos x="0" y="0"/>
          <wp:positionH relativeFrom="page">
            <wp:posOffset>19050</wp:posOffset>
          </wp:positionH>
          <wp:positionV relativeFrom="paragraph">
            <wp:posOffset>-307340</wp:posOffset>
          </wp:positionV>
          <wp:extent cx="7810500" cy="41910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810500" cy="419100"/>
                  </a:xfrm>
                  <a:prstGeom prst="rect">
                    <a:avLst/>
                  </a:prstGeom>
                </pic:spPr>
              </pic:pic>
            </a:graphicData>
          </a:graphic>
        </wp:anchor>
      </w:drawing>
    </w:r>
  </w:p>
  <w:p w:rsidR="00826350" w:rsidRPr="00AC1FAC" w:rsidRDefault="00826350" w:rsidP="00AC1FAC">
    <w:pPr>
      <w:jc w:val="center"/>
      <w:rPr>
        <w:rFonts w:ascii="Arial" w:hAnsi="Arial" w:cs="Arial"/>
        <w:b/>
      </w:rPr>
    </w:pPr>
    <w:r w:rsidRPr="00AC1FAC">
      <w:rPr>
        <w:rFonts w:ascii="Arial" w:hAnsi="Arial" w:cs="Arial"/>
        <w:b/>
      </w:rPr>
      <w:t>Fideicomiso 544 FONAFIFO/BNCR</w:t>
    </w:r>
  </w:p>
  <w:p w:rsidR="00826350" w:rsidRDefault="00826350" w:rsidP="005316B7">
    <w:pPr>
      <w:jc w:val="center"/>
      <w:rPr>
        <w:rFonts w:ascii="Arial" w:hAnsi="Arial" w:cs="Arial"/>
        <w:b/>
      </w:rPr>
    </w:pPr>
    <w:r w:rsidRPr="00335D4D">
      <w:rPr>
        <w:rFonts w:ascii="Arial" w:hAnsi="Arial" w:cs="Arial"/>
        <w:b/>
      </w:rPr>
      <w:t xml:space="preserve">Informe </w:t>
    </w:r>
    <w:r>
      <w:rPr>
        <w:rFonts w:ascii="Arial" w:hAnsi="Arial" w:cs="Arial"/>
        <w:b/>
      </w:rPr>
      <w:t xml:space="preserve">de </w:t>
    </w:r>
    <w:r w:rsidRPr="00335D4D">
      <w:rPr>
        <w:rFonts w:ascii="Arial" w:hAnsi="Arial" w:cs="Arial"/>
        <w:b/>
      </w:rPr>
      <w:t>Evaluación Presupuestaria</w:t>
    </w:r>
  </w:p>
  <w:p w:rsidR="00826350" w:rsidRDefault="00826350" w:rsidP="005246F8">
    <w:pPr>
      <w:jc w:val="center"/>
    </w:pPr>
    <w:r w:rsidRPr="00335D4D">
      <w:rPr>
        <w:rFonts w:ascii="Arial" w:hAnsi="Arial" w:cs="Arial"/>
        <w:b/>
      </w:rPr>
      <w:t xml:space="preserve"> </w:t>
    </w:r>
    <w:r>
      <w:rPr>
        <w:rFonts w:ascii="Arial" w:hAnsi="Arial" w:cs="Arial"/>
        <w:b/>
      </w:rPr>
      <w:t>II Semestre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50" w:rsidRDefault="00826350" w:rsidP="006C2303">
    <w:pPr>
      <w:pStyle w:val="Encabezado"/>
    </w:pPr>
    <w:r w:rsidRPr="007011BD">
      <w:rPr>
        <w:noProof/>
        <w:lang w:val="es-MX" w:eastAsia="es-MX"/>
      </w:rPr>
      <w:drawing>
        <wp:anchor distT="0" distB="0" distL="114300" distR="114300" simplePos="0" relativeHeight="251659264" behindDoc="0" locked="0" layoutInCell="1" allowOverlap="1">
          <wp:simplePos x="0" y="0"/>
          <wp:positionH relativeFrom="column">
            <wp:posOffset>-696578</wp:posOffset>
          </wp:positionH>
          <wp:positionV relativeFrom="paragraph">
            <wp:posOffset>-453991</wp:posOffset>
          </wp:positionV>
          <wp:extent cx="7741920" cy="485775"/>
          <wp:effectExtent l="1905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hoja-vertical.png"/>
                  <pic:cNvPicPr/>
                </pic:nvPicPr>
                <pic:blipFill>
                  <a:blip r:embed="rId1">
                    <a:extLst>
                      <a:ext uri="{28A0092B-C50C-407E-A947-70E740481C1C}">
                        <a14:useLocalDpi xmlns:a14="http://schemas.microsoft.com/office/drawing/2010/main" val="0"/>
                      </a:ext>
                    </a:extLst>
                  </a:blip>
                  <a:stretch>
                    <a:fillRect/>
                  </a:stretch>
                </pic:blipFill>
                <pic:spPr>
                  <a:xfrm>
                    <a:off x="0" y="0"/>
                    <a:ext cx="7741920" cy="485775"/>
                  </a:xfrm>
                  <a:prstGeom prst="rect">
                    <a:avLst/>
                  </a:prstGeom>
                </pic:spPr>
              </pic:pic>
            </a:graphicData>
          </a:graphic>
        </wp:anchor>
      </w:drawing>
    </w:r>
  </w:p>
  <w:p w:rsidR="00826350" w:rsidRDefault="00826350" w:rsidP="006C2303">
    <w:pPr>
      <w:jc w:val="center"/>
      <w:rPr>
        <w:rFonts w:ascii="Arial" w:hAnsi="Arial" w:cs="Arial"/>
        <w:b/>
      </w:rPr>
    </w:pPr>
    <w:r>
      <w:rPr>
        <w:rFonts w:ascii="Arial" w:hAnsi="Arial" w:cs="Arial"/>
        <w:b/>
      </w:rPr>
      <w:t>Fideicomiso 544 FONAFIFO/BNCR</w:t>
    </w:r>
  </w:p>
  <w:p w:rsidR="00826350" w:rsidRDefault="00826350" w:rsidP="006C2303">
    <w:pPr>
      <w:jc w:val="center"/>
      <w:rPr>
        <w:rFonts w:ascii="Arial" w:hAnsi="Arial" w:cs="Arial"/>
        <w:b/>
      </w:rPr>
    </w:pPr>
    <w:r w:rsidRPr="00335D4D">
      <w:rPr>
        <w:rFonts w:ascii="Arial" w:hAnsi="Arial" w:cs="Arial"/>
        <w:b/>
      </w:rPr>
      <w:t xml:space="preserve">Informe </w:t>
    </w:r>
    <w:r>
      <w:rPr>
        <w:rFonts w:ascii="Arial" w:hAnsi="Arial" w:cs="Arial"/>
        <w:b/>
      </w:rPr>
      <w:t xml:space="preserve">de </w:t>
    </w:r>
    <w:r w:rsidRPr="00335D4D">
      <w:rPr>
        <w:rFonts w:ascii="Arial" w:hAnsi="Arial" w:cs="Arial"/>
        <w:b/>
      </w:rPr>
      <w:t xml:space="preserve">Evaluación Presupuestaria </w:t>
    </w:r>
    <w:r>
      <w:rPr>
        <w:rFonts w:ascii="Arial" w:hAnsi="Arial" w:cs="Arial"/>
        <w:b/>
      </w:rPr>
      <w:t>II Semestre 2015</w:t>
    </w:r>
  </w:p>
  <w:p w:rsidR="00826350" w:rsidRPr="00AE0F9F" w:rsidRDefault="00826350" w:rsidP="005C1AE7">
    <w:pPr>
      <w:pStyle w:val="Encabezado"/>
      <w:tabs>
        <w:tab w:val="clear" w:pos="4419"/>
        <w:tab w:val="clear" w:pos="8838"/>
        <w:tab w:val="left" w:pos="3386"/>
      </w:tabs>
      <w:jc w:val="left"/>
      <w:rPr>
        <w:lang w:val="es-C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540"/>
    <w:multiLevelType w:val="hybridMultilevel"/>
    <w:tmpl w:val="19AE71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185A55"/>
    <w:multiLevelType w:val="hybridMultilevel"/>
    <w:tmpl w:val="4F0E55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F1077E"/>
    <w:multiLevelType w:val="hybridMultilevel"/>
    <w:tmpl w:val="28F498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A573DB"/>
    <w:multiLevelType w:val="hybridMultilevel"/>
    <w:tmpl w:val="B04033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470EE1"/>
    <w:multiLevelType w:val="hybridMultilevel"/>
    <w:tmpl w:val="8A14CA7C"/>
    <w:lvl w:ilvl="0" w:tplc="EBA250D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11CA28B3"/>
    <w:multiLevelType w:val="hybridMultilevel"/>
    <w:tmpl w:val="1EE46960"/>
    <w:lvl w:ilvl="0" w:tplc="8D6612F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3380B20"/>
    <w:multiLevelType w:val="hybridMultilevel"/>
    <w:tmpl w:val="D4D0A818"/>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8" w15:restartNumberingAfterBreak="0">
    <w:nsid w:val="15477CFC"/>
    <w:multiLevelType w:val="hybridMultilevel"/>
    <w:tmpl w:val="A86E26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F03F27"/>
    <w:multiLevelType w:val="hybridMultilevel"/>
    <w:tmpl w:val="4B60FA08"/>
    <w:lvl w:ilvl="0" w:tplc="64C8C1B8">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61F6117"/>
    <w:multiLevelType w:val="hybridMultilevel"/>
    <w:tmpl w:val="18E20A6C"/>
    <w:lvl w:ilvl="0" w:tplc="03AC29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523F5"/>
    <w:multiLevelType w:val="hybridMultilevel"/>
    <w:tmpl w:val="3992E53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00C20DA"/>
    <w:multiLevelType w:val="hybridMultilevel"/>
    <w:tmpl w:val="EEFC0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244618"/>
    <w:multiLevelType w:val="hybridMultilevel"/>
    <w:tmpl w:val="707CE6CC"/>
    <w:lvl w:ilvl="0" w:tplc="140A000B">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4" w15:restartNumberingAfterBreak="0">
    <w:nsid w:val="22FE1CC7"/>
    <w:multiLevelType w:val="hybridMultilevel"/>
    <w:tmpl w:val="6C183FF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9196F48"/>
    <w:multiLevelType w:val="hybridMultilevel"/>
    <w:tmpl w:val="C24C927C"/>
    <w:lvl w:ilvl="0" w:tplc="140A0013">
      <w:start w:val="1"/>
      <w:numFmt w:val="upperRoman"/>
      <w:lvlText w:val="%1."/>
      <w:lvlJc w:val="righ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296F4A8D"/>
    <w:multiLevelType w:val="hybridMultilevel"/>
    <w:tmpl w:val="AAF2B8D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0402D"/>
    <w:multiLevelType w:val="hybridMultilevel"/>
    <w:tmpl w:val="79E85CB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BCA1AA7"/>
    <w:multiLevelType w:val="hybridMultilevel"/>
    <w:tmpl w:val="CEA4DD9E"/>
    <w:lvl w:ilvl="0" w:tplc="64C8C1B8">
      <w:start w:val="1"/>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C09005D"/>
    <w:multiLevelType w:val="hybridMultilevel"/>
    <w:tmpl w:val="19D2051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40033A1"/>
    <w:multiLevelType w:val="hybridMultilevel"/>
    <w:tmpl w:val="E4981BFA"/>
    <w:lvl w:ilvl="0" w:tplc="03CE33F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E01695"/>
    <w:multiLevelType w:val="hybridMultilevel"/>
    <w:tmpl w:val="E62A9C9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9A821EB"/>
    <w:multiLevelType w:val="multilevel"/>
    <w:tmpl w:val="E9DC1AB2"/>
    <w:lvl w:ilvl="0">
      <w:start w:val="1"/>
      <w:numFmt w:val="upperRoman"/>
      <w:lvlText w:val="%1."/>
      <w:lvlJc w:val="left"/>
      <w:pPr>
        <w:ind w:left="1080" w:hanging="720"/>
      </w:pPr>
      <w:rPr>
        <w:rFonts w:hint="default"/>
        <w:b/>
      </w:rPr>
    </w:lvl>
    <w:lvl w:ilvl="1">
      <w:start w:val="1"/>
      <w:numFmt w:val="decimal"/>
      <w:isLgl/>
      <w:lvlText w:val="%1.%2"/>
      <w:lvlJc w:val="left"/>
      <w:pPr>
        <w:ind w:left="2460" w:hanging="2100"/>
      </w:pPr>
      <w:rPr>
        <w:rFonts w:hint="default"/>
      </w:rPr>
    </w:lvl>
    <w:lvl w:ilvl="2">
      <w:numFmt w:val="decimal"/>
      <w:isLgl/>
      <w:lvlText w:val="%1.%2.%3"/>
      <w:lvlJc w:val="left"/>
      <w:pPr>
        <w:ind w:left="2460" w:hanging="2100"/>
      </w:pPr>
      <w:rPr>
        <w:rFonts w:hint="default"/>
      </w:rPr>
    </w:lvl>
    <w:lvl w:ilvl="3">
      <w:numFmt w:val="decimal"/>
      <w:isLgl/>
      <w:lvlText w:val="%1.%2.%3.%4"/>
      <w:lvlJc w:val="left"/>
      <w:pPr>
        <w:ind w:left="2460" w:hanging="2100"/>
      </w:pPr>
      <w:rPr>
        <w:rFonts w:hint="default"/>
      </w:rPr>
    </w:lvl>
    <w:lvl w:ilvl="4">
      <w:numFmt w:val="decimalZero"/>
      <w:isLgl/>
      <w:lvlText w:val="%1.%2.%3.%4.%5"/>
      <w:lvlJc w:val="left"/>
      <w:pPr>
        <w:ind w:left="2460" w:hanging="2100"/>
      </w:pPr>
      <w:rPr>
        <w:rFonts w:hint="default"/>
      </w:rPr>
    </w:lvl>
    <w:lvl w:ilvl="5">
      <w:numFmt w:val="decimalZero"/>
      <w:isLgl/>
      <w:lvlText w:val="%1.%2.%3.%4.%5.%6"/>
      <w:lvlJc w:val="left"/>
      <w:pPr>
        <w:ind w:left="2460" w:hanging="2100"/>
      </w:pPr>
      <w:rPr>
        <w:rFonts w:hint="default"/>
      </w:rPr>
    </w:lvl>
    <w:lvl w:ilvl="6">
      <w:numFmt w:val="decimal"/>
      <w:isLgl/>
      <w:lvlText w:val="%1.%2.%3.%4.%5.%6.%7"/>
      <w:lvlJc w:val="left"/>
      <w:pPr>
        <w:ind w:left="2460" w:hanging="2100"/>
      </w:pPr>
      <w:rPr>
        <w:rFonts w:hint="default"/>
      </w:rPr>
    </w:lvl>
    <w:lvl w:ilvl="7">
      <w:numFmt w:val="decimal"/>
      <w:isLgl/>
      <w:lvlText w:val="%1.%2.%3.%4.%5.%6.%7.%8"/>
      <w:lvlJc w:val="left"/>
      <w:pPr>
        <w:ind w:left="2460" w:hanging="2100"/>
      </w:pPr>
      <w:rPr>
        <w:rFonts w:hint="default"/>
      </w:rPr>
    </w:lvl>
    <w:lvl w:ilvl="8">
      <w:numFmt w:val="decimalZero"/>
      <w:isLgl/>
      <w:lvlText w:val="%1.%2.%3.%4.%5.%6.%7.%8.%9"/>
      <w:lvlJc w:val="left"/>
      <w:pPr>
        <w:ind w:left="2460" w:hanging="2100"/>
      </w:pPr>
      <w:rPr>
        <w:rFonts w:hint="default"/>
      </w:rPr>
    </w:lvl>
  </w:abstractNum>
  <w:abstractNum w:abstractNumId="23" w15:restartNumberingAfterBreak="0">
    <w:nsid w:val="39B100FF"/>
    <w:multiLevelType w:val="hybridMultilevel"/>
    <w:tmpl w:val="7AB842CE"/>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4" w15:restartNumberingAfterBreak="0">
    <w:nsid w:val="3A4F1C23"/>
    <w:multiLevelType w:val="hybridMultilevel"/>
    <w:tmpl w:val="F0BC1346"/>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5" w15:restartNumberingAfterBreak="0">
    <w:nsid w:val="3BBD0935"/>
    <w:multiLevelType w:val="hybridMultilevel"/>
    <w:tmpl w:val="DB76E8A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2A20837"/>
    <w:multiLevelType w:val="multilevel"/>
    <w:tmpl w:val="7B527C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5BF6FCF"/>
    <w:multiLevelType w:val="hybridMultilevel"/>
    <w:tmpl w:val="60981892"/>
    <w:lvl w:ilvl="0" w:tplc="AFC80E6A">
      <w:start w:val="1"/>
      <w:numFmt w:val="decimal"/>
      <w:lvlText w:val="%1."/>
      <w:lvlJc w:val="left"/>
      <w:pPr>
        <w:ind w:left="371" w:hanging="360"/>
      </w:pPr>
      <w:rPr>
        <w:rFonts w:hint="default"/>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28" w15:restartNumberingAfterBreak="0">
    <w:nsid w:val="46BD00E3"/>
    <w:multiLevelType w:val="hybridMultilevel"/>
    <w:tmpl w:val="8312D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F65854"/>
    <w:multiLevelType w:val="hybridMultilevel"/>
    <w:tmpl w:val="A43C30C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0" w15:restartNumberingAfterBreak="0">
    <w:nsid w:val="4A266068"/>
    <w:multiLevelType w:val="hybridMultilevel"/>
    <w:tmpl w:val="E1CE37D8"/>
    <w:lvl w:ilvl="0" w:tplc="140A0001">
      <w:start w:val="1"/>
      <w:numFmt w:val="bullet"/>
      <w:lvlText w:val=""/>
      <w:lvlJc w:val="left"/>
      <w:pPr>
        <w:ind w:left="765" w:hanging="360"/>
      </w:pPr>
      <w:rPr>
        <w:rFonts w:ascii="Symbol" w:hAnsi="Symbol" w:hint="default"/>
      </w:rPr>
    </w:lvl>
    <w:lvl w:ilvl="1" w:tplc="140A0003">
      <w:start w:val="1"/>
      <w:numFmt w:val="bullet"/>
      <w:lvlText w:val="o"/>
      <w:lvlJc w:val="left"/>
      <w:pPr>
        <w:ind w:left="1485" w:hanging="360"/>
      </w:pPr>
      <w:rPr>
        <w:rFonts w:ascii="Courier New" w:hAnsi="Courier New" w:cs="Courier New" w:hint="default"/>
      </w:rPr>
    </w:lvl>
    <w:lvl w:ilvl="2" w:tplc="140A0005">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31" w15:restartNumberingAfterBreak="0">
    <w:nsid w:val="4AB07B01"/>
    <w:multiLevelType w:val="hybridMultilevel"/>
    <w:tmpl w:val="B8C4B7F8"/>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32" w15:restartNumberingAfterBreak="0">
    <w:nsid w:val="4FEF4B23"/>
    <w:multiLevelType w:val="hybridMultilevel"/>
    <w:tmpl w:val="F698AC2C"/>
    <w:lvl w:ilvl="0" w:tplc="C76C20F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442614"/>
    <w:multiLevelType w:val="multilevel"/>
    <w:tmpl w:val="E9DC1AB2"/>
    <w:lvl w:ilvl="0">
      <w:start w:val="1"/>
      <w:numFmt w:val="upperRoman"/>
      <w:lvlText w:val="%1."/>
      <w:lvlJc w:val="left"/>
      <w:pPr>
        <w:ind w:left="1080" w:hanging="720"/>
      </w:pPr>
      <w:rPr>
        <w:rFonts w:hint="default"/>
        <w:b/>
      </w:rPr>
    </w:lvl>
    <w:lvl w:ilvl="1">
      <w:start w:val="1"/>
      <w:numFmt w:val="decimal"/>
      <w:isLgl/>
      <w:lvlText w:val="%1.%2"/>
      <w:lvlJc w:val="left"/>
      <w:pPr>
        <w:ind w:left="2460" w:hanging="2100"/>
      </w:pPr>
      <w:rPr>
        <w:rFonts w:hint="default"/>
      </w:rPr>
    </w:lvl>
    <w:lvl w:ilvl="2">
      <w:numFmt w:val="decimal"/>
      <w:isLgl/>
      <w:lvlText w:val="%1.%2.%3"/>
      <w:lvlJc w:val="left"/>
      <w:pPr>
        <w:ind w:left="2460" w:hanging="2100"/>
      </w:pPr>
      <w:rPr>
        <w:rFonts w:hint="default"/>
      </w:rPr>
    </w:lvl>
    <w:lvl w:ilvl="3">
      <w:numFmt w:val="decimal"/>
      <w:isLgl/>
      <w:lvlText w:val="%1.%2.%3.%4"/>
      <w:lvlJc w:val="left"/>
      <w:pPr>
        <w:ind w:left="2460" w:hanging="2100"/>
      </w:pPr>
      <w:rPr>
        <w:rFonts w:hint="default"/>
      </w:rPr>
    </w:lvl>
    <w:lvl w:ilvl="4">
      <w:numFmt w:val="decimalZero"/>
      <w:isLgl/>
      <w:lvlText w:val="%1.%2.%3.%4.%5"/>
      <w:lvlJc w:val="left"/>
      <w:pPr>
        <w:ind w:left="2460" w:hanging="2100"/>
      </w:pPr>
      <w:rPr>
        <w:rFonts w:hint="default"/>
      </w:rPr>
    </w:lvl>
    <w:lvl w:ilvl="5">
      <w:numFmt w:val="decimalZero"/>
      <w:isLgl/>
      <w:lvlText w:val="%1.%2.%3.%4.%5.%6"/>
      <w:lvlJc w:val="left"/>
      <w:pPr>
        <w:ind w:left="2460" w:hanging="2100"/>
      </w:pPr>
      <w:rPr>
        <w:rFonts w:hint="default"/>
      </w:rPr>
    </w:lvl>
    <w:lvl w:ilvl="6">
      <w:numFmt w:val="decimal"/>
      <w:isLgl/>
      <w:lvlText w:val="%1.%2.%3.%4.%5.%6.%7"/>
      <w:lvlJc w:val="left"/>
      <w:pPr>
        <w:ind w:left="2460" w:hanging="2100"/>
      </w:pPr>
      <w:rPr>
        <w:rFonts w:hint="default"/>
      </w:rPr>
    </w:lvl>
    <w:lvl w:ilvl="7">
      <w:numFmt w:val="decimal"/>
      <w:isLgl/>
      <w:lvlText w:val="%1.%2.%3.%4.%5.%6.%7.%8"/>
      <w:lvlJc w:val="left"/>
      <w:pPr>
        <w:ind w:left="2460" w:hanging="2100"/>
      </w:pPr>
      <w:rPr>
        <w:rFonts w:hint="default"/>
      </w:rPr>
    </w:lvl>
    <w:lvl w:ilvl="8">
      <w:numFmt w:val="decimalZero"/>
      <w:isLgl/>
      <w:lvlText w:val="%1.%2.%3.%4.%5.%6.%7.%8.%9"/>
      <w:lvlJc w:val="left"/>
      <w:pPr>
        <w:ind w:left="2460" w:hanging="2100"/>
      </w:pPr>
      <w:rPr>
        <w:rFonts w:hint="default"/>
      </w:rPr>
    </w:lvl>
  </w:abstractNum>
  <w:abstractNum w:abstractNumId="34" w15:restartNumberingAfterBreak="0">
    <w:nsid w:val="5D566509"/>
    <w:multiLevelType w:val="hybridMultilevel"/>
    <w:tmpl w:val="9A9E159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5" w15:restartNumberingAfterBreak="0">
    <w:nsid w:val="5FFC1051"/>
    <w:multiLevelType w:val="hybridMultilevel"/>
    <w:tmpl w:val="2A2AF61C"/>
    <w:lvl w:ilvl="0" w:tplc="140A000D">
      <w:start w:val="1"/>
      <w:numFmt w:val="bullet"/>
      <w:lvlText w:val=""/>
      <w:lvlJc w:val="left"/>
      <w:pPr>
        <w:ind w:left="2826" w:hanging="360"/>
      </w:pPr>
      <w:rPr>
        <w:rFonts w:ascii="Wingdings" w:hAnsi="Wingdings" w:hint="default"/>
      </w:rPr>
    </w:lvl>
    <w:lvl w:ilvl="1" w:tplc="140A0003" w:tentative="1">
      <w:start w:val="1"/>
      <w:numFmt w:val="bullet"/>
      <w:lvlText w:val="o"/>
      <w:lvlJc w:val="left"/>
      <w:pPr>
        <w:ind w:left="3546" w:hanging="360"/>
      </w:pPr>
      <w:rPr>
        <w:rFonts w:ascii="Courier New" w:hAnsi="Courier New" w:cs="Courier New" w:hint="default"/>
      </w:rPr>
    </w:lvl>
    <w:lvl w:ilvl="2" w:tplc="140A0005" w:tentative="1">
      <w:start w:val="1"/>
      <w:numFmt w:val="bullet"/>
      <w:lvlText w:val=""/>
      <w:lvlJc w:val="left"/>
      <w:pPr>
        <w:ind w:left="4266" w:hanging="360"/>
      </w:pPr>
      <w:rPr>
        <w:rFonts w:ascii="Wingdings" w:hAnsi="Wingdings" w:hint="default"/>
      </w:rPr>
    </w:lvl>
    <w:lvl w:ilvl="3" w:tplc="140A0001" w:tentative="1">
      <w:start w:val="1"/>
      <w:numFmt w:val="bullet"/>
      <w:lvlText w:val=""/>
      <w:lvlJc w:val="left"/>
      <w:pPr>
        <w:ind w:left="4986" w:hanging="360"/>
      </w:pPr>
      <w:rPr>
        <w:rFonts w:ascii="Symbol" w:hAnsi="Symbol" w:hint="default"/>
      </w:rPr>
    </w:lvl>
    <w:lvl w:ilvl="4" w:tplc="140A0003" w:tentative="1">
      <w:start w:val="1"/>
      <w:numFmt w:val="bullet"/>
      <w:lvlText w:val="o"/>
      <w:lvlJc w:val="left"/>
      <w:pPr>
        <w:ind w:left="5706" w:hanging="360"/>
      </w:pPr>
      <w:rPr>
        <w:rFonts w:ascii="Courier New" w:hAnsi="Courier New" w:cs="Courier New" w:hint="default"/>
      </w:rPr>
    </w:lvl>
    <w:lvl w:ilvl="5" w:tplc="140A0005" w:tentative="1">
      <w:start w:val="1"/>
      <w:numFmt w:val="bullet"/>
      <w:lvlText w:val=""/>
      <w:lvlJc w:val="left"/>
      <w:pPr>
        <w:ind w:left="6426" w:hanging="360"/>
      </w:pPr>
      <w:rPr>
        <w:rFonts w:ascii="Wingdings" w:hAnsi="Wingdings" w:hint="default"/>
      </w:rPr>
    </w:lvl>
    <w:lvl w:ilvl="6" w:tplc="140A0001" w:tentative="1">
      <w:start w:val="1"/>
      <w:numFmt w:val="bullet"/>
      <w:lvlText w:val=""/>
      <w:lvlJc w:val="left"/>
      <w:pPr>
        <w:ind w:left="7146" w:hanging="360"/>
      </w:pPr>
      <w:rPr>
        <w:rFonts w:ascii="Symbol" w:hAnsi="Symbol" w:hint="default"/>
      </w:rPr>
    </w:lvl>
    <w:lvl w:ilvl="7" w:tplc="140A0003" w:tentative="1">
      <w:start w:val="1"/>
      <w:numFmt w:val="bullet"/>
      <w:lvlText w:val="o"/>
      <w:lvlJc w:val="left"/>
      <w:pPr>
        <w:ind w:left="7866" w:hanging="360"/>
      </w:pPr>
      <w:rPr>
        <w:rFonts w:ascii="Courier New" w:hAnsi="Courier New" w:cs="Courier New" w:hint="default"/>
      </w:rPr>
    </w:lvl>
    <w:lvl w:ilvl="8" w:tplc="140A0005" w:tentative="1">
      <w:start w:val="1"/>
      <w:numFmt w:val="bullet"/>
      <w:lvlText w:val=""/>
      <w:lvlJc w:val="left"/>
      <w:pPr>
        <w:ind w:left="8586" w:hanging="360"/>
      </w:pPr>
      <w:rPr>
        <w:rFonts w:ascii="Wingdings" w:hAnsi="Wingdings" w:hint="default"/>
      </w:rPr>
    </w:lvl>
  </w:abstractNum>
  <w:abstractNum w:abstractNumId="36" w15:restartNumberingAfterBreak="0">
    <w:nsid w:val="61F828E8"/>
    <w:multiLevelType w:val="hybridMultilevel"/>
    <w:tmpl w:val="0932027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15:restartNumberingAfterBreak="0">
    <w:nsid w:val="64804EE0"/>
    <w:multiLevelType w:val="hybridMultilevel"/>
    <w:tmpl w:val="797C276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5C05495"/>
    <w:multiLevelType w:val="hybridMultilevel"/>
    <w:tmpl w:val="D5D00606"/>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0" w15:restartNumberingAfterBreak="0">
    <w:nsid w:val="66D95AB9"/>
    <w:multiLevelType w:val="hybridMultilevel"/>
    <w:tmpl w:val="49326CDC"/>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41" w15:restartNumberingAfterBreak="0">
    <w:nsid w:val="6DB92271"/>
    <w:multiLevelType w:val="hybridMultilevel"/>
    <w:tmpl w:val="005869DA"/>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2" w15:restartNumberingAfterBreak="0">
    <w:nsid w:val="71BF7893"/>
    <w:multiLevelType w:val="hybridMultilevel"/>
    <w:tmpl w:val="EDF0A3EE"/>
    <w:lvl w:ilvl="0" w:tplc="140A000B">
      <w:start w:val="1"/>
      <w:numFmt w:val="bullet"/>
      <w:lvlText w:val=""/>
      <w:lvlJc w:val="left"/>
      <w:pPr>
        <w:ind w:left="1004" w:hanging="360"/>
      </w:pPr>
      <w:rPr>
        <w:rFonts w:ascii="Wingdings" w:hAnsi="Wingdings"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43" w15:restartNumberingAfterBreak="0">
    <w:nsid w:val="762A723A"/>
    <w:multiLevelType w:val="hybridMultilevel"/>
    <w:tmpl w:val="EF14791C"/>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4" w15:restartNumberingAfterBreak="0">
    <w:nsid w:val="7DFD39D5"/>
    <w:multiLevelType w:val="hybridMultilevel"/>
    <w:tmpl w:val="AFA01602"/>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4"/>
  </w:num>
  <w:num w:numId="4">
    <w:abstractNumId w:val="13"/>
  </w:num>
  <w:num w:numId="5">
    <w:abstractNumId w:val="38"/>
  </w:num>
  <w:num w:numId="6">
    <w:abstractNumId w:val="36"/>
  </w:num>
  <w:num w:numId="7">
    <w:abstractNumId w:val="43"/>
  </w:num>
  <w:num w:numId="8">
    <w:abstractNumId w:val="40"/>
  </w:num>
  <w:num w:numId="9">
    <w:abstractNumId w:val="31"/>
  </w:num>
  <w:num w:numId="10">
    <w:abstractNumId w:val="4"/>
  </w:num>
  <w:num w:numId="11">
    <w:abstractNumId w:val="24"/>
  </w:num>
  <w:num w:numId="12">
    <w:abstractNumId w:val="6"/>
  </w:num>
  <w:num w:numId="13">
    <w:abstractNumId w:val="23"/>
  </w:num>
  <w:num w:numId="14">
    <w:abstractNumId w:val="37"/>
  </w:num>
  <w:num w:numId="15">
    <w:abstractNumId w:val="41"/>
  </w:num>
  <w:num w:numId="16">
    <w:abstractNumId w:val="17"/>
  </w:num>
  <w:num w:numId="17">
    <w:abstractNumId w:val="2"/>
  </w:num>
  <w:num w:numId="18">
    <w:abstractNumId w:val="3"/>
  </w:num>
  <w:num w:numId="19">
    <w:abstractNumId w:val="7"/>
  </w:num>
  <w:num w:numId="20">
    <w:abstractNumId w:val="8"/>
  </w:num>
  <w:num w:numId="21">
    <w:abstractNumId w:val="25"/>
  </w:num>
  <w:num w:numId="22">
    <w:abstractNumId w:val="33"/>
  </w:num>
  <w:num w:numId="23">
    <w:abstractNumId w:val="35"/>
  </w:num>
  <w:num w:numId="24">
    <w:abstractNumId w:val="19"/>
  </w:num>
  <w:num w:numId="25">
    <w:abstractNumId w:val="34"/>
  </w:num>
  <w:num w:numId="26">
    <w:abstractNumId w:val="9"/>
  </w:num>
  <w:num w:numId="27">
    <w:abstractNumId w:val="39"/>
  </w:num>
  <w:num w:numId="28">
    <w:abstractNumId w:val="15"/>
  </w:num>
  <w:num w:numId="29">
    <w:abstractNumId w:val="1"/>
  </w:num>
  <w:num w:numId="30">
    <w:abstractNumId w:val="30"/>
  </w:num>
  <w:num w:numId="31">
    <w:abstractNumId w:val="26"/>
  </w:num>
  <w:num w:numId="32">
    <w:abstractNumId w:val="14"/>
  </w:num>
  <w:num w:numId="33">
    <w:abstractNumId w:val="29"/>
  </w:num>
  <w:num w:numId="34">
    <w:abstractNumId w:val="0"/>
  </w:num>
  <w:num w:numId="35">
    <w:abstractNumId w:val="5"/>
  </w:num>
  <w:num w:numId="36">
    <w:abstractNumId w:val="42"/>
  </w:num>
  <w:num w:numId="37">
    <w:abstractNumId w:val="11"/>
  </w:num>
  <w:num w:numId="38">
    <w:abstractNumId w:val="21"/>
  </w:num>
  <w:num w:numId="39">
    <w:abstractNumId w:val="18"/>
  </w:num>
  <w:num w:numId="40">
    <w:abstractNumId w:val="28"/>
  </w:num>
  <w:num w:numId="41">
    <w:abstractNumId w:val="12"/>
  </w:num>
  <w:num w:numId="42">
    <w:abstractNumId w:val="10"/>
  </w:num>
  <w:num w:numId="43">
    <w:abstractNumId w:val="20"/>
  </w:num>
  <w:num w:numId="44">
    <w:abstractNumId w:val="27"/>
  </w:num>
  <w:num w:numId="4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3767F"/>
    <w:rsid w:val="000008FF"/>
    <w:rsid w:val="00000E4C"/>
    <w:rsid w:val="00001D4B"/>
    <w:rsid w:val="000024C6"/>
    <w:rsid w:val="00002D14"/>
    <w:rsid w:val="000038E0"/>
    <w:rsid w:val="000046A6"/>
    <w:rsid w:val="00005E7B"/>
    <w:rsid w:val="0000724E"/>
    <w:rsid w:val="00011297"/>
    <w:rsid w:val="000112EF"/>
    <w:rsid w:val="0001262A"/>
    <w:rsid w:val="00012AFF"/>
    <w:rsid w:val="00012CA8"/>
    <w:rsid w:val="000139B3"/>
    <w:rsid w:val="00015A4E"/>
    <w:rsid w:val="000173F0"/>
    <w:rsid w:val="00017EDF"/>
    <w:rsid w:val="0002295E"/>
    <w:rsid w:val="00022D63"/>
    <w:rsid w:val="00023062"/>
    <w:rsid w:val="00023277"/>
    <w:rsid w:val="00024431"/>
    <w:rsid w:val="00024DF3"/>
    <w:rsid w:val="000266BF"/>
    <w:rsid w:val="00031556"/>
    <w:rsid w:val="00032688"/>
    <w:rsid w:val="000328A4"/>
    <w:rsid w:val="00033809"/>
    <w:rsid w:val="00035941"/>
    <w:rsid w:val="00036B04"/>
    <w:rsid w:val="0003799F"/>
    <w:rsid w:val="00040204"/>
    <w:rsid w:val="000426FB"/>
    <w:rsid w:val="0004308D"/>
    <w:rsid w:val="00044961"/>
    <w:rsid w:val="00046EE9"/>
    <w:rsid w:val="000475BF"/>
    <w:rsid w:val="00050124"/>
    <w:rsid w:val="0005071D"/>
    <w:rsid w:val="00053E62"/>
    <w:rsid w:val="000544F0"/>
    <w:rsid w:val="0005481B"/>
    <w:rsid w:val="000564CD"/>
    <w:rsid w:val="000577C1"/>
    <w:rsid w:val="00060822"/>
    <w:rsid w:val="00060C07"/>
    <w:rsid w:val="0006125C"/>
    <w:rsid w:val="00062F84"/>
    <w:rsid w:val="000635C9"/>
    <w:rsid w:val="00064044"/>
    <w:rsid w:val="0006409F"/>
    <w:rsid w:val="00066F56"/>
    <w:rsid w:val="00071276"/>
    <w:rsid w:val="000728FE"/>
    <w:rsid w:val="00072ED7"/>
    <w:rsid w:val="000731D5"/>
    <w:rsid w:val="000747B1"/>
    <w:rsid w:val="00075AE3"/>
    <w:rsid w:val="00081BDA"/>
    <w:rsid w:val="00082445"/>
    <w:rsid w:val="0008268D"/>
    <w:rsid w:val="00082845"/>
    <w:rsid w:val="000834B3"/>
    <w:rsid w:val="00083E3C"/>
    <w:rsid w:val="0008572F"/>
    <w:rsid w:val="000862AF"/>
    <w:rsid w:val="00086750"/>
    <w:rsid w:val="00086A90"/>
    <w:rsid w:val="00087680"/>
    <w:rsid w:val="000911A5"/>
    <w:rsid w:val="00091F7B"/>
    <w:rsid w:val="00095281"/>
    <w:rsid w:val="000961F9"/>
    <w:rsid w:val="00096615"/>
    <w:rsid w:val="00096718"/>
    <w:rsid w:val="000A0623"/>
    <w:rsid w:val="000A3DE3"/>
    <w:rsid w:val="000A6635"/>
    <w:rsid w:val="000A712E"/>
    <w:rsid w:val="000A7686"/>
    <w:rsid w:val="000B139F"/>
    <w:rsid w:val="000B170F"/>
    <w:rsid w:val="000B24C0"/>
    <w:rsid w:val="000B2BAD"/>
    <w:rsid w:val="000B48EE"/>
    <w:rsid w:val="000B60F0"/>
    <w:rsid w:val="000B75C0"/>
    <w:rsid w:val="000B7CC7"/>
    <w:rsid w:val="000C07FB"/>
    <w:rsid w:val="000C14C5"/>
    <w:rsid w:val="000C1787"/>
    <w:rsid w:val="000C1B48"/>
    <w:rsid w:val="000C32D7"/>
    <w:rsid w:val="000C3441"/>
    <w:rsid w:val="000C5818"/>
    <w:rsid w:val="000C5EC1"/>
    <w:rsid w:val="000C787F"/>
    <w:rsid w:val="000C7D61"/>
    <w:rsid w:val="000D2F9E"/>
    <w:rsid w:val="000D3F50"/>
    <w:rsid w:val="000D4D00"/>
    <w:rsid w:val="000D5CB2"/>
    <w:rsid w:val="000E0E6F"/>
    <w:rsid w:val="000E3696"/>
    <w:rsid w:val="000E4167"/>
    <w:rsid w:val="000E6280"/>
    <w:rsid w:val="000E753E"/>
    <w:rsid w:val="000E7CA0"/>
    <w:rsid w:val="000F0207"/>
    <w:rsid w:val="000F15A3"/>
    <w:rsid w:val="000F1900"/>
    <w:rsid w:val="000F2E91"/>
    <w:rsid w:val="000F37BC"/>
    <w:rsid w:val="000F53CE"/>
    <w:rsid w:val="000F544B"/>
    <w:rsid w:val="000F668F"/>
    <w:rsid w:val="000F70C0"/>
    <w:rsid w:val="001004E6"/>
    <w:rsid w:val="0010083F"/>
    <w:rsid w:val="00102F79"/>
    <w:rsid w:val="0010582F"/>
    <w:rsid w:val="00106369"/>
    <w:rsid w:val="0010645C"/>
    <w:rsid w:val="00110E46"/>
    <w:rsid w:val="00113554"/>
    <w:rsid w:val="00113B19"/>
    <w:rsid w:val="001146EE"/>
    <w:rsid w:val="0011658E"/>
    <w:rsid w:val="00120742"/>
    <w:rsid w:val="0012185A"/>
    <w:rsid w:val="00122F65"/>
    <w:rsid w:val="00123926"/>
    <w:rsid w:val="001239C2"/>
    <w:rsid w:val="0012456E"/>
    <w:rsid w:val="00125CC4"/>
    <w:rsid w:val="00125D39"/>
    <w:rsid w:val="00126227"/>
    <w:rsid w:val="0012666E"/>
    <w:rsid w:val="001268F0"/>
    <w:rsid w:val="00126C30"/>
    <w:rsid w:val="0013350D"/>
    <w:rsid w:val="0013455B"/>
    <w:rsid w:val="001347D1"/>
    <w:rsid w:val="00134EA4"/>
    <w:rsid w:val="00135ECE"/>
    <w:rsid w:val="0013639C"/>
    <w:rsid w:val="0013705C"/>
    <w:rsid w:val="00143236"/>
    <w:rsid w:val="00144E58"/>
    <w:rsid w:val="00145C50"/>
    <w:rsid w:val="00146F33"/>
    <w:rsid w:val="00147006"/>
    <w:rsid w:val="001515B3"/>
    <w:rsid w:val="00154524"/>
    <w:rsid w:val="001547A8"/>
    <w:rsid w:val="001557E7"/>
    <w:rsid w:val="00155F44"/>
    <w:rsid w:val="001576D2"/>
    <w:rsid w:val="00160273"/>
    <w:rsid w:val="00160512"/>
    <w:rsid w:val="00161240"/>
    <w:rsid w:val="0016154C"/>
    <w:rsid w:val="0016168F"/>
    <w:rsid w:val="0016572D"/>
    <w:rsid w:val="001659DE"/>
    <w:rsid w:val="00165E9E"/>
    <w:rsid w:val="00166906"/>
    <w:rsid w:val="00170A53"/>
    <w:rsid w:val="00175AC1"/>
    <w:rsid w:val="00175E5E"/>
    <w:rsid w:val="001760D1"/>
    <w:rsid w:val="001779E1"/>
    <w:rsid w:val="001806B5"/>
    <w:rsid w:val="00180E9D"/>
    <w:rsid w:val="00181661"/>
    <w:rsid w:val="0018643F"/>
    <w:rsid w:val="0019075E"/>
    <w:rsid w:val="00190FDC"/>
    <w:rsid w:val="0019162B"/>
    <w:rsid w:val="00193799"/>
    <w:rsid w:val="00193AFA"/>
    <w:rsid w:val="00194FFE"/>
    <w:rsid w:val="00196F16"/>
    <w:rsid w:val="001A01D8"/>
    <w:rsid w:val="001A1A5F"/>
    <w:rsid w:val="001A29B7"/>
    <w:rsid w:val="001A31B3"/>
    <w:rsid w:val="001A31E7"/>
    <w:rsid w:val="001A3599"/>
    <w:rsid w:val="001A3FD6"/>
    <w:rsid w:val="001B5950"/>
    <w:rsid w:val="001B5ECA"/>
    <w:rsid w:val="001B75F5"/>
    <w:rsid w:val="001C05E6"/>
    <w:rsid w:val="001C2205"/>
    <w:rsid w:val="001C2AA8"/>
    <w:rsid w:val="001C3FD0"/>
    <w:rsid w:val="001C6CB3"/>
    <w:rsid w:val="001C7401"/>
    <w:rsid w:val="001C7850"/>
    <w:rsid w:val="001D078D"/>
    <w:rsid w:val="001D34BB"/>
    <w:rsid w:val="001E0CD6"/>
    <w:rsid w:val="001E2999"/>
    <w:rsid w:val="001E2F7E"/>
    <w:rsid w:val="001E4B2F"/>
    <w:rsid w:val="001E62AA"/>
    <w:rsid w:val="001E666B"/>
    <w:rsid w:val="001F005C"/>
    <w:rsid w:val="001F232E"/>
    <w:rsid w:val="001F238C"/>
    <w:rsid w:val="001F4420"/>
    <w:rsid w:val="001F4EE5"/>
    <w:rsid w:val="001F5CAB"/>
    <w:rsid w:val="001F64E1"/>
    <w:rsid w:val="001F695D"/>
    <w:rsid w:val="001F6A8D"/>
    <w:rsid w:val="001F6B56"/>
    <w:rsid w:val="001F6C49"/>
    <w:rsid w:val="00202DE9"/>
    <w:rsid w:val="00206709"/>
    <w:rsid w:val="00206DD0"/>
    <w:rsid w:val="002077B2"/>
    <w:rsid w:val="00210DDB"/>
    <w:rsid w:val="00210DF6"/>
    <w:rsid w:val="002110F4"/>
    <w:rsid w:val="00213288"/>
    <w:rsid w:val="00213CCB"/>
    <w:rsid w:val="00215940"/>
    <w:rsid w:val="002161B2"/>
    <w:rsid w:val="002167F8"/>
    <w:rsid w:val="00217740"/>
    <w:rsid w:val="00217B79"/>
    <w:rsid w:val="00217F51"/>
    <w:rsid w:val="00220B93"/>
    <w:rsid w:val="002211A0"/>
    <w:rsid w:val="00221468"/>
    <w:rsid w:val="002217C4"/>
    <w:rsid w:val="00222178"/>
    <w:rsid w:val="00223775"/>
    <w:rsid w:val="00224907"/>
    <w:rsid w:val="00225988"/>
    <w:rsid w:val="0022629D"/>
    <w:rsid w:val="0022769A"/>
    <w:rsid w:val="00227C97"/>
    <w:rsid w:val="00227E75"/>
    <w:rsid w:val="0023013D"/>
    <w:rsid w:val="0023056D"/>
    <w:rsid w:val="0023126F"/>
    <w:rsid w:val="00231417"/>
    <w:rsid w:val="00231FC1"/>
    <w:rsid w:val="00233BD6"/>
    <w:rsid w:val="00233CB8"/>
    <w:rsid w:val="0023546C"/>
    <w:rsid w:val="00236ABD"/>
    <w:rsid w:val="00237754"/>
    <w:rsid w:val="00237859"/>
    <w:rsid w:val="00240060"/>
    <w:rsid w:val="00241114"/>
    <w:rsid w:val="0024591D"/>
    <w:rsid w:val="00246B1E"/>
    <w:rsid w:val="00246C27"/>
    <w:rsid w:val="00246ECC"/>
    <w:rsid w:val="002473C8"/>
    <w:rsid w:val="002479FD"/>
    <w:rsid w:val="00254C13"/>
    <w:rsid w:val="00255600"/>
    <w:rsid w:val="0025575B"/>
    <w:rsid w:val="002602AF"/>
    <w:rsid w:val="00261453"/>
    <w:rsid w:val="00263C34"/>
    <w:rsid w:val="00264B28"/>
    <w:rsid w:val="00264ECF"/>
    <w:rsid w:val="00265518"/>
    <w:rsid w:val="00265AD3"/>
    <w:rsid w:val="002722A8"/>
    <w:rsid w:val="00273467"/>
    <w:rsid w:val="0027361D"/>
    <w:rsid w:val="00273B4A"/>
    <w:rsid w:val="00273DBA"/>
    <w:rsid w:val="00274BD1"/>
    <w:rsid w:val="00281A36"/>
    <w:rsid w:val="00281F35"/>
    <w:rsid w:val="002864B5"/>
    <w:rsid w:val="00287E6A"/>
    <w:rsid w:val="0029157D"/>
    <w:rsid w:val="002918D3"/>
    <w:rsid w:val="00292A15"/>
    <w:rsid w:val="00292E66"/>
    <w:rsid w:val="002963E7"/>
    <w:rsid w:val="00296EA0"/>
    <w:rsid w:val="002A0EEB"/>
    <w:rsid w:val="002A1644"/>
    <w:rsid w:val="002A1F99"/>
    <w:rsid w:val="002A20A5"/>
    <w:rsid w:val="002A7C77"/>
    <w:rsid w:val="002B077E"/>
    <w:rsid w:val="002B1979"/>
    <w:rsid w:val="002B1CAD"/>
    <w:rsid w:val="002B4A49"/>
    <w:rsid w:val="002B59AF"/>
    <w:rsid w:val="002B5B8D"/>
    <w:rsid w:val="002C127D"/>
    <w:rsid w:val="002C1327"/>
    <w:rsid w:val="002C21D8"/>
    <w:rsid w:val="002C4320"/>
    <w:rsid w:val="002C4ADF"/>
    <w:rsid w:val="002C57C4"/>
    <w:rsid w:val="002C6926"/>
    <w:rsid w:val="002C7CA7"/>
    <w:rsid w:val="002D1102"/>
    <w:rsid w:val="002D26B4"/>
    <w:rsid w:val="002D29C5"/>
    <w:rsid w:val="002D647C"/>
    <w:rsid w:val="002D65A0"/>
    <w:rsid w:val="002E1A29"/>
    <w:rsid w:val="002E295D"/>
    <w:rsid w:val="002E2A84"/>
    <w:rsid w:val="002E2C8B"/>
    <w:rsid w:val="002E38C3"/>
    <w:rsid w:val="002E42EF"/>
    <w:rsid w:val="002E5057"/>
    <w:rsid w:val="002E50DC"/>
    <w:rsid w:val="002E6076"/>
    <w:rsid w:val="002E6BD3"/>
    <w:rsid w:val="002F10C1"/>
    <w:rsid w:val="002F17B3"/>
    <w:rsid w:val="002F1C50"/>
    <w:rsid w:val="002F2237"/>
    <w:rsid w:val="002F5003"/>
    <w:rsid w:val="002F70AD"/>
    <w:rsid w:val="00301BD7"/>
    <w:rsid w:val="00302666"/>
    <w:rsid w:val="0030322B"/>
    <w:rsid w:val="00303878"/>
    <w:rsid w:val="00305DBF"/>
    <w:rsid w:val="00306F75"/>
    <w:rsid w:val="00307F6F"/>
    <w:rsid w:val="003109C1"/>
    <w:rsid w:val="0031149B"/>
    <w:rsid w:val="00313316"/>
    <w:rsid w:val="003139EE"/>
    <w:rsid w:val="0031445C"/>
    <w:rsid w:val="00315DD2"/>
    <w:rsid w:val="00316B34"/>
    <w:rsid w:val="00323F26"/>
    <w:rsid w:val="00324FF8"/>
    <w:rsid w:val="003261B6"/>
    <w:rsid w:val="003268B4"/>
    <w:rsid w:val="00331993"/>
    <w:rsid w:val="00331FD6"/>
    <w:rsid w:val="00332A87"/>
    <w:rsid w:val="00335450"/>
    <w:rsid w:val="00341F5D"/>
    <w:rsid w:val="0034245E"/>
    <w:rsid w:val="0034269E"/>
    <w:rsid w:val="00342BAC"/>
    <w:rsid w:val="003463CE"/>
    <w:rsid w:val="00347A08"/>
    <w:rsid w:val="00352DEB"/>
    <w:rsid w:val="00352E49"/>
    <w:rsid w:val="00353A87"/>
    <w:rsid w:val="0035473B"/>
    <w:rsid w:val="00355B5B"/>
    <w:rsid w:val="003576DD"/>
    <w:rsid w:val="0035790C"/>
    <w:rsid w:val="00360073"/>
    <w:rsid w:val="00360719"/>
    <w:rsid w:val="003608CE"/>
    <w:rsid w:val="003608DF"/>
    <w:rsid w:val="003637A8"/>
    <w:rsid w:val="00363C86"/>
    <w:rsid w:val="003653D0"/>
    <w:rsid w:val="00365A0D"/>
    <w:rsid w:val="00367AB7"/>
    <w:rsid w:val="00371687"/>
    <w:rsid w:val="0037284D"/>
    <w:rsid w:val="00372F36"/>
    <w:rsid w:val="00373106"/>
    <w:rsid w:val="003744C1"/>
    <w:rsid w:val="00374598"/>
    <w:rsid w:val="003747DA"/>
    <w:rsid w:val="00375A79"/>
    <w:rsid w:val="003763EC"/>
    <w:rsid w:val="00377502"/>
    <w:rsid w:val="00377771"/>
    <w:rsid w:val="00377EA2"/>
    <w:rsid w:val="00380F08"/>
    <w:rsid w:val="00382F4D"/>
    <w:rsid w:val="003833BE"/>
    <w:rsid w:val="0038581D"/>
    <w:rsid w:val="00387CDE"/>
    <w:rsid w:val="00392603"/>
    <w:rsid w:val="0039375A"/>
    <w:rsid w:val="00394CC8"/>
    <w:rsid w:val="00396524"/>
    <w:rsid w:val="003A1733"/>
    <w:rsid w:val="003A17BB"/>
    <w:rsid w:val="003A19B4"/>
    <w:rsid w:val="003A2144"/>
    <w:rsid w:val="003A3F8E"/>
    <w:rsid w:val="003A5CAF"/>
    <w:rsid w:val="003A7D70"/>
    <w:rsid w:val="003B6EB9"/>
    <w:rsid w:val="003C0619"/>
    <w:rsid w:val="003C1DD7"/>
    <w:rsid w:val="003C2808"/>
    <w:rsid w:val="003C3518"/>
    <w:rsid w:val="003C4767"/>
    <w:rsid w:val="003C4F7E"/>
    <w:rsid w:val="003C53BD"/>
    <w:rsid w:val="003C6E6D"/>
    <w:rsid w:val="003D2C10"/>
    <w:rsid w:val="003D3415"/>
    <w:rsid w:val="003D4EE0"/>
    <w:rsid w:val="003D6508"/>
    <w:rsid w:val="003D6A5D"/>
    <w:rsid w:val="003D7CE4"/>
    <w:rsid w:val="003E3950"/>
    <w:rsid w:val="003E3D8B"/>
    <w:rsid w:val="003E4815"/>
    <w:rsid w:val="003E6BA6"/>
    <w:rsid w:val="003F0ED1"/>
    <w:rsid w:val="003F2402"/>
    <w:rsid w:val="003F2704"/>
    <w:rsid w:val="003F2925"/>
    <w:rsid w:val="003F3CFB"/>
    <w:rsid w:val="003F51DB"/>
    <w:rsid w:val="003F5F11"/>
    <w:rsid w:val="003F758C"/>
    <w:rsid w:val="003F7BB5"/>
    <w:rsid w:val="00400974"/>
    <w:rsid w:val="00404854"/>
    <w:rsid w:val="0040568A"/>
    <w:rsid w:val="0040716A"/>
    <w:rsid w:val="004072D9"/>
    <w:rsid w:val="004078E1"/>
    <w:rsid w:val="004079E8"/>
    <w:rsid w:val="00410B23"/>
    <w:rsid w:val="00410DA6"/>
    <w:rsid w:val="00412B1A"/>
    <w:rsid w:val="00412BB1"/>
    <w:rsid w:val="004137F9"/>
    <w:rsid w:val="00414800"/>
    <w:rsid w:val="004157B7"/>
    <w:rsid w:val="00415D41"/>
    <w:rsid w:val="004167DA"/>
    <w:rsid w:val="00416814"/>
    <w:rsid w:val="0042420D"/>
    <w:rsid w:val="00424DB9"/>
    <w:rsid w:val="00426C6D"/>
    <w:rsid w:val="00430559"/>
    <w:rsid w:val="00433328"/>
    <w:rsid w:val="00435CAB"/>
    <w:rsid w:val="00435F84"/>
    <w:rsid w:val="00437CF1"/>
    <w:rsid w:val="00437FC5"/>
    <w:rsid w:val="00440162"/>
    <w:rsid w:val="00442942"/>
    <w:rsid w:val="00442CA8"/>
    <w:rsid w:val="00443B2C"/>
    <w:rsid w:val="00443F72"/>
    <w:rsid w:val="004456FA"/>
    <w:rsid w:val="00451505"/>
    <w:rsid w:val="00452310"/>
    <w:rsid w:val="00452316"/>
    <w:rsid w:val="00453A7A"/>
    <w:rsid w:val="00455138"/>
    <w:rsid w:val="00460593"/>
    <w:rsid w:val="00460E42"/>
    <w:rsid w:val="00460FCD"/>
    <w:rsid w:val="00461966"/>
    <w:rsid w:val="004621EB"/>
    <w:rsid w:val="00462B95"/>
    <w:rsid w:val="004630F0"/>
    <w:rsid w:val="004632A0"/>
    <w:rsid w:val="0046660D"/>
    <w:rsid w:val="00471DA5"/>
    <w:rsid w:val="00473433"/>
    <w:rsid w:val="00473F6A"/>
    <w:rsid w:val="004752FE"/>
    <w:rsid w:val="004759C1"/>
    <w:rsid w:val="00475AE2"/>
    <w:rsid w:val="00476307"/>
    <w:rsid w:val="00476C80"/>
    <w:rsid w:val="00480081"/>
    <w:rsid w:val="004803EE"/>
    <w:rsid w:val="00481AF4"/>
    <w:rsid w:val="00481CE0"/>
    <w:rsid w:val="0048318D"/>
    <w:rsid w:val="00487534"/>
    <w:rsid w:val="004904DE"/>
    <w:rsid w:val="0049428C"/>
    <w:rsid w:val="00494773"/>
    <w:rsid w:val="00494B08"/>
    <w:rsid w:val="00496A82"/>
    <w:rsid w:val="004A00BC"/>
    <w:rsid w:val="004A0154"/>
    <w:rsid w:val="004A0A43"/>
    <w:rsid w:val="004A4502"/>
    <w:rsid w:val="004A4744"/>
    <w:rsid w:val="004A5AE6"/>
    <w:rsid w:val="004A7B25"/>
    <w:rsid w:val="004B0154"/>
    <w:rsid w:val="004B4D94"/>
    <w:rsid w:val="004B5634"/>
    <w:rsid w:val="004B5E93"/>
    <w:rsid w:val="004B6E50"/>
    <w:rsid w:val="004C0D62"/>
    <w:rsid w:val="004C166E"/>
    <w:rsid w:val="004C1C6D"/>
    <w:rsid w:val="004C22BD"/>
    <w:rsid w:val="004C62B0"/>
    <w:rsid w:val="004C66F5"/>
    <w:rsid w:val="004C7CA2"/>
    <w:rsid w:val="004D05EF"/>
    <w:rsid w:val="004D1561"/>
    <w:rsid w:val="004D2DA5"/>
    <w:rsid w:val="004D3748"/>
    <w:rsid w:val="004D4554"/>
    <w:rsid w:val="004D739D"/>
    <w:rsid w:val="004E2A26"/>
    <w:rsid w:val="004E4B80"/>
    <w:rsid w:val="004E4ECA"/>
    <w:rsid w:val="004F203B"/>
    <w:rsid w:val="004F2E09"/>
    <w:rsid w:val="004F493F"/>
    <w:rsid w:val="004F4D5E"/>
    <w:rsid w:val="00500069"/>
    <w:rsid w:val="00502512"/>
    <w:rsid w:val="00502DDA"/>
    <w:rsid w:val="00504C5D"/>
    <w:rsid w:val="00506666"/>
    <w:rsid w:val="005115D6"/>
    <w:rsid w:val="00512774"/>
    <w:rsid w:val="0051373E"/>
    <w:rsid w:val="005137C2"/>
    <w:rsid w:val="005163CE"/>
    <w:rsid w:val="00516C4C"/>
    <w:rsid w:val="00516F13"/>
    <w:rsid w:val="00517859"/>
    <w:rsid w:val="005200B7"/>
    <w:rsid w:val="00520E20"/>
    <w:rsid w:val="005216C3"/>
    <w:rsid w:val="00522A76"/>
    <w:rsid w:val="005243AF"/>
    <w:rsid w:val="005246F8"/>
    <w:rsid w:val="00524FC8"/>
    <w:rsid w:val="0052556C"/>
    <w:rsid w:val="00526C5B"/>
    <w:rsid w:val="005270C5"/>
    <w:rsid w:val="00527F7D"/>
    <w:rsid w:val="0053037D"/>
    <w:rsid w:val="00530C18"/>
    <w:rsid w:val="00530CFE"/>
    <w:rsid w:val="005315C1"/>
    <w:rsid w:val="005316B7"/>
    <w:rsid w:val="00532569"/>
    <w:rsid w:val="00532934"/>
    <w:rsid w:val="00532B92"/>
    <w:rsid w:val="005338D9"/>
    <w:rsid w:val="00533947"/>
    <w:rsid w:val="00533A94"/>
    <w:rsid w:val="00533F36"/>
    <w:rsid w:val="00534FC6"/>
    <w:rsid w:val="00540E31"/>
    <w:rsid w:val="0054126A"/>
    <w:rsid w:val="005412A2"/>
    <w:rsid w:val="0054312E"/>
    <w:rsid w:val="00546501"/>
    <w:rsid w:val="005473B9"/>
    <w:rsid w:val="00547FD2"/>
    <w:rsid w:val="0055120D"/>
    <w:rsid w:val="005512D2"/>
    <w:rsid w:val="0055246B"/>
    <w:rsid w:val="005524FD"/>
    <w:rsid w:val="005544FD"/>
    <w:rsid w:val="00555B01"/>
    <w:rsid w:val="00556AA0"/>
    <w:rsid w:val="005609E1"/>
    <w:rsid w:val="005631E4"/>
    <w:rsid w:val="005633A4"/>
    <w:rsid w:val="005646DE"/>
    <w:rsid w:val="0056577F"/>
    <w:rsid w:val="00571542"/>
    <w:rsid w:val="005733FF"/>
    <w:rsid w:val="00575AF6"/>
    <w:rsid w:val="00576306"/>
    <w:rsid w:val="00576815"/>
    <w:rsid w:val="00580373"/>
    <w:rsid w:val="0058058E"/>
    <w:rsid w:val="00580A8C"/>
    <w:rsid w:val="00582AEB"/>
    <w:rsid w:val="005876CE"/>
    <w:rsid w:val="005914F9"/>
    <w:rsid w:val="00592B62"/>
    <w:rsid w:val="00593006"/>
    <w:rsid w:val="00593D0D"/>
    <w:rsid w:val="00593EF4"/>
    <w:rsid w:val="00595477"/>
    <w:rsid w:val="0059599B"/>
    <w:rsid w:val="00595E67"/>
    <w:rsid w:val="005A1DE8"/>
    <w:rsid w:val="005A2FEC"/>
    <w:rsid w:val="005A316C"/>
    <w:rsid w:val="005A3423"/>
    <w:rsid w:val="005A4966"/>
    <w:rsid w:val="005A761F"/>
    <w:rsid w:val="005B046E"/>
    <w:rsid w:val="005B0575"/>
    <w:rsid w:val="005B12B9"/>
    <w:rsid w:val="005B18AC"/>
    <w:rsid w:val="005B1957"/>
    <w:rsid w:val="005B1E52"/>
    <w:rsid w:val="005B4F61"/>
    <w:rsid w:val="005B550F"/>
    <w:rsid w:val="005B55C8"/>
    <w:rsid w:val="005B5EAC"/>
    <w:rsid w:val="005B6C24"/>
    <w:rsid w:val="005C0CA7"/>
    <w:rsid w:val="005C1988"/>
    <w:rsid w:val="005C1AE7"/>
    <w:rsid w:val="005D1F0A"/>
    <w:rsid w:val="005D360F"/>
    <w:rsid w:val="005D3856"/>
    <w:rsid w:val="005D5DC3"/>
    <w:rsid w:val="005D5E14"/>
    <w:rsid w:val="005D7735"/>
    <w:rsid w:val="005E1B10"/>
    <w:rsid w:val="005E220F"/>
    <w:rsid w:val="005E4CF3"/>
    <w:rsid w:val="005E787B"/>
    <w:rsid w:val="005F44DC"/>
    <w:rsid w:val="005F453E"/>
    <w:rsid w:val="005F4810"/>
    <w:rsid w:val="005F6CD0"/>
    <w:rsid w:val="005F72A0"/>
    <w:rsid w:val="00606808"/>
    <w:rsid w:val="00606E28"/>
    <w:rsid w:val="006079E7"/>
    <w:rsid w:val="006104FC"/>
    <w:rsid w:val="00613951"/>
    <w:rsid w:val="006176B5"/>
    <w:rsid w:val="00617ADC"/>
    <w:rsid w:val="006217E5"/>
    <w:rsid w:val="00622A7B"/>
    <w:rsid w:val="006247D0"/>
    <w:rsid w:val="00625A6C"/>
    <w:rsid w:val="00625D30"/>
    <w:rsid w:val="00627DC6"/>
    <w:rsid w:val="006314C5"/>
    <w:rsid w:val="00631D42"/>
    <w:rsid w:val="006329D1"/>
    <w:rsid w:val="00633616"/>
    <w:rsid w:val="0063390C"/>
    <w:rsid w:val="00634A0E"/>
    <w:rsid w:val="00634FF4"/>
    <w:rsid w:val="00636A16"/>
    <w:rsid w:val="00636D88"/>
    <w:rsid w:val="006370AD"/>
    <w:rsid w:val="00637712"/>
    <w:rsid w:val="00641D11"/>
    <w:rsid w:val="0064398E"/>
    <w:rsid w:val="0064400A"/>
    <w:rsid w:val="00645F2A"/>
    <w:rsid w:val="006464B0"/>
    <w:rsid w:val="00650550"/>
    <w:rsid w:val="00650E1D"/>
    <w:rsid w:val="00651293"/>
    <w:rsid w:val="00651433"/>
    <w:rsid w:val="00654095"/>
    <w:rsid w:val="006541D9"/>
    <w:rsid w:val="00654F71"/>
    <w:rsid w:val="006568AF"/>
    <w:rsid w:val="006571C3"/>
    <w:rsid w:val="00657822"/>
    <w:rsid w:val="006579B5"/>
    <w:rsid w:val="00657FB6"/>
    <w:rsid w:val="00660473"/>
    <w:rsid w:val="0066329D"/>
    <w:rsid w:val="00663BD1"/>
    <w:rsid w:val="00665C72"/>
    <w:rsid w:val="00665D3C"/>
    <w:rsid w:val="006661BD"/>
    <w:rsid w:val="00670567"/>
    <w:rsid w:val="006712FB"/>
    <w:rsid w:val="0067513B"/>
    <w:rsid w:val="00680DFD"/>
    <w:rsid w:val="0068144C"/>
    <w:rsid w:val="0068202B"/>
    <w:rsid w:val="00684FD0"/>
    <w:rsid w:val="0068530E"/>
    <w:rsid w:val="006856A5"/>
    <w:rsid w:val="00687203"/>
    <w:rsid w:val="00690876"/>
    <w:rsid w:val="00691B12"/>
    <w:rsid w:val="006929EF"/>
    <w:rsid w:val="0069613F"/>
    <w:rsid w:val="00696D2F"/>
    <w:rsid w:val="006978FF"/>
    <w:rsid w:val="006A0E5E"/>
    <w:rsid w:val="006A13BB"/>
    <w:rsid w:val="006A1428"/>
    <w:rsid w:val="006A1768"/>
    <w:rsid w:val="006A21A8"/>
    <w:rsid w:val="006A275C"/>
    <w:rsid w:val="006A751D"/>
    <w:rsid w:val="006B29BC"/>
    <w:rsid w:val="006B3075"/>
    <w:rsid w:val="006B402B"/>
    <w:rsid w:val="006B4A79"/>
    <w:rsid w:val="006B5875"/>
    <w:rsid w:val="006B6A7C"/>
    <w:rsid w:val="006B6D35"/>
    <w:rsid w:val="006B723F"/>
    <w:rsid w:val="006C04A0"/>
    <w:rsid w:val="006C2303"/>
    <w:rsid w:val="006C3250"/>
    <w:rsid w:val="006C3643"/>
    <w:rsid w:val="006C6CD4"/>
    <w:rsid w:val="006C79BF"/>
    <w:rsid w:val="006D01A9"/>
    <w:rsid w:val="006D02E4"/>
    <w:rsid w:val="006D35C0"/>
    <w:rsid w:val="006E0138"/>
    <w:rsid w:val="006E11C1"/>
    <w:rsid w:val="006E1DBA"/>
    <w:rsid w:val="006E4372"/>
    <w:rsid w:val="006E4462"/>
    <w:rsid w:val="006F0DAF"/>
    <w:rsid w:val="006F2A44"/>
    <w:rsid w:val="006F3958"/>
    <w:rsid w:val="006F4793"/>
    <w:rsid w:val="006F4C82"/>
    <w:rsid w:val="00700536"/>
    <w:rsid w:val="0070068D"/>
    <w:rsid w:val="00701171"/>
    <w:rsid w:val="007037AB"/>
    <w:rsid w:val="007044D5"/>
    <w:rsid w:val="007062DB"/>
    <w:rsid w:val="007117F1"/>
    <w:rsid w:val="00713AE3"/>
    <w:rsid w:val="00713B4A"/>
    <w:rsid w:val="00713CF3"/>
    <w:rsid w:val="00714546"/>
    <w:rsid w:val="00715C93"/>
    <w:rsid w:val="007178D6"/>
    <w:rsid w:val="00717996"/>
    <w:rsid w:val="007212DA"/>
    <w:rsid w:val="00722E3F"/>
    <w:rsid w:val="0072433F"/>
    <w:rsid w:val="00724473"/>
    <w:rsid w:val="0072467E"/>
    <w:rsid w:val="00724716"/>
    <w:rsid w:val="0072699B"/>
    <w:rsid w:val="00731A5E"/>
    <w:rsid w:val="00732BD0"/>
    <w:rsid w:val="00733616"/>
    <w:rsid w:val="007348AD"/>
    <w:rsid w:val="00734BD9"/>
    <w:rsid w:val="007358E2"/>
    <w:rsid w:val="00736EAD"/>
    <w:rsid w:val="007376CC"/>
    <w:rsid w:val="00740848"/>
    <w:rsid w:val="007416BB"/>
    <w:rsid w:val="00741B9E"/>
    <w:rsid w:val="00742F47"/>
    <w:rsid w:val="00742F66"/>
    <w:rsid w:val="0074334E"/>
    <w:rsid w:val="007441B6"/>
    <w:rsid w:val="00745173"/>
    <w:rsid w:val="007473D7"/>
    <w:rsid w:val="00747AA4"/>
    <w:rsid w:val="0075215D"/>
    <w:rsid w:val="00752CAB"/>
    <w:rsid w:val="00754429"/>
    <w:rsid w:val="00755E0C"/>
    <w:rsid w:val="00757AB8"/>
    <w:rsid w:val="007601F3"/>
    <w:rsid w:val="00760214"/>
    <w:rsid w:val="0076106B"/>
    <w:rsid w:val="00761449"/>
    <w:rsid w:val="007639F6"/>
    <w:rsid w:val="00763B79"/>
    <w:rsid w:val="00765D8B"/>
    <w:rsid w:val="00767C7C"/>
    <w:rsid w:val="0077215A"/>
    <w:rsid w:val="00773FEF"/>
    <w:rsid w:val="007741D0"/>
    <w:rsid w:val="007754C2"/>
    <w:rsid w:val="0077717A"/>
    <w:rsid w:val="00780325"/>
    <w:rsid w:val="00780F78"/>
    <w:rsid w:val="00781047"/>
    <w:rsid w:val="00781F78"/>
    <w:rsid w:val="00782358"/>
    <w:rsid w:val="00784986"/>
    <w:rsid w:val="00784B00"/>
    <w:rsid w:val="00785324"/>
    <w:rsid w:val="00787E97"/>
    <w:rsid w:val="00792359"/>
    <w:rsid w:val="007934D3"/>
    <w:rsid w:val="00795B33"/>
    <w:rsid w:val="007963F2"/>
    <w:rsid w:val="0079699C"/>
    <w:rsid w:val="007969A5"/>
    <w:rsid w:val="0079728D"/>
    <w:rsid w:val="007A15A0"/>
    <w:rsid w:val="007A1980"/>
    <w:rsid w:val="007A1F4C"/>
    <w:rsid w:val="007A31A3"/>
    <w:rsid w:val="007A5100"/>
    <w:rsid w:val="007A7697"/>
    <w:rsid w:val="007A7DA0"/>
    <w:rsid w:val="007B097A"/>
    <w:rsid w:val="007B1662"/>
    <w:rsid w:val="007B3728"/>
    <w:rsid w:val="007B3A5E"/>
    <w:rsid w:val="007B3D99"/>
    <w:rsid w:val="007B3F01"/>
    <w:rsid w:val="007B6E79"/>
    <w:rsid w:val="007C0216"/>
    <w:rsid w:val="007C1235"/>
    <w:rsid w:val="007C1246"/>
    <w:rsid w:val="007C26F0"/>
    <w:rsid w:val="007C2A5B"/>
    <w:rsid w:val="007C3152"/>
    <w:rsid w:val="007C3619"/>
    <w:rsid w:val="007C4757"/>
    <w:rsid w:val="007C6CAF"/>
    <w:rsid w:val="007C7B5C"/>
    <w:rsid w:val="007D08FE"/>
    <w:rsid w:val="007D11FB"/>
    <w:rsid w:val="007D4247"/>
    <w:rsid w:val="007D4E87"/>
    <w:rsid w:val="007D71A9"/>
    <w:rsid w:val="007D7993"/>
    <w:rsid w:val="007E263E"/>
    <w:rsid w:val="007E2CAB"/>
    <w:rsid w:val="007E37F4"/>
    <w:rsid w:val="007E4045"/>
    <w:rsid w:val="007E46BB"/>
    <w:rsid w:val="007E747F"/>
    <w:rsid w:val="007F0E15"/>
    <w:rsid w:val="007F0F88"/>
    <w:rsid w:val="007F2192"/>
    <w:rsid w:val="007F267A"/>
    <w:rsid w:val="007F2F1F"/>
    <w:rsid w:val="007F3022"/>
    <w:rsid w:val="007F3037"/>
    <w:rsid w:val="007F3965"/>
    <w:rsid w:val="007F3D8B"/>
    <w:rsid w:val="007F4568"/>
    <w:rsid w:val="007F474E"/>
    <w:rsid w:val="007F75B7"/>
    <w:rsid w:val="00800BEB"/>
    <w:rsid w:val="00800C5B"/>
    <w:rsid w:val="008028AD"/>
    <w:rsid w:val="00803067"/>
    <w:rsid w:val="00805BF3"/>
    <w:rsid w:val="00806B92"/>
    <w:rsid w:val="00807242"/>
    <w:rsid w:val="008072AE"/>
    <w:rsid w:val="008078B9"/>
    <w:rsid w:val="00810901"/>
    <w:rsid w:val="0081332A"/>
    <w:rsid w:val="008136E9"/>
    <w:rsid w:val="00815092"/>
    <w:rsid w:val="00816AAF"/>
    <w:rsid w:val="008176F3"/>
    <w:rsid w:val="0082008C"/>
    <w:rsid w:val="00820862"/>
    <w:rsid w:val="008213E1"/>
    <w:rsid w:val="00822A81"/>
    <w:rsid w:val="00824248"/>
    <w:rsid w:val="008251B2"/>
    <w:rsid w:val="00825D49"/>
    <w:rsid w:val="00826350"/>
    <w:rsid w:val="00826750"/>
    <w:rsid w:val="0082687D"/>
    <w:rsid w:val="008278C6"/>
    <w:rsid w:val="00831622"/>
    <w:rsid w:val="00833C2A"/>
    <w:rsid w:val="0083405A"/>
    <w:rsid w:val="0083446A"/>
    <w:rsid w:val="00835A5E"/>
    <w:rsid w:val="00836278"/>
    <w:rsid w:val="00837340"/>
    <w:rsid w:val="0083767F"/>
    <w:rsid w:val="00837AE9"/>
    <w:rsid w:val="00837EBA"/>
    <w:rsid w:val="0084023B"/>
    <w:rsid w:val="008413FD"/>
    <w:rsid w:val="008423F8"/>
    <w:rsid w:val="00842670"/>
    <w:rsid w:val="0084338B"/>
    <w:rsid w:val="008436C6"/>
    <w:rsid w:val="00845D29"/>
    <w:rsid w:val="00845FD8"/>
    <w:rsid w:val="00851C55"/>
    <w:rsid w:val="00852BBB"/>
    <w:rsid w:val="00854261"/>
    <w:rsid w:val="008551D0"/>
    <w:rsid w:val="00857887"/>
    <w:rsid w:val="00860929"/>
    <w:rsid w:val="0086095E"/>
    <w:rsid w:val="008646D3"/>
    <w:rsid w:val="0086581D"/>
    <w:rsid w:val="00867E6B"/>
    <w:rsid w:val="00872C1A"/>
    <w:rsid w:val="00873933"/>
    <w:rsid w:val="0087549C"/>
    <w:rsid w:val="00875B4D"/>
    <w:rsid w:val="00876142"/>
    <w:rsid w:val="0087703B"/>
    <w:rsid w:val="0087717F"/>
    <w:rsid w:val="00877257"/>
    <w:rsid w:val="00884964"/>
    <w:rsid w:val="0088699E"/>
    <w:rsid w:val="00886DDA"/>
    <w:rsid w:val="008872AA"/>
    <w:rsid w:val="00887471"/>
    <w:rsid w:val="00890176"/>
    <w:rsid w:val="008906AE"/>
    <w:rsid w:val="008910B0"/>
    <w:rsid w:val="00893093"/>
    <w:rsid w:val="0089373B"/>
    <w:rsid w:val="008A1DCA"/>
    <w:rsid w:val="008A36E0"/>
    <w:rsid w:val="008A371A"/>
    <w:rsid w:val="008A6255"/>
    <w:rsid w:val="008B0DED"/>
    <w:rsid w:val="008B22EB"/>
    <w:rsid w:val="008B2BE1"/>
    <w:rsid w:val="008B45F4"/>
    <w:rsid w:val="008B4A4C"/>
    <w:rsid w:val="008B6886"/>
    <w:rsid w:val="008B7101"/>
    <w:rsid w:val="008C30D6"/>
    <w:rsid w:val="008C34B4"/>
    <w:rsid w:val="008C5CA1"/>
    <w:rsid w:val="008C6CB0"/>
    <w:rsid w:val="008D1757"/>
    <w:rsid w:val="008D397E"/>
    <w:rsid w:val="008D3A3F"/>
    <w:rsid w:val="008D409A"/>
    <w:rsid w:val="008D4506"/>
    <w:rsid w:val="008D6FA5"/>
    <w:rsid w:val="008E2495"/>
    <w:rsid w:val="008E29E0"/>
    <w:rsid w:val="008E2C15"/>
    <w:rsid w:val="008E3B9A"/>
    <w:rsid w:val="008E6FC3"/>
    <w:rsid w:val="008F1014"/>
    <w:rsid w:val="008F1C20"/>
    <w:rsid w:val="008F2018"/>
    <w:rsid w:val="008F3856"/>
    <w:rsid w:val="008F3E0A"/>
    <w:rsid w:val="008F48AB"/>
    <w:rsid w:val="008F5850"/>
    <w:rsid w:val="008F610E"/>
    <w:rsid w:val="008F624D"/>
    <w:rsid w:val="008F797F"/>
    <w:rsid w:val="00900E55"/>
    <w:rsid w:val="009016F2"/>
    <w:rsid w:val="00901DAE"/>
    <w:rsid w:val="00904016"/>
    <w:rsid w:val="00905FC0"/>
    <w:rsid w:val="00906CB7"/>
    <w:rsid w:val="00910219"/>
    <w:rsid w:val="00910E62"/>
    <w:rsid w:val="009121F5"/>
    <w:rsid w:val="00912272"/>
    <w:rsid w:val="0091380C"/>
    <w:rsid w:val="00915663"/>
    <w:rsid w:val="00920713"/>
    <w:rsid w:val="00921DB3"/>
    <w:rsid w:val="00922D4C"/>
    <w:rsid w:val="00923737"/>
    <w:rsid w:val="00924F0A"/>
    <w:rsid w:val="0092503A"/>
    <w:rsid w:val="00925245"/>
    <w:rsid w:val="0092566B"/>
    <w:rsid w:val="00925E6F"/>
    <w:rsid w:val="009264AC"/>
    <w:rsid w:val="00926A05"/>
    <w:rsid w:val="00931022"/>
    <w:rsid w:val="009328A8"/>
    <w:rsid w:val="00933BC2"/>
    <w:rsid w:val="0093470B"/>
    <w:rsid w:val="00934B2A"/>
    <w:rsid w:val="009373BC"/>
    <w:rsid w:val="00940166"/>
    <w:rsid w:val="00944060"/>
    <w:rsid w:val="00944E54"/>
    <w:rsid w:val="00950A0D"/>
    <w:rsid w:val="009565FE"/>
    <w:rsid w:val="00956C46"/>
    <w:rsid w:val="00957563"/>
    <w:rsid w:val="00961360"/>
    <w:rsid w:val="00963D41"/>
    <w:rsid w:val="00966D21"/>
    <w:rsid w:val="00967F7F"/>
    <w:rsid w:val="00970C0F"/>
    <w:rsid w:val="00971B7C"/>
    <w:rsid w:val="0097274C"/>
    <w:rsid w:val="009731FC"/>
    <w:rsid w:val="00973E73"/>
    <w:rsid w:val="00974640"/>
    <w:rsid w:val="009750CC"/>
    <w:rsid w:val="009752DE"/>
    <w:rsid w:val="00975419"/>
    <w:rsid w:val="00975F2E"/>
    <w:rsid w:val="0097675E"/>
    <w:rsid w:val="00976824"/>
    <w:rsid w:val="00980691"/>
    <w:rsid w:val="00982A07"/>
    <w:rsid w:val="00982E77"/>
    <w:rsid w:val="0098378E"/>
    <w:rsid w:val="009848AB"/>
    <w:rsid w:val="00984AA8"/>
    <w:rsid w:val="00984E6E"/>
    <w:rsid w:val="00985B3E"/>
    <w:rsid w:val="009867A4"/>
    <w:rsid w:val="00987C0F"/>
    <w:rsid w:val="00991434"/>
    <w:rsid w:val="00991F3E"/>
    <w:rsid w:val="00994398"/>
    <w:rsid w:val="009951DC"/>
    <w:rsid w:val="00995C14"/>
    <w:rsid w:val="00997F7B"/>
    <w:rsid w:val="009A0497"/>
    <w:rsid w:val="009A2013"/>
    <w:rsid w:val="009A3941"/>
    <w:rsid w:val="009A3DA0"/>
    <w:rsid w:val="009A46CA"/>
    <w:rsid w:val="009B0DEB"/>
    <w:rsid w:val="009B2888"/>
    <w:rsid w:val="009B4919"/>
    <w:rsid w:val="009B4B6C"/>
    <w:rsid w:val="009B7952"/>
    <w:rsid w:val="009B7AF5"/>
    <w:rsid w:val="009B7C93"/>
    <w:rsid w:val="009C10E9"/>
    <w:rsid w:val="009C193C"/>
    <w:rsid w:val="009C21EC"/>
    <w:rsid w:val="009C2717"/>
    <w:rsid w:val="009D0796"/>
    <w:rsid w:val="009D185D"/>
    <w:rsid w:val="009D2FA8"/>
    <w:rsid w:val="009D3FE8"/>
    <w:rsid w:val="009D447C"/>
    <w:rsid w:val="009D4F87"/>
    <w:rsid w:val="009D73B6"/>
    <w:rsid w:val="009D75B5"/>
    <w:rsid w:val="009E2FB5"/>
    <w:rsid w:val="009E38A1"/>
    <w:rsid w:val="009E5B15"/>
    <w:rsid w:val="009F0447"/>
    <w:rsid w:val="009F3745"/>
    <w:rsid w:val="009F3BBB"/>
    <w:rsid w:val="009F62B3"/>
    <w:rsid w:val="009F7CCA"/>
    <w:rsid w:val="009F7E52"/>
    <w:rsid w:val="00A0045A"/>
    <w:rsid w:val="00A00485"/>
    <w:rsid w:val="00A014C6"/>
    <w:rsid w:val="00A03920"/>
    <w:rsid w:val="00A03F9F"/>
    <w:rsid w:val="00A04356"/>
    <w:rsid w:val="00A0625F"/>
    <w:rsid w:val="00A06A78"/>
    <w:rsid w:val="00A07827"/>
    <w:rsid w:val="00A079F7"/>
    <w:rsid w:val="00A1043B"/>
    <w:rsid w:val="00A114B8"/>
    <w:rsid w:val="00A1223D"/>
    <w:rsid w:val="00A12C95"/>
    <w:rsid w:val="00A13C3D"/>
    <w:rsid w:val="00A17187"/>
    <w:rsid w:val="00A17C5F"/>
    <w:rsid w:val="00A205B3"/>
    <w:rsid w:val="00A21EEA"/>
    <w:rsid w:val="00A24117"/>
    <w:rsid w:val="00A24884"/>
    <w:rsid w:val="00A250B6"/>
    <w:rsid w:val="00A2558A"/>
    <w:rsid w:val="00A25C49"/>
    <w:rsid w:val="00A26253"/>
    <w:rsid w:val="00A26A2F"/>
    <w:rsid w:val="00A27174"/>
    <w:rsid w:val="00A328ED"/>
    <w:rsid w:val="00A32DA3"/>
    <w:rsid w:val="00A34AC9"/>
    <w:rsid w:val="00A34E7D"/>
    <w:rsid w:val="00A352DC"/>
    <w:rsid w:val="00A37EDE"/>
    <w:rsid w:val="00A4029F"/>
    <w:rsid w:val="00A402EB"/>
    <w:rsid w:val="00A418D0"/>
    <w:rsid w:val="00A420C5"/>
    <w:rsid w:val="00A43216"/>
    <w:rsid w:val="00A437A8"/>
    <w:rsid w:val="00A45794"/>
    <w:rsid w:val="00A466C9"/>
    <w:rsid w:val="00A46D04"/>
    <w:rsid w:val="00A4773F"/>
    <w:rsid w:val="00A47960"/>
    <w:rsid w:val="00A47EE8"/>
    <w:rsid w:val="00A502CD"/>
    <w:rsid w:val="00A53848"/>
    <w:rsid w:val="00A56D21"/>
    <w:rsid w:val="00A578F9"/>
    <w:rsid w:val="00A57ADC"/>
    <w:rsid w:val="00A57AFB"/>
    <w:rsid w:val="00A60944"/>
    <w:rsid w:val="00A6130F"/>
    <w:rsid w:val="00A6228E"/>
    <w:rsid w:val="00A62317"/>
    <w:rsid w:val="00A628EF"/>
    <w:rsid w:val="00A63D89"/>
    <w:rsid w:val="00A63E81"/>
    <w:rsid w:val="00A64231"/>
    <w:rsid w:val="00A655DE"/>
    <w:rsid w:val="00A66940"/>
    <w:rsid w:val="00A672C4"/>
    <w:rsid w:val="00A703BD"/>
    <w:rsid w:val="00A7294F"/>
    <w:rsid w:val="00A743BA"/>
    <w:rsid w:val="00A7664F"/>
    <w:rsid w:val="00A76DC8"/>
    <w:rsid w:val="00A77984"/>
    <w:rsid w:val="00A77A47"/>
    <w:rsid w:val="00A815A7"/>
    <w:rsid w:val="00A82819"/>
    <w:rsid w:val="00A831FE"/>
    <w:rsid w:val="00A8457B"/>
    <w:rsid w:val="00A85988"/>
    <w:rsid w:val="00A863BD"/>
    <w:rsid w:val="00A86876"/>
    <w:rsid w:val="00A871B1"/>
    <w:rsid w:val="00A872B4"/>
    <w:rsid w:val="00A91106"/>
    <w:rsid w:val="00A9147E"/>
    <w:rsid w:val="00A9278C"/>
    <w:rsid w:val="00A93347"/>
    <w:rsid w:val="00A93571"/>
    <w:rsid w:val="00A9369F"/>
    <w:rsid w:val="00A93918"/>
    <w:rsid w:val="00A97D37"/>
    <w:rsid w:val="00AA0341"/>
    <w:rsid w:val="00AA07A0"/>
    <w:rsid w:val="00AA0E21"/>
    <w:rsid w:val="00AA3960"/>
    <w:rsid w:val="00AA63F7"/>
    <w:rsid w:val="00AB00DE"/>
    <w:rsid w:val="00AB11C6"/>
    <w:rsid w:val="00AB264D"/>
    <w:rsid w:val="00AB4C70"/>
    <w:rsid w:val="00AB73B5"/>
    <w:rsid w:val="00AC0E3A"/>
    <w:rsid w:val="00AC1A1F"/>
    <w:rsid w:val="00AC1F16"/>
    <w:rsid w:val="00AC1FAC"/>
    <w:rsid w:val="00AC2C83"/>
    <w:rsid w:val="00AD0171"/>
    <w:rsid w:val="00AD0577"/>
    <w:rsid w:val="00AD1024"/>
    <w:rsid w:val="00AD2D9B"/>
    <w:rsid w:val="00AD352B"/>
    <w:rsid w:val="00AD495E"/>
    <w:rsid w:val="00AD5F46"/>
    <w:rsid w:val="00AD6D8D"/>
    <w:rsid w:val="00AE08C8"/>
    <w:rsid w:val="00AE0DDF"/>
    <w:rsid w:val="00AE0F9F"/>
    <w:rsid w:val="00AE1756"/>
    <w:rsid w:val="00AE46EA"/>
    <w:rsid w:val="00AE48B9"/>
    <w:rsid w:val="00AF1D0D"/>
    <w:rsid w:val="00AF2742"/>
    <w:rsid w:val="00AF35DB"/>
    <w:rsid w:val="00AF45C3"/>
    <w:rsid w:val="00AF6A39"/>
    <w:rsid w:val="00AF6A62"/>
    <w:rsid w:val="00B020CD"/>
    <w:rsid w:val="00B02B35"/>
    <w:rsid w:val="00B02E0F"/>
    <w:rsid w:val="00B038F7"/>
    <w:rsid w:val="00B0399D"/>
    <w:rsid w:val="00B11598"/>
    <w:rsid w:val="00B11E30"/>
    <w:rsid w:val="00B14A09"/>
    <w:rsid w:val="00B152E8"/>
    <w:rsid w:val="00B15888"/>
    <w:rsid w:val="00B162B8"/>
    <w:rsid w:val="00B20CC0"/>
    <w:rsid w:val="00B21619"/>
    <w:rsid w:val="00B217D8"/>
    <w:rsid w:val="00B22D4F"/>
    <w:rsid w:val="00B23666"/>
    <w:rsid w:val="00B25EE9"/>
    <w:rsid w:val="00B2616D"/>
    <w:rsid w:val="00B271E3"/>
    <w:rsid w:val="00B3046D"/>
    <w:rsid w:val="00B31883"/>
    <w:rsid w:val="00B35E7C"/>
    <w:rsid w:val="00B35EE5"/>
    <w:rsid w:val="00B416C8"/>
    <w:rsid w:val="00B42B41"/>
    <w:rsid w:val="00B447CB"/>
    <w:rsid w:val="00B45E4F"/>
    <w:rsid w:val="00B50E74"/>
    <w:rsid w:val="00B52E9F"/>
    <w:rsid w:val="00B535C3"/>
    <w:rsid w:val="00B560B7"/>
    <w:rsid w:val="00B56B2C"/>
    <w:rsid w:val="00B56F0C"/>
    <w:rsid w:val="00B5737F"/>
    <w:rsid w:val="00B60684"/>
    <w:rsid w:val="00B63037"/>
    <w:rsid w:val="00B6337F"/>
    <w:rsid w:val="00B63EAC"/>
    <w:rsid w:val="00B66CB8"/>
    <w:rsid w:val="00B70AB4"/>
    <w:rsid w:val="00B714B9"/>
    <w:rsid w:val="00B71C15"/>
    <w:rsid w:val="00B71DDA"/>
    <w:rsid w:val="00B73DFE"/>
    <w:rsid w:val="00B7462B"/>
    <w:rsid w:val="00B747C6"/>
    <w:rsid w:val="00B8065E"/>
    <w:rsid w:val="00B84EFC"/>
    <w:rsid w:val="00B867AF"/>
    <w:rsid w:val="00B87F9B"/>
    <w:rsid w:val="00B90655"/>
    <w:rsid w:val="00B90EBF"/>
    <w:rsid w:val="00B91131"/>
    <w:rsid w:val="00B91633"/>
    <w:rsid w:val="00B929A1"/>
    <w:rsid w:val="00B93019"/>
    <w:rsid w:val="00B94505"/>
    <w:rsid w:val="00B94880"/>
    <w:rsid w:val="00B94A6A"/>
    <w:rsid w:val="00B9506F"/>
    <w:rsid w:val="00B9548C"/>
    <w:rsid w:val="00B959A5"/>
    <w:rsid w:val="00B95BF9"/>
    <w:rsid w:val="00B96AF5"/>
    <w:rsid w:val="00BA0D88"/>
    <w:rsid w:val="00BA0EF1"/>
    <w:rsid w:val="00BA11F1"/>
    <w:rsid w:val="00BA19E5"/>
    <w:rsid w:val="00BA2766"/>
    <w:rsid w:val="00BA2B58"/>
    <w:rsid w:val="00BA2D71"/>
    <w:rsid w:val="00BA3282"/>
    <w:rsid w:val="00BA3B0B"/>
    <w:rsid w:val="00BA58B0"/>
    <w:rsid w:val="00BA754F"/>
    <w:rsid w:val="00BB1705"/>
    <w:rsid w:val="00BB25DE"/>
    <w:rsid w:val="00BB29D0"/>
    <w:rsid w:val="00BB492E"/>
    <w:rsid w:val="00BB4BDF"/>
    <w:rsid w:val="00BB6489"/>
    <w:rsid w:val="00BB766F"/>
    <w:rsid w:val="00BC1EC8"/>
    <w:rsid w:val="00BC2BA0"/>
    <w:rsid w:val="00BC2E4F"/>
    <w:rsid w:val="00BC2F50"/>
    <w:rsid w:val="00BC3587"/>
    <w:rsid w:val="00BC4909"/>
    <w:rsid w:val="00BC59C7"/>
    <w:rsid w:val="00BD04F6"/>
    <w:rsid w:val="00BD0E4B"/>
    <w:rsid w:val="00BD328C"/>
    <w:rsid w:val="00BD44CA"/>
    <w:rsid w:val="00BD4BD6"/>
    <w:rsid w:val="00BD67CA"/>
    <w:rsid w:val="00BD7722"/>
    <w:rsid w:val="00BE16F1"/>
    <w:rsid w:val="00BE259F"/>
    <w:rsid w:val="00BF0078"/>
    <w:rsid w:val="00BF1B41"/>
    <w:rsid w:val="00BF29AC"/>
    <w:rsid w:val="00BF4080"/>
    <w:rsid w:val="00BF5114"/>
    <w:rsid w:val="00C026E1"/>
    <w:rsid w:val="00C02F29"/>
    <w:rsid w:val="00C0330A"/>
    <w:rsid w:val="00C04E83"/>
    <w:rsid w:val="00C0543C"/>
    <w:rsid w:val="00C055CA"/>
    <w:rsid w:val="00C13586"/>
    <w:rsid w:val="00C13B98"/>
    <w:rsid w:val="00C165A0"/>
    <w:rsid w:val="00C20259"/>
    <w:rsid w:val="00C2195F"/>
    <w:rsid w:val="00C22F47"/>
    <w:rsid w:val="00C23374"/>
    <w:rsid w:val="00C25ADE"/>
    <w:rsid w:val="00C2688B"/>
    <w:rsid w:val="00C269E2"/>
    <w:rsid w:val="00C27199"/>
    <w:rsid w:val="00C27EA7"/>
    <w:rsid w:val="00C30322"/>
    <w:rsid w:val="00C31723"/>
    <w:rsid w:val="00C34968"/>
    <w:rsid w:val="00C362FA"/>
    <w:rsid w:val="00C36380"/>
    <w:rsid w:val="00C36C8A"/>
    <w:rsid w:val="00C36D0A"/>
    <w:rsid w:val="00C36EC3"/>
    <w:rsid w:val="00C407A7"/>
    <w:rsid w:val="00C414AC"/>
    <w:rsid w:val="00C42EBF"/>
    <w:rsid w:val="00C446C4"/>
    <w:rsid w:val="00C44A20"/>
    <w:rsid w:val="00C44EF5"/>
    <w:rsid w:val="00C452DD"/>
    <w:rsid w:val="00C470ED"/>
    <w:rsid w:val="00C51102"/>
    <w:rsid w:val="00C5180D"/>
    <w:rsid w:val="00C51BDF"/>
    <w:rsid w:val="00C5219D"/>
    <w:rsid w:val="00C52730"/>
    <w:rsid w:val="00C538B2"/>
    <w:rsid w:val="00C539A9"/>
    <w:rsid w:val="00C5401D"/>
    <w:rsid w:val="00C54B5A"/>
    <w:rsid w:val="00C55394"/>
    <w:rsid w:val="00C57AAE"/>
    <w:rsid w:val="00C60B65"/>
    <w:rsid w:val="00C60F59"/>
    <w:rsid w:val="00C61B92"/>
    <w:rsid w:val="00C639C2"/>
    <w:rsid w:val="00C6459B"/>
    <w:rsid w:val="00C64F9F"/>
    <w:rsid w:val="00C67A3E"/>
    <w:rsid w:val="00C67CB8"/>
    <w:rsid w:val="00C705DD"/>
    <w:rsid w:val="00C7091E"/>
    <w:rsid w:val="00C70D54"/>
    <w:rsid w:val="00C70E6D"/>
    <w:rsid w:val="00C720AE"/>
    <w:rsid w:val="00C73D6E"/>
    <w:rsid w:val="00C73DB6"/>
    <w:rsid w:val="00C74A91"/>
    <w:rsid w:val="00C77F8A"/>
    <w:rsid w:val="00C8091A"/>
    <w:rsid w:val="00C80CE3"/>
    <w:rsid w:val="00C81F26"/>
    <w:rsid w:val="00C82CB3"/>
    <w:rsid w:val="00C84038"/>
    <w:rsid w:val="00C8452F"/>
    <w:rsid w:val="00C85C8B"/>
    <w:rsid w:val="00C86356"/>
    <w:rsid w:val="00C8685B"/>
    <w:rsid w:val="00C86B9C"/>
    <w:rsid w:val="00C87246"/>
    <w:rsid w:val="00C8774A"/>
    <w:rsid w:val="00C87B38"/>
    <w:rsid w:val="00C9043D"/>
    <w:rsid w:val="00C90798"/>
    <w:rsid w:val="00C91A29"/>
    <w:rsid w:val="00C93367"/>
    <w:rsid w:val="00C934B2"/>
    <w:rsid w:val="00C93500"/>
    <w:rsid w:val="00C9385F"/>
    <w:rsid w:val="00C93C63"/>
    <w:rsid w:val="00C9422A"/>
    <w:rsid w:val="00C94CCA"/>
    <w:rsid w:val="00C95449"/>
    <w:rsid w:val="00CA1166"/>
    <w:rsid w:val="00CA1C54"/>
    <w:rsid w:val="00CA1C5A"/>
    <w:rsid w:val="00CA1E3D"/>
    <w:rsid w:val="00CA7FBE"/>
    <w:rsid w:val="00CB011B"/>
    <w:rsid w:val="00CB0476"/>
    <w:rsid w:val="00CB0D85"/>
    <w:rsid w:val="00CB162C"/>
    <w:rsid w:val="00CB1DCE"/>
    <w:rsid w:val="00CB2CB4"/>
    <w:rsid w:val="00CB2FB9"/>
    <w:rsid w:val="00CB461D"/>
    <w:rsid w:val="00CB61E8"/>
    <w:rsid w:val="00CB675A"/>
    <w:rsid w:val="00CB7CFF"/>
    <w:rsid w:val="00CC01F0"/>
    <w:rsid w:val="00CC087A"/>
    <w:rsid w:val="00CC34D2"/>
    <w:rsid w:val="00CC3E32"/>
    <w:rsid w:val="00CC440D"/>
    <w:rsid w:val="00CC51DD"/>
    <w:rsid w:val="00CC59A4"/>
    <w:rsid w:val="00CC6AF9"/>
    <w:rsid w:val="00CC7C60"/>
    <w:rsid w:val="00CC7D2B"/>
    <w:rsid w:val="00CD07F3"/>
    <w:rsid w:val="00CD1020"/>
    <w:rsid w:val="00CD316D"/>
    <w:rsid w:val="00CD3226"/>
    <w:rsid w:val="00CD3CBC"/>
    <w:rsid w:val="00CD4ED8"/>
    <w:rsid w:val="00CD630E"/>
    <w:rsid w:val="00CD6C23"/>
    <w:rsid w:val="00CD6F67"/>
    <w:rsid w:val="00CD6FDA"/>
    <w:rsid w:val="00CE0073"/>
    <w:rsid w:val="00CE1B1D"/>
    <w:rsid w:val="00CE3D5B"/>
    <w:rsid w:val="00CE527C"/>
    <w:rsid w:val="00CE61E4"/>
    <w:rsid w:val="00CF293D"/>
    <w:rsid w:val="00CF309B"/>
    <w:rsid w:val="00CF5507"/>
    <w:rsid w:val="00D01065"/>
    <w:rsid w:val="00D010F8"/>
    <w:rsid w:val="00D02A6C"/>
    <w:rsid w:val="00D030A8"/>
    <w:rsid w:val="00D03F9C"/>
    <w:rsid w:val="00D041AF"/>
    <w:rsid w:val="00D05194"/>
    <w:rsid w:val="00D05FA2"/>
    <w:rsid w:val="00D06448"/>
    <w:rsid w:val="00D1046E"/>
    <w:rsid w:val="00D1098A"/>
    <w:rsid w:val="00D10AFA"/>
    <w:rsid w:val="00D10C8D"/>
    <w:rsid w:val="00D117F5"/>
    <w:rsid w:val="00D126B6"/>
    <w:rsid w:val="00D12C30"/>
    <w:rsid w:val="00D153A3"/>
    <w:rsid w:val="00D15905"/>
    <w:rsid w:val="00D16FC4"/>
    <w:rsid w:val="00D17307"/>
    <w:rsid w:val="00D2018E"/>
    <w:rsid w:val="00D2099C"/>
    <w:rsid w:val="00D209FA"/>
    <w:rsid w:val="00D21B5A"/>
    <w:rsid w:val="00D22B6B"/>
    <w:rsid w:val="00D23435"/>
    <w:rsid w:val="00D23EE5"/>
    <w:rsid w:val="00D2534D"/>
    <w:rsid w:val="00D2555B"/>
    <w:rsid w:val="00D26E2D"/>
    <w:rsid w:val="00D26E9D"/>
    <w:rsid w:val="00D304A1"/>
    <w:rsid w:val="00D32C5E"/>
    <w:rsid w:val="00D32C8E"/>
    <w:rsid w:val="00D3373E"/>
    <w:rsid w:val="00D34C73"/>
    <w:rsid w:val="00D34FA7"/>
    <w:rsid w:val="00D36A79"/>
    <w:rsid w:val="00D40783"/>
    <w:rsid w:val="00D41FBB"/>
    <w:rsid w:val="00D4244E"/>
    <w:rsid w:val="00D42514"/>
    <w:rsid w:val="00D429A9"/>
    <w:rsid w:val="00D445A3"/>
    <w:rsid w:val="00D44897"/>
    <w:rsid w:val="00D449F2"/>
    <w:rsid w:val="00D47D66"/>
    <w:rsid w:val="00D50FE8"/>
    <w:rsid w:val="00D52DC3"/>
    <w:rsid w:val="00D54B9B"/>
    <w:rsid w:val="00D54C25"/>
    <w:rsid w:val="00D55467"/>
    <w:rsid w:val="00D565B4"/>
    <w:rsid w:val="00D5781A"/>
    <w:rsid w:val="00D638CB"/>
    <w:rsid w:val="00D643DD"/>
    <w:rsid w:val="00D6580B"/>
    <w:rsid w:val="00D7094D"/>
    <w:rsid w:val="00D71660"/>
    <w:rsid w:val="00D718B9"/>
    <w:rsid w:val="00D72693"/>
    <w:rsid w:val="00D736B8"/>
    <w:rsid w:val="00D73C1B"/>
    <w:rsid w:val="00D7499B"/>
    <w:rsid w:val="00D7579D"/>
    <w:rsid w:val="00D76274"/>
    <w:rsid w:val="00D765C4"/>
    <w:rsid w:val="00D770DB"/>
    <w:rsid w:val="00D81272"/>
    <w:rsid w:val="00D812EC"/>
    <w:rsid w:val="00D81BA5"/>
    <w:rsid w:val="00D82AA6"/>
    <w:rsid w:val="00D82F6D"/>
    <w:rsid w:val="00D83AB2"/>
    <w:rsid w:val="00D8459A"/>
    <w:rsid w:val="00D8626A"/>
    <w:rsid w:val="00D86A6E"/>
    <w:rsid w:val="00D87C31"/>
    <w:rsid w:val="00D91FFA"/>
    <w:rsid w:val="00D92517"/>
    <w:rsid w:val="00D929CB"/>
    <w:rsid w:val="00D92A79"/>
    <w:rsid w:val="00D93AEC"/>
    <w:rsid w:val="00D93CF6"/>
    <w:rsid w:val="00D93D8A"/>
    <w:rsid w:val="00D9527A"/>
    <w:rsid w:val="00D95700"/>
    <w:rsid w:val="00D97D3D"/>
    <w:rsid w:val="00DA0673"/>
    <w:rsid w:val="00DA1739"/>
    <w:rsid w:val="00DA3A3C"/>
    <w:rsid w:val="00DA4B86"/>
    <w:rsid w:val="00DA5C01"/>
    <w:rsid w:val="00DA61AE"/>
    <w:rsid w:val="00DA6249"/>
    <w:rsid w:val="00DA6EB1"/>
    <w:rsid w:val="00DA7788"/>
    <w:rsid w:val="00DB1174"/>
    <w:rsid w:val="00DB50DF"/>
    <w:rsid w:val="00DB5280"/>
    <w:rsid w:val="00DB6488"/>
    <w:rsid w:val="00DB6622"/>
    <w:rsid w:val="00DB7F07"/>
    <w:rsid w:val="00DC0129"/>
    <w:rsid w:val="00DC33C7"/>
    <w:rsid w:val="00DC37A6"/>
    <w:rsid w:val="00DC6049"/>
    <w:rsid w:val="00DC6BD2"/>
    <w:rsid w:val="00DC7644"/>
    <w:rsid w:val="00DD0D00"/>
    <w:rsid w:val="00DD1FB2"/>
    <w:rsid w:val="00DD3A9A"/>
    <w:rsid w:val="00DD5319"/>
    <w:rsid w:val="00DD5CAC"/>
    <w:rsid w:val="00DD5E7B"/>
    <w:rsid w:val="00DD6009"/>
    <w:rsid w:val="00DD666B"/>
    <w:rsid w:val="00DD6885"/>
    <w:rsid w:val="00DE1579"/>
    <w:rsid w:val="00DE2499"/>
    <w:rsid w:val="00DE24C0"/>
    <w:rsid w:val="00DE3DD5"/>
    <w:rsid w:val="00DE4605"/>
    <w:rsid w:val="00DE4A63"/>
    <w:rsid w:val="00DE79EA"/>
    <w:rsid w:val="00DF2153"/>
    <w:rsid w:val="00DF21F5"/>
    <w:rsid w:val="00DF22CD"/>
    <w:rsid w:val="00DF2D22"/>
    <w:rsid w:val="00DF35C0"/>
    <w:rsid w:val="00DF5F08"/>
    <w:rsid w:val="00DF6DC1"/>
    <w:rsid w:val="00E01FAE"/>
    <w:rsid w:val="00E04B81"/>
    <w:rsid w:val="00E04E50"/>
    <w:rsid w:val="00E12F49"/>
    <w:rsid w:val="00E13019"/>
    <w:rsid w:val="00E147E9"/>
    <w:rsid w:val="00E16C70"/>
    <w:rsid w:val="00E1734D"/>
    <w:rsid w:val="00E17486"/>
    <w:rsid w:val="00E175B0"/>
    <w:rsid w:val="00E201CB"/>
    <w:rsid w:val="00E20202"/>
    <w:rsid w:val="00E21F98"/>
    <w:rsid w:val="00E23E93"/>
    <w:rsid w:val="00E2643C"/>
    <w:rsid w:val="00E266C4"/>
    <w:rsid w:val="00E31019"/>
    <w:rsid w:val="00E32D00"/>
    <w:rsid w:val="00E36C92"/>
    <w:rsid w:val="00E41D8E"/>
    <w:rsid w:val="00E433EA"/>
    <w:rsid w:val="00E4679E"/>
    <w:rsid w:val="00E46D8F"/>
    <w:rsid w:val="00E46DAA"/>
    <w:rsid w:val="00E46ED2"/>
    <w:rsid w:val="00E47BE0"/>
    <w:rsid w:val="00E5055B"/>
    <w:rsid w:val="00E50D09"/>
    <w:rsid w:val="00E5392F"/>
    <w:rsid w:val="00E55034"/>
    <w:rsid w:val="00E55D55"/>
    <w:rsid w:val="00E567D0"/>
    <w:rsid w:val="00E56F7A"/>
    <w:rsid w:val="00E576B2"/>
    <w:rsid w:val="00E601F6"/>
    <w:rsid w:val="00E603D5"/>
    <w:rsid w:val="00E62ADF"/>
    <w:rsid w:val="00E63861"/>
    <w:rsid w:val="00E64D61"/>
    <w:rsid w:val="00E655C5"/>
    <w:rsid w:val="00E65CB4"/>
    <w:rsid w:val="00E663D0"/>
    <w:rsid w:val="00E6741C"/>
    <w:rsid w:val="00E679B0"/>
    <w:rsid w:val="00E70CCE"/>
    <w:rsid w:val="00E71D6E"/>
    <w:rsid w:val="00E753BE"/>
    <w:rsid w:val="00E75514"/>
    <w:rsid w:val="00E80A0E"/>
    <w:rsid w:val="00E81CDD"/>
    <w:rsid w:val="00E820C1"/>
    <w:rsid w:val="00E8318D"/>
    <w:rsid w:val="00E83281"/>
    <w:rsid w:val="00E84D18"/>
    <w:rsid w:val="00E871D6"/>
    <w:rsid w:val="00E90FAE"/>
    <w:rsid w:val="00E9133B"/>
    <w:rsid w:val="00E93BAF"/>
    <w:rsid w:val="00E956A8"/>
    <w:rsid w:val="00E95DFA"/>
    <w:rsid w:val="00E978C5"/>
    <w:rsid w:val="00EA08E1"/>
    <w:rsid w:val="00EA1CCE"/>
    <w:rsid w:val="00EA44EB"/>
    <w:rsid w:val="00EA56F2"/>
    <w:rsid w:val="00EA57AA"/>
    <w:rsid w:val="00EA5CF7"/>
    <w:rsid w:val="00EA7673"/>
    <w:rsid w:val="00EA7DCE"/>
    <w:rsid w:val="00EB1087"/>
    <w:rsid w:val="00EB4255"/>
    <w:rsid w:val="00EB5279"/>
    <w:rsid w:val="00EB75A9"/>
    <w:rsid w:val="00EC2BE0"/>
    <w:rsid w:val="00EC3A58"/>
    <w:rsid w:val="00EC4A50"/>
    <w:rsid w:val="00EC4B0B"/>
    <w:rsid w:val="00EC5CCE"/>
    <w:rsid w:val="00EC7FB9"/>
    <w:rsid w:val="00EC7FF8"/>
    <w:rsid w:val="00ED03AE"/>
    <w:rsid w:val="00ED11F6"/>
    <w:rsid w:val="00ED18F1"/>
    <w:rsid w:val="00ED32CE"/>
    <w:rsid w:val="00ED3EDF"/>
    <w:rsid w:val="00ED4DF1"/>
    <w:rsid w:val="00ED5143"/>
    <w:rsid w:val="00ED51C6"/>
    <w:rsid w:val="00ED5CD5"/>
    <w:rsid w:val="00ED6027"/>
    <w:rsid w:val="00EE0FB5"/>
    <w:rsid w:val="00EE14E4"/>
    <w:rsid w:val="00EE14EF"/>
    <w:rsid w:val="00EE166C"/>
    <w:rsid w:val="00EE1F4E"/>
    <w:rsid w:val="00EE2857"/>
    <w:rsid w:val="00EE6D01"/>
    <w:rsid w:val="00EF1106"/>
    <w:rsid w:val="00EF4580"/>
    <w:rsid w:val="00EF6567"/>
    <w:rsid w:val="00F00AFC"/>
    <w:rsid w:val="00F01963"/>
    <w:rsid w:val="00F0317A"/>
    <w:rsid w:val="00F03E6F"/>
    <w:rsid w:val="00F04219"/>
    <w:rsid w:val="00F04DDA"/>
    <w:rsid w:val="00F04DE3"/>
    <w:rsid w:val="00F04E43"/>
    <w:rsid w:val="00F07463"/>
    <w:rsid w:val="00F11598"/>
    <w:rsid w:val="00F11784"/>
    <w:rsid w:val="00F121D8"/>
    <w:rsid w:val="00F1343B"/>
    <w:rsid w:val="00F16653"/>
    <w:rsid w:val="00F17188"/>
    <w:rsid w:val="00F17CBE"/>
    <w:rsid w:val="00F201E0"/>
    <w:rsid w:val="00F20BD1"/>
    <w:rsid w:val="00F2113C"/>
    <w:rsid w:val="00F21D43"/>
    <w:rsid w:val="00F22982"/>
    <w:rsid w:val="00F23B85"/>
    <w:rsid w:val="00F27467"/>
    <w:rsid w:val="00F27F56"/>
    <w:rsid w:val="00F32854"/>
    <w:rsid w:val="00F33D12"/>
    <w:rsid w:val="00F35175"/>
    <w:rsid w:val="00F37A9C"/>
    <w:rsid w:val="00F411F5"/>
    <w:rsid w:val="00F4296B"/>
    <w:rsid w:val="00F432F8"/>
    <w:rsid w:val="00F45076"/>
    <w:rsid w:val="00F46551"/>
    <w:rsid w:val="00F51C95"/>
    <w:rsid w:val="00F524EB"/>
    <w:rsid w:val="00F53BA2"/>
    <w:rsid w:val="00F5580D"/>
    <w:rsid w:val="00F561BF"/>
    <w:rsid w:val="00F5642C"/>
    <w:rsid w:val="00F5686F"/>
    <w:rsid w:val="00F56B15"/>
    <w:rsid w:val="00F571A1"/>
    <w:rsid w:val="00F5796A"/>
    <w:rsid w:val="00F61176"/>
    <w:rsid w:val="00F61873"/>
    <w:rsid w:val="00F62EDE"/>
    <w:rsid w:val="00F6337A"/>
    <w:rsid w:val="00F63A4B"/>
    <w:rsid w:val="00F63B19"/>
    <w:rsid w:val="00F644C6"/>
    <w:rsid w:val="00F65FBF"/>
    <w:rsid w:val="00F664E3"/>
    <w:rsid w:val="00F666CF"/>
    <w:rsid w:val="00F67330"/>
    <w:rsid w:val="00F72B5A"/>
    <w:rsid w:val="00F730B0"/>
    <w:rsid w:val="00F73614"/>
    <w:rsid w:val="00F74D6C"/>
    <w:rsid w:val="00F74F0D"/>
    <w:rsid w:val="00F7744E"/>
    <w:rsid w:val="00F7765C"/>
    <w:rsid w:val="00F77A7C"/>
    <w:rsid w:val="00F80FE6"/>
    <w:rsid w:val="00F8270D"/>
    <w:rsid w:val="00F8385D"/>
    <w:rsid w:val="00F83C02"/>
    <w:rsid w:val="00F845D8"/>
    <w:rsid w:val="00F8505E"/>
    <w:rsid w:val="00F8637F"/>
    <w:rsid w:val="00F87390"/>
    <w:rsid w:val="00F87A1C"/>
    <w:rsid w:val="00F90243"/>
    <w:rsid w:val="00F93A8F"/>
    <w:rsid w:val="00F93EE3"/>
    <w:rsid w:val="00F94643"/>
    <w:rsid w:val="00F95F4A"/>
    <w:rsid w:val="00F96BA0"/>
    <w:rsid w:val="00F97A35"/>
    <w:rsid w:val="00FA03AE"/>
    <w:rsid w:val="00FA0469"/>
    <w:rsid w:val="00FA0BC2"/>
    <w:rsid w:val="00FA0C27"/>
    <w:rsid w:val="00FA1E4F"/>
    <w:rsid w:val="00FA24D4"/>
    <w:rsid w:val="00FA2DF6"/>
    <w:rsid w:val="00FA6021"/>
    <w:rsid w:val="00FA7074"/>
    <w:rsid w:val="00FA736E"/>
    <w:rsid w:val="00FA78FE"/>
    <w:rsid w:val="00FB1C77"/>
    <w:rsid w:val="00FB47EB"/>
    <w:rsid w:val="00FB4B4E"/>
    <w:rsid w:val="00FB50F1"/>
    <w:rsid w:val="00FB5504"/>
    <w:rsid w:val="00FC06B4"/>
    <w:rsid w:val="00FC07DF"/>
    <w:rsid w:val="00FC0981"/>
    <w:rsid w:val="00FC2809"/>
    <w:rsid w:val="00FC6A80"/>
    <w:rsid w:val="00FD17E5"/>
    <w:rsid w:val="00FD20BB"/>
    <w:rsid w:val="00FD2291"/>
    <w:rsid w:val="00FD399B"/>
    <w:rsid w:val="00FD399F"/>
    <w:rsid w:val="00FD4029"/>
    <w:rsid w:val="00FD4F24"/>
    <w:rsid w:val="00FD5303"/>
    <w:rsid w:val="00FD5798"/>
    <w:rsid w:val="00FD69BD"/>
    <w:rsid w:val="00FD75A0"/>
    <w:rsid w:val="00FE136B"/>
    <w:rsid w:val="00FE2D68"/>
    <w:rsid w:val="00FE348E"/>
    <w:rsid w:val="00FE36AF"/>
    <w:rsid w:val="00FE38FA"/>
    <w:rsid w:val="00FE3A65"/>
    <w:rsid w:val="00FE4B6B"/>
    <w:rsid w:val="00FE7E12"/>
    <w:rsid w:val="00FF4108"/>
    <w:rsid w:val="00FF41DE"/>
    <w:rsid w:val="00FF46BA"/>
    <w:rsid w:val="00FF4E27"/>
    <w:rsid w:val="00FF50CD"/>
    <w:rsid w:val="00FF553C"/>
    <w:rsid w:val="00FF629F"/>
    <w:rsid w:val="00FF6EBC"/>
    <w:rsid w:val="00FF7065"/>
    <w:rsid w:val="00FF7D2B"/>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E4099"/>
  <w15:docId w15:val="{E2B5DB1A-5D8A-41A6-A277-3CB60921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B6"/>
    <w:rPr>
      <w:lang w:eastAsia="es-ES"/>
    </w:rPr>
  </w:style>
  <w:style w:type="paragraph" w:styleId="Ttulo1">
    <w:name w:val="heading 1"/>
    <w:basedOn w:val="Normal"/>
    <w:next w:val="Normal"/>
    <w:qFormat/>
    <w:rsid w:val="00A250B6"/>
    <w:pPr>
      <w:keepNext/>
      <w:ind w:left="360"/>
      <w:jc w:val="both"/>
      <w:outlineLvl w:val="0"/>
    </w:pPr>
    <w:rPr>
      <w:sz w:val="24"/>
      <w:lang w:val="es-ES_tradnl"/>
    </w:rPr>
  </w:style>
  <w:style w:type="paragraph" w:styleId="Ttulo2">
    <w:name w:val="heading 2"/>
    <w:basedOn w:val="Normal"/>
    <w:next w:val="Normal"/>
    <w:link w:val="Ttulo2Car"/>
    <w:qFormat/>
    <w:rsid w:val="00A250B6"/>
    <w:pPr>
      <w:keepNext/>
      <w:jc w:val="right"/>
      <w:outlineLvl w:val="1"/>
    </w:pPr>
    <w:rPr>
      <w:rFonts w:ascii="Arial" w:hAnsi="Arial"/>
      <w:b/>
      <w:snapToGrid w:val="0"/>
      <w:color w:val="000000"/>
      <w:lang w:val="es-ES"/>
    </w:rPr>
  </w:style>
  <w:style w:type="paragraph" w:styleId="Ttulo3">
    <w:name w:val="heading 3"/>
    <w:basedOn w:val="Normal"/>
    <w:next w:val="Normal"/>
    <w:qFormat/>
    <w:rsid w:val="00A250B6"/>
    <w:pPr>
      <w:keepNext/>
      <w:jc w:val="both"/>
      <w:outlineLvl w:val="2"/>
    </w:pPr>
    <w:rPr>
      <w:rFonts w:ascii="Arial" w:hAnsi="Arial"/>
      <w:b/>
      <w:snapToGrid w:val="0"/>
      <w:color w:val="000000"/>
      <w:lang w:val="es-ES"/>
    </w:rPr>
  </w:style>
  <w:style w:type="paragraph" w:styleId="Ttulo4">
    <w:name w:val="heading 4"/>
    <w:basedOn w:val="Normal"/>
    <w:next w:val="Normal"/>
    <w:qFormat/>
    <w:rsid w:val="00A250B6"/>
    <w:pPr>
      <w:keepNext/>
      <w:jc w:val="center"/>
      <w:outlineLvl w:val="3"/>
    </w:pPr>
    <w:rPr>
      <w:b/>
      <w:sz w:val="24"/>
      <w:lang w:val="es-ES"/>
    </w:rPr>
  </w:style>
  <w:style w:type="paragraph" w:styleId="Ttulo5">
    <w:name w:val="heading 5"/>
    <w:basedOn w:val="Normal"/>
    <w:next w:val="Normal"/>
    <w:link w:val="Ttulo5Car"/>
    <w:qFormat/>
    <w:rsid w:val="00A250B6"/>
    <w:pPr>
      <w:keepNext/>
      <w:jc w:val="center"/>
      <w:outlineLvl w:val="4"/>
    </w:pPr>
    <w:rPr>
      <w:rFonts w:ascii="Arial" w:hAnsi="Arial"/>
      <w:b/>
      <w:snapToGrid w:val="0"/>
      <w:color w:val="000000"/>
      <w:lang w:val="es-ES"/>
    </w:rPr>
  </w:style>
  <w:style w:type="paragraph" w:styleId="Ttulo6">
    <w:name w:val="heading 6"/>
    <w:basedOn w:val="Normal"/>
    <w:next w:val="Normal"/>
    <w:qFormat/>
    <w:rsid w:val="00A250B6"/>
    <w:pPr>
      <w:keepNext/>
      <w:ind w:left="-70"/>
      <w:jc w:val="center"/>
      <w:outlineLvl w:val="5"/>
    </w:pPr>
    <w:rPr>
      <w:b/>
      <w:snapToGrid w:val="0"/>
      <w:color w:val="000000"/>
      <w:sz w:val="24"/>
      <w:lang w:val="es-ES"/>
    </w:rPr>
  </w:style>
  <w:style w:type="paragraph" w:styleId="Ttulo7">
    <w:name w:val="heading 7"/>
    <w:basedOn w:val="Normal"/>
    <w:next w:val="Normal"/>
    <w:qFormat/>
    <w:rsid w:val="00A250B6"/>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qFormat/>
    <w:rsid w:val="00A250B6"/>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qFormat/>
    <w:rsid w:val="00A250B6"/>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250B6"/>
    <w:pPr>
      <w:tabs>
        <w:tab w:val="center" w:pos="4419"/>
        <w:tab w:val="right" w:pos="8838"/>
      </w:tabs>
      <w:jc w:val="right"/>
    </w:pPr>
    <w:rPr>
      <w:sz w:val="24"/>
      <w:lang w:val="es-ES"/>
    </w:rPr>
  </w:style>
  <w:style w:type="paragraph" w:styleId="Textoindependiente">
    <w:name w:val="Body Text"/>
    <w:basedOn w:val="Normal"/>
    <w:semiHidden/>
    <w:rsid w:val="00A250B6"/>
    <w:pPr>
      <w:spacing w:after="220" w:line="288" w:lineRule="atLeast"/>
      <w:jc w:val="both"/>
    </w:pPr>
    <w:rPr>
      <w:lang w:val="en-US"/>
    </w:rPr>
  </w:style>
  <w:style w:type="character" w:styleId="Hipervnculo">
    <w:name w:val="Hyperlink"/>
    <w:uiPriority w:val="99"/>
    <w:rsid w:val="00A250B6"/>
    <w:rPr>
      <w:color w:val="0000FF"/>
      <w:u w:val="single"/>
    </w:rPr>
  </w:style>
  <w:style w:type="paragraph" w:styleId="Sangradetextonormal">
    <w:name w:val="Body Text Indent"/>
    <w:basedOn w:val="Normal"/>
    <w:semiHidden/>
    <w:rsid w:val="00A250B6"/>
    <w:pPr>
      <w:ind w:firstLine="720"/>
      <w:jc w:val="both"/>
    </w:pPr>
    <w:rPr>
      <w:snapToGrid w:val="0"/>
      <w:color w:val="000000"/>
      <w:sz w:val="24"/>
      <w:lang w:val="es-ES"/>
    </w:rPr>
  </w:style>
  <w:style w:type="paragraph" w:styleId="Textoindependiente3">
    <w:name w:val="Body Text 3"/>
    <w:basedOn w:val="Normal"/>
    <w:semiHidden/>
    <w:rsid w:val="00A250B6"/>
    <w:pPr>
      <w:jc w:val="both"/>
    </w:pPr>
    <w:rPr>
      <w:rFonts w:ascii="Arial" w:hAnsi="Arial"/>
      <w:lang w:val="es-ES"/>
    </w:rPr>
  </w:style>
  <w:style w:type="paragraph" w:styleId="Sangra2detindependiente">
    <w:name w:val="Body Text Indent 2"/>
    <w:basedOn w:val="Normal"/>
    <w:semiHidden/>
    <w:rsid w:val="00A250B6"/>
    <w:pPr>
      <w:ind w:firstLine="708"/>
      <w:jc w:val="both"/>
    </w:pPr>
    <w:rPr>
      <w:snapToGrid w:val="0"/>
      <w:color w:val="000000"/>
      <w:sz w:val="24"/>
      <w:lang w:val="es-ES"/>
    </w:rPr>
  </w:style>
  <w:style w:type="paragraph" w:styleId="Textoindependiente2">
    <w:name w:val="Body Text 2"/>
    <w:basedOn w:val="Normal"/>
    <w:semiHidden/>
    <w:rsid w:val="00A250B6"/>
    <w:rPr>
      <w:rFonts w:ascii="Arial" w:hAnsi="Arial"/>
      <w:b/>
      <w:snapToGrid w:val="0"/>
      <w:color w:val="000000"/>
      <w:sz w:val="24"/>
      <w:lang w:val="es-ES"/>
    </w:rPr>
  </w:style>
  <w:style w:type="paragraph" w:styleId="Textodebloque">
    <w:name w:val="Block Text"/>
    <w:basedOn w:val="Normal"/>
    <w:semiHidden/>
    <w:rsid w:val="00A250B6"/>
    <w:pPr>
      <w:ind w:left="540" w:right="680" w:hanging="540"/>
    </w:pPr>
    <w:rPr>
      <w:rFonts w:ascii="Arial" w:hAnsi="Arial"/>
      <w:snapToGrid w:val="0"/>
      <w:color w:val="000000"/>
      <w:sz w:val="18"/>
      <w:lang w:val="es-ES"/>
    </w:rPr>
  </w:style>
  <w:style w:type="paragraph" w:styleId="Sangra3detindependiente">
    <w:name w:val="Body Text Indent 3"/>
    <w:basedOn w:val="Normal"/>
    <w:semiHidden/>
    <w:rsid w:val="00A250B6"/>
    <w:pPr>
      <w:spacing w:line="360" w:lineRule="auto"/>
      <w:ind w:firstLine="708"/>
      <w:jc w:val="both"/>
    </w:pPr>
    <w:rPr>
      <w:sz w:val="24"/>
      <w:lang w:val="es-ES_tradnl"/>
    </w:rPr>
  </w:style>
  <w:style w:type="paragraph" w:styleId="Textosinformato">
    <w:name w:val="Plain Text"/>
    <w:basedOn w:val="Normal"/>
    <w:semiHidden/>
    <w:rsid w:val="00A250B6"/>
    <w:pPr>
      <w:jc w:val="right"/>
    </w:pPr>
    <w:rPr>
      <w:rFonts w:ascii="Courier New" w:hAnsi="Courier New"/>
      <w:lang w:val="es-ES"/>
    </w:rPr>
  </w:style>
  <w:style w:type="character" w:styleId="Nmerodepgina">
    <w:name w:val="page number"/>
    <w:basedOn w:val="Fuentedeprrafopredeter"/>
    <w:semiHidden/>
    <w:rsid w:val="00A250B6"/>
  </w:style>
  <w:style w:type="paragraph" w:styleId="Piedepgina">
    <w:name w:val="footer"/>
    <w:basedOn w:val="Normal"/>
    <w:link w:val="PiedepginaCar"/>
    <w:uiPriority w:val="99"/>
    <w:rsid w:val="00A250B6"/>
    <w:pPr>
      <w:tabs>
        <w:tab w:val="center" w:pos="4419"/>
        <w:tab w:val="right" w:pos="8838"/>
      </w:tabs>
      <w:jc w:val="right"/>
    </w:pPr>
    <w:rPr>
      <w:sz w:val="24"/>
      <w:lang w:val="es-ES"/>
    </w:rPr>
  </w:style>
  <w:style w:type="paragraph" w:styleId="Ttulo">
    <w:name w:val="Title"/>
    <w:basedOn w:val="Normal"/>
    <w:qFormat/>
    <w:rsid w:val="00A250B6"/>
    <w:pPr>
      <w:jc w:val="center"/>
    </w:pPr>
    <w:rPr>
      <w:rFonts w:ascii="Calligrapher" w:hAnsi="Calligrapher"/>
      <w:b/>
      <w:sz w:val="72"/>
      <w:u w:val="single"/>
      <w:lang w:val="es-ES"/>
    </w:rPr>
  </w:style>
  <w:style w:type="paragraph" w:customStyle="1" w:styleId="Einrckung1">
    <w:name w:val="Einrückung 1"/>
    <w:basedOn w:val="Normal"/>
    <w:rsid w:val="00A250B6"/>
    <w:pPr>
      <w:spacing w:line="360" w:lineRule="atLeast"/>
      <w:ind w:left="851" w:hanging="851"/>
      <w:jc w:val="both"/>
    </w:pPr>
    <w:rPr>
      <w:rFonts w:ascii="Arial" w:hAnsi="Arial"/>
      <w:sz w:val="24"/>
      <w:lang w:val="de-DE"/>
    </w:rPr>
  </w:style>
  <w:style w:type="character" w:styleId="Refdenotaalpie">
    <w:name w:val="footnote reference"/>
    <w:semiHidden/>
    <w:rsid w:val="00A250B6"/>
    <w:rPr>
      <w:vertAlign w:val="superscript"/>
    </w:rPr>
  </w:style>
  <w:style w:type="paragraph" w:styleId="Textonotapie">
    <w:name w:val="footnote text"/>
    <w:basedOn w:val="Normal"/>
    <w:semiHidden/>
    <w:rsid w:val="00A250B6"/>
    <w:rPr>
      <w:snapToGrid w:val="0"/>
      <w:lang w:val="en-US" w:eastAsia="en-US"/>
    </w:rPr>
  </w:style>
  <w:style w:type="paragraph" w:styleId="NormalWeb">
    <w:name w:val="Normal (Web)"/>
    <w:basedOn w:val="Normal"/>
    <w:uiPriority w:val="99"/>
    <w:rsid w:val="00A250B6"/>
    <w:pPr>
      <w:spacing w:before="100" w:beforeAutospacing="1" w:after="100" w:afterAutospacing="1"/>
    </w:pPr>
    <w:rPr>
      <w:color w:val="000000"/>
      <w:sz w:val="24"/>
      <w:szCs w:val="24"/>
      <w:lang w:val="es-ES"/>
    </w:rPr>
  </w:style>
  <w:style w:type="paragraph" w:styleId="Subttulo">
    <w:name w:val="Subtitle"/>
    <w:basedOn w:val="Normal"/>
    <w:qFormat/>
    <w:rsid w:val="00A2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09"/>
      <w:jc w:val="both"/>
    </w:pPr>
    <w:rPr>
      <w:b/>
      <w:sz w:val="26"/>
      <w:lang w:val="es-ES_tradnl"/>
    </w:rPr>
  </w:style>
  <w:style w:type="paragraph" w:customStyle="1" w:styleId="xl24">
    <w:name w:val="xl24"/>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A250B6"/>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A250B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A250B6"/>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A250B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A250B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A250B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A250B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A250B6"/>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A250B6"/>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A250B6"/>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A250B6"/>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A250B6"/>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A250B6"/>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A250B6"/>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A250B6"/>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A250B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A250B6"/>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A250B6"/>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A250B6"/>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A250B6"/>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A250B6"/>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A250B6"/>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character" w:customStyle="1" w:styleId="EmailStyle59">
    <w:name w:val="EmailStyle59"/>
    <w:semiHidden/>
    <w:rsid w:val="00A250B6"/>
    <w:rPr>
      <w:rFonts w:ascii="Arial" w:hAnsi="Arial" w:cs="Arial"/>
      <w:color w:val="000080"/>
      <w:sz w:val="20"/>
      <w:szCs w:val="20"/>
    </w:rPr>
  </w:style>
  <w:style w:type="paragraph" w:styleId="Prrafodelista">
    <w:name w:val="List Paragraph"/>
    <w:basedOn w:val="Normal"/>
    <w:link w:val="PrrafodelistaCar"/>
    <w:uiPriority w:val="34"/>
    <w:qFormat/>
    <w:rsid w:val="006B3075"/>
    <w:pPr>
      <w:spacing w:after="200" w:line="276" w:lineRule="auto"/>
      <w:ind w:left="720"/>
    </w:pPr>
    <w:rPr>
      <w:rFonts w:ascii="Calibri" w:eastAsia="Times New Roman" w:hAnsi="Calibri"/>
      <w:sz w:val="22"/>
      <w:szCs w:val="22"/>
      <w:lang w:eastAsia="en-US"/>
    </w:rPr>
  </w:style>
  <w:style w:type="paragraph" w:customStyle="1" w:styleId="corriente">
    <w:name w:val="corriente"/>
    <w:basedOn w:val="Textoindependiente"/>
    <w:autoRedefine/>
    <w:rsid w:val="00A250B6"/>
    <w:pPr>
      <w:spacing w:after="0" w:line="240" w:lineRule="auto"/>
    </w:pPr>
    <w:rPr>
      <w:rFonts w:ascii="Arial" w:hAnsi="Arial" w:cs="Arial"/>
      <w:b/>
      <w:sz w:val="22"/>
      <w:szCs w:val="22"/>
      <w:lang w:val="es-CR"/>
    </w:rPr>
  </w:style>
  <w:style w:type="character" w:styleId="Hipervnculovisitado">
    <w:name w:val="FollowedHyperlink"/>
    <w:uiPriority w:val="99"/>
    <w:semiHidden/>
    <w:rsid w:val="00A250B6"/>
    <w:rPr>
      <w:color w:val="800080"/>
      <w:u w:val="single"/>
    </w:rPr>
  </w:style>
  <w:style w:type="paragraph" w:styleId="Descripcin">
    <w:name w:val="caption"/>
    <w:basedOn w:val="Normal"/>
    <w:next w:val="Normal"/>
    <w:qFormat/>
    <w:rsid w:val="00A250B6"/>
    <w:pPr>
      <w:jc w:val="center"/>
    </w:pPr>
    <w:rPr>
      <w:rFonts w:ascii="Arial" w:eastAsia="Times New Roman" w:hAnsi="Arial"/>
      <w:b/>
      <w:color w:val="800000"/>
      <w:sz w:val="24"/>
      <w:szCs w:val="24"/>
      <w:lang w:val="es-ES"/>
    </w:rPr>
  </w:style>
  <w:style w:type="paragraph" w:styleId="Textodeglobo">
    <w:name w:val="Balloon Text"/>
    <w:basedOn w:val="Normal"/>
    <w:semiHidden/>
    <w:rsid w:val="00A250B6"/>
    <w:rPr>
      <w:rFonts w:ascii="Tahoma" w:hAnsi="Tahoma" w:cs="Tahoma"/>
      <w:sz w:val="16"/>
      <w:szCs w:val="16"/>
    </w:rPr>
  </w:style>
  <w:style w:type="paragraph" w:styleId="TDC2">
    <w:name w:val="toc 2"/>
    <w:basedOn w:val="Normal"/>
    <w:next w:val="Normal"/>
    <w:autoRedefine/>
    <w:uiPriority w:val="39"/>
    <w:rsid w:val="00A250B6"/>
    <w:pPr>
      <w:tabs>
        <w:tab w:val="right" w:leader="dot" w:pos="8494"/>
      </w:tabs>
      <w:ind w:left="200"/>
    </w:pPr>
    <w:rPr>
      <w:rFonts w:ascii="Arial" w:hAnsi="Arial" w:cs="Arial"/>
      <w:bCs/>
      <w:noProof/>
      <w:sz w:val="22"/>
      <w:szCs w:val="22"/>
    </w:rPr>
  </w:style>
  <w:style w:type="paragraph" w:styleId="TDC1">
    <w:name w:val="toc 1"/>
    <w:basedOn w:val="Normal"/>
    <w:next w:val="Normal"/>
    <w:autoRedefine/>
    <w:uiPriority w:val="39"/>
    <w:rsid w:val="00A250B6"/>
  </w:style>
  <w:style w:type="paragraph" w:styleId="TDC3">
    <w:name w:val="toc 3"/>
    <w:basedOn w:val="Normal"/>
    <w:next w:val="Normal"/>
    <w:autoRedefine/>
    <w:uiPriority w:val="39"/>
    <w:rsid w:val="00A250B6"/>
    <w:pPr>
      <w:ind w:left="400"/>
    </w:pPr>
  </w:style>
  <w:style w:type="character" w:styleId="Refdecomentario">
    <w:name w:val="annotation reference"/>
    <w:semiHidden/>
    <w:rsid w:val="00A250B6"/>
    <w:rPr>
      <w:sz w:val="16"/>
      <w:szCs w:val="16"/>
    </w:rPr>
  </w:style>
  <w:style w:type="paragraph" w:styleId="Textocomentario">
    <w:name w:val="annotation text"/>
    <w:basedOn w:val="Normal"/>
    <w:semiHidden/>
    <w:rsid w:val="00A250B6"/>
    <w:rPr>
      <w:rFonts w:eastAsia="Times New Roman"/>
      <w:lang w:val="en-US" w:eastAsia="en-US"/>
    </w:rPr>
  </w:style>
  <w:style w:type="paragraph" w:styleId="Asuntodelcomentario">
    <w:name w:val="annotation subject"/>
    <w:basedOn w:val="Textocomentario"/>
    <w:next w:val="Textocomentario"/>
    <w:semiHidden/>
    <w:rsid w:val="00A250B6"/>
    <w:rPr>
      <w:b/>
      <w:bCs/>
    </w:rPr>
  </w:style>
  <w:style w:type="paragraph" w:styleId="Saludo">
    <w:name w:val="Salutation"/>
    <w:basedOn w:val="Normal"/>
    <w:next w:val="Normal"/>
    <w:semiHidden/>
    <w:rsid w:val="00A250B6"/>
    <w:rPr>
      <w:rFonts w:eastAsia="Times New Roman"/>
      <w:sz w:val="24"/>
      <w:szCs w:val="24"/>
      <w:lang w:val="es-ES"/>
    </w:rPr>
  </w:style>
  <w:style w:type="paragraph" w:customStyle="1" w:styleId="Ttulodecuadrogrfico">
    <w:name w:val="Tìtulo de cuadro/gráfico"/>
    <w:basedOn w:val="Ttulo3"/>
    <w:rsid w:val="00A250B6"/>
    <w:pPr>
      <w:spacing w:before="240" w:after="120"/>
      <w:jc w:val="left"/>
    </w:pPr>
    <w:rPr>
      <w:rFonts w:eastAsia="Times New Roman" w:cs="Arial"/>
      <w:bCs/>
      <w:snapToGrid/>
      <w:color w:val="auto"/>
      <w:sz w:val="24"/>
      <w:szCs w:val="26"/>
    </w:rPr>
  </w:style>
  <w:style w:type="paragraph" w:customStyle="1" w:styleId="normalp">
    <w:name w:val="normalp"/>
    <w:basedOn w:val="Normal"/>
    <w:rsid w:val="00A250B6"/>
    <w:pPr>
      <w:spacing w:before="100" w:beforeAutospacing="1" w:after="100" w:afterAutospacing="1"/>
    </w:pPr>
    <w:rPr>
      <w:rFonts w:eastAsia="Times New Roman"/>
      <w:sz w:val="24"/>
      <w:szCs w:val="24"/>
      <w:lang w:val="es-ES"/>
    </w:rPr>
  </w:style>
  <w:style w:type="character" w:styleId="Textoennegrita">
    <w:name w:val="Strong"/>
    <w:qFormat/>
    <w:rsid w:val="00A250B6"/>
    <w:rPr>
      <w:b/>
      <w:bCs/>
    </w:rPr>
  </w:style>
  <w:style w:type="character" w:customStyle="1" w:styleId="Ttulo2Car">
    <w:name w:val="Título 2 Car"/>
    <w:link w:val="Ttulo2"/>
    <w:rsid w:val="00DB6622"/>
    <w:rPr>
      <w:rFonts w:ascii="Arial" w:hAnsi="Arial"/>
      <w:b/>
      <w:snapToGrid w:val="0"/>
      <w:color w:val="000000"/>
      <w:lang w:val="es-ES" w:eastAsia="es-ES"/>
    </w:rPr>
  </w:style>
  <w:style w:type="table" w:styleId="Tablaconcuadrcula">
    <w:name w:val="Table Grid"/>
    <w:basedOn w:val="Tablanormal"/>
    <w:uiPriority w:val="39"/>
    <w:rsid w:val="002E4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74334E"/>
    <w:rPr>
      <w:sz w:val="24"/>
      <w:lang w:val="es-ES" w:eastAsia="es-ES"/>
    </w:rPr>
  </w:style>
  <w:style w:type="character" w:customStyle="1" w:styleId="PrrafodelistaCar">
    <w:name w:val="Párrafo de lista Car"/>
    <w:link w:val="Prrafodelista"/>
    <w:uiPriority w:val="34"/>
    <w:rsid w:val="004E2A26"/>
    <w:rPr>
      <w:rFonts w:ascii="Calibri" w:eastAsia="Times New Roman" w:hAnsi="Calibri"/>
      <w:sz w:val="22"/>
      <w:szCs w:val="22"/>
      <w:lang w:eastAsia="en-US"/>
    </w:rPr>
  </w:style>
  <w:style w:type="table" w:customStyle="1" w:styleId="TableGrid1">
    <w:name w:val="Table Grid1"/>
    <w:basedOn w:val="Tablanormal"/>
    <w:next w:val="Tablaconcuadrcula"/>
    <w:uiPriority w:val="59"/>
    <w:rsid w:val="00ED6027"/>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87C0F"/>
    <w:rPr>
      <w:rFonts w:ascii="Calibri" w:eastAsia="Times New Roman" w:hAnsi="Calibri"/>
      <w:sz w:val="22"/>
      <w:szCs w:val="22"/>
      <w:lang w:val="en-US" w:eastAsia="ja-JP"/>
    </w:rPr>
  </w:style>
  <w:style w:type="character" w:customStyle="1" w:styleId="SinespaciadoCar">
    <w:name w:val="Sin espaciado Car"/>
    <w:link w:val="Sinespaciado"/>
    <w:uiPriority w:val="1"/>
    <w:rsid w:val="00987C0F"/>
    <w:rPr>
      <w:rFonts w:ascii="Calibri" w:eastAsia="Times New Roman" w:hAnsi="Calibri"/>
      <w:sz w:val="22"/>
      <w:szCs w:val="22"/>
      <w:lang w:val="en-US" w:eastAsia="ja-JP" w:bidi="ar-SA"/>
    </w:rPr>
  </w:style>
  <w:style w:type="character" w:customStyle="1" w:styleId="EncabezadoCar">
    <w:name w:val="Encabezado Car"/>
    <w:basedOn w:val="Fuentedeprrafopredeter"/>
    <w:link w:val="Encabezado"/>
    <w:uiPriority w:val="99"/>
    <w:rsid w:val="005316B7"/>
    <w:rPr>
      <w:sz w:val="24"/>
      <w:lang w:val="es-ES" w:eastAsia="es-ES"/>
    </w:rPr>
  </w:style>
  <w:style w:type="character" w:styleId="Nmerodelnea">
    <w:name w:val="line number"/>
    <w:basedOn w:val="Fuentedeprrafopredeter"/>
    <w:uiPriority w:val="99"/>
    <w:semiHidden/>
    <w:unhideWhenUsed/>
    <w:rsid w:val="00C539A9"/>
  </w:style>
  <w:style w:type="paragraph" w:styleId="TtuloTDC">
    <w:name w:val="TOC Heading"/>
    <w:basedOn w:val="Ttulo1"/>
    <w:next w:val="Normal"/>
    <w:uiPriority w:val="39"/>
    <w:unhideWhenUsed/>
    <w:qFormat/>
    <w:rsid w:val="000266BF"/>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s-CR" w:eastAsia="es-CR"/>
    </w:rPr>
  </w:style>
  <w:style w:type="paragraph" w:customStyle="1" w:styleId="noparagraphstyle">
    <w:name w:val="noparagraphstyle"/>
    <w:basedOn w:val="Normal"/>
    <w:rsid w:val="00AE48B9"/>
    <w:pPr>
      <w:spacing w:before="100" w:beforeAutospacing="1" w:after="100" w:afterAutospacing="1"/>
    </w:pPr>
    <w:rPr>
      <w:rFonts w:eastAsia="Times New Roman"/>
      <w:sz w:val="24"/>
      <w:szCs w:val="24"/>
      <w:lang w:val="en-US" w:eastAsia="en-US"/>
    </w:rPr>
  </w:style>
  <w:style w:type="character" w:customStyle="1" w:styleId="Ttulo5Car">
    <w:name w:val="Título 5 Car"/>
    <w:basedOn w:val="Fuentedeprrafopredeter"/>
    <w:link w:val="Ttulo5"/>
    <w:rsid w:val="008B45F4"/>
    <w:rPr>
      <w:rFonts w:ascii="Arial" w:hAnsi="Arial"/>
      <w:b/>
      <w:snapToGrid w:val="0"/>
      <w:color w:val="000000"/>
      <w:lang w:val="es-ES" w:eastAsia="es-ES"/>
    </w:rPr>
  </w:style>
  <w:style w:type="paragraph" w:customStyle="1" w:styleId="Default">
    <w:name w:val="Default"/>
    <w:rsid w:val="008B0DED"/>
    <w:pPr>
      <w:autoSpaceDE w:val="0"/>
      <w:autoSpaceDN w:val="0"/>
      <w:adjustRightInd w:val="0"/>
    </w:pPr>
    <w:rPr>
      <w:rFonts w:ascii="Arial" w:hAnsi="Arial" w:cs="Arial"/>
      <w:color w:val="000000"/>
      <w:sz w:val="24"/>
      <w:szCs w:val="24"/>
      <w:lang w:val="es-MX"/>
    </w:rPr>
  </w:style>
  <w:style w:type="paragraph" w:customStyle="1" w:styleId="xl91">
    <w:name w:val="xl91"/>
    <w:basedOn w:val="Normal"/>
    <w:rsid w:val="003A5C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78">
      <w:bodyDiv w:val="1"/>
      <w:marLeft w:val="0"/>
      <w:marRight w:val="0"/>
      <w:marTop w:val="0"/>
      <w:marBottom w:val="0"/>
      <w:divBdr>
        <w:top w:val="none" w:sz="0" w:space="0" w:color="auto"/>
        <w:left w:val="none" w:sz="0" w:space="0" w:color="auto"/>
        <w:bottom w:val="none" w:sz="0" w:space="0" w:color="auto"/>
        <w:right w:val="none" w:sz="0" w:space="0" w:color="auto"/>
      </w:divBdr>
    </w:div>
    <w:div w:id="5788097">
      <w:bodyDiv w:val="1"/>
      <w:marLeft w:val="0"/>
      <w:marRight w:val="0"/>
      <w:marTop w:val="0"/>
      <w:marBottom w:val="0"/>
      <w:divBdr>
        <w:top w:val="none" w:sz="0" w:space="0" w:color="auto"/>
        <w:left w:val="none" w:sz="0" w:space="0" w:color="auto"/>
        <w:bottom w:val="none" w:sz="0" w:space="0" w:color="auto"/>
        <w:right w:val="none" w:sz="0" w:space="0" w:color="auto"/>
      </w:divBdr>
    </w:div>
    <w:div w:id="33192911">
      <w:bodyDiv w:val="1"/>
      <w:marLeft w:val="0"/>
      <w:marRight w:val="0"/>
      <w:marTop w:val="0"/>
      <w:marBottom w:val="0"/>
      <w:divBdr>
        <w:top w:val="none" w:sz="0" w:space="0" w:color="auto"/>
        <w:left w:val="none" w:sz="0" w:space="0" w:color="auto"/>
        <w:bottom w:val="none" w:sz="0" w:space="0" w:color="auto"/>
        <w:right w:val="none" w:sz="0" w:space="0" w:color="auto"/>
      </w:divBdr>
    </w:div>
    <w:div w:id="46490427">
      <w:bodyDiv w:val="1"/>
      <w:marLeft w:val="0"/>
      <w:marRight w:val="0"/>
      <w:marTop w:val="0"/>
      <w:marBottom w:val="0"/>
      <w:divBdr>
        <w:top w:val="none" w:sz="0" w:space="0" w:color="auto"/>
        <w:left w:val="none" w:sz="0" w:space="0" w:color="auto"/>
        <w:bottom w:val="none" w:sz="0" w:space="0" w:color="auto"/>
        <w:right w:val="none" w:sz="0" w:space="0" w:color="auto"/>
      </w:divBdr>
    </w:div>
    <w:div w:id="78258891">
      <w:bodyDiv w:val="1"/>
      <w:marLeft w:val="0"/>
      <w:marRight w:val="0"/>
      <w:marTop w:val="0"/>
      <w:marBottom w:val="0"/>
      <w:divBdr>
        <w:top w:val="none" w:sz="0" w:space="0" w:color="auto"/>
        <w:left w:val="none" w:sz="0" w:space="0" w:color="auto"/>
        <w:bottom w:val="none" w:sz="0" w:space="0" w:color="auto"/>
        <w:right w:val="none" w:sz="0" w:space="0" w:color="auto"/>
      </w:divBdr>
    </w:div>
    <w:div w:id="84425185">
      <w:bodyDiv w:val="1"/>
      <w:marLeft w:val="0"/>
      <w:marRight w:val="0"/>
      <w:marTop w:val="0"/>
      <w:marBottom w:val="0"/>
      <w:divBdr>
        <w:top w:val="none" w:sz="0" w:space="0" w:color="auto"/>
        <w:left w:val="none" w:sz="0" w:space="0" w:color="auto"/>
        <w:bottom w:val="none" w:sz="0" w:space="0" w:color="auto"/>
        <w:right w:val="none" w:sz="0" w:space="0" w:color="auto"/>
      </w:divBdr>
    </w:div>
    <w:div w:id="98264018">
      <w:bodyDiv w:val="1"/>
      <w:marLeft w:val="0"/>
      <w:marRight w:val="0"/>
      <w:marTop w:val="0"/>
      <w:marBottom w:val="0"/>
      <w:divBdr>
        <w:top w:val="none" w:sz="0" w:space="0" w:color="auto"/>
        <w:left w:val="none" w:sz="0" w:space="0" w:color="auto"/>
        <w:bottom w:val="none" w:sz="0" w:space="0" w:color="auto"/>
        <w:right w:val="none" w:sz="0" w:space="0" w:color="auto"/>
      </w:divBdr>
    </w:div>
    <w:div w:id="104153512">
      <w:bodyDiv w:val="1"/>
      <w:marLeft w:val="0"/>
      <w:marRight w:val="0"/>
      <w:marTop w:val="0"/>
      <w:marBottom w:val="0"/>
      <w:divBdr>
        <w:top w:val="none" w:sz="0" w:space="0" w:color="auto"/>
        <w:left w:val="none" w:sz="0" w:space="0" w:color="auto"/>
        <w:bottom w:val="none" w:sz="0" w:space="0" w:color="auto"/>
        <w:right w:val="none" w:sz="0" w:space="0" w:color="auto"/>
      </w:divBdr>
    </w:div>
    <w:div w:id="117141428">
      <w:bodyDiv w:val="1"/>
      <w:marLeft w:val="0"/>
      <w:marRight w:val="0"/>
      <w:marTop w:val="0"/>
      <w:marBottom w:val="0"/>
      <w:divBdr>
        <w:top w:val="none" w:sz="0" w:space="0" w:color="auto"/>
        <w:left w:val="none" w:sz="0" w:space="0" w:color="auto"/>
        <w:bottom w:val="none" w:sz="0" w:space="0" w:color="auto"/>
        <w:right w:val="none" w:sz="0" w:space="0" w:color="auto"/>
      </w:divBdr>
    </w:div>
    <w:div w:id="138772413">
      <w:bodyDiv w:val="1"/>
      <w:marLeft w:val="0"/>
      <w:marRight w:val="0"/>
      <w:marTop w:val="0"/>
      <w:marBottom w:val="0"/>
      <w:divBdr>
        <w:top w:val="none" w:sz="0" w:space="0" w:color="auto"/>
        <w:left w:val="none" w:sz="0" w:space="0" w:color="auto"/>
        <w:bottom w:val="none" w:sz="0" w:space="0" w:color="auto"/>
        <w:right w:val="none" w:sz="0" w:space="0" w:color="auto"/>
      </w:divBdr>
    </w:div>
    <w:div w:id="143089202">
      <w:bodyDiv w:val="1"/>
      <w:marLeft w:val="0"/>
      <w:marRight w:val="0"/>
      <w:marTop w:val="0"/>
      <w:marBottom w:val="0"/>
      <w:divBdr>
        <w:top w:val="none" w:sz="0" w:space="0" w:color="auto"/>
        <w:left w:val="none" w:sz="0" w:space="0" w:color="auto"/>
        <w:bottom w:val="none" w:sz="0" w:space="0" w:color="auto"/>
        <w:right w:val="none" w:sz="0" w:space="0" w:color="auto"/>
      </w:divBdr>
    </w:div>
    <w:div w:id="147673592">
      <w:bodyDiv w:val="1"/>
      <w:marLeft w:val="0"/>
      <w:marRight w:val="0"/>
      <w:marTop w:val="0"/>
      <w:marBottom w:val="0"/>
      <w:divBdr>
        <w:top w:val="none" w:sz="0" w:space="0" w:color="auto"/>
        <w:left w:val="none" w:sz="0" w:space="0" w:color="auto"/>
        <w:bottom w:val="none" w:sz="0" w:space="0" w:color="auto"/>
        <w:right w:val="none" w:sz="0" w:space="0" w:color="auto"/>
      </w:divBdr>
    </w:div>
    <w:div w:id="173157527">
      <w:bodyDiv w:val="1"/>
      <w:marLeft w:val="0"/>
      <w:marRight w:val="0"/>
      <w:marTop w:val="0"/>
      <w:marBottom w:val="0"/>
      <w:divBdr>
        <w:top w:val="none" w:sz="0" w:space="0" w:color="auto"/>
        <w:left w:val="none" w:sz="0" w:space="0" w:color="auto"/>
        <w:bottom w:val="none" w:sz="0" w:space="0" w:color="auto"/>
        <w:right w:val="none" w:sz="0" w:space="0" w:color="auto"/>
      </w:divBdr>
    </w:div>
    <w:div w:id="179660717">
      <w:bodyDiv w:val="1"/>
      <w:marLeft w:val="0"/>
      <w:marRight w:val="0"/>
      <w:marTop w:val="0"/>
      <w:marBottom w:val="0"/>
      <w:divBdr>
        <w:top w:val="none" w:sz="0" w:space="0" w:color="auto"/>
        <w:left w:val="none" w:sz="0" w:space="0" w:color="auto"/>
        <w:bottom w:val="none" w:sz="0" w:space="0" w:color="auto"/>
        <w:right w:val="none" w:sz="0" w:space="0" w:color="auto"/>
      </w:divBdr>
    </w:div>
    <w:div w:id="200289891">
      <w:bodyDiv w:val="1"/>
      <w:marLeft w:val="0"/>
      <w:marRight w:val="0"/>
      <w:marTop w:val="0"/>
      <w:marBottom w:val="0"/>
      <w:divBdr>
        <w:top w:val="none" w:sz="0" w:space="0" w:color="auto"/>
        <w:left w:val="none" w:sz="0" w:space="0" w:color="auto"/>
        <w:bottom w:val="none" w:sz="0" w:space="0" w:color="auto"/>
        <w:right w:val="none" w:sz="0" w:space="0" w:color="auto"/>
      </w:divBdr>
    </w:div>
    <w:div w:id="206725532">
      <w:bodyDiv w:val="1"/>
      <w:marLeft w:val="0"/>
      <w:marRight w:val="0"/>
      <w:marTop w:val="0"/>
      <w:marBottom w:val="0"/>
      <w:divBdr>
        <w:top w:val="none" w:sz="0" w:space="0" w:color="auto"/>
        <w:left w:val="none" w:sz="0" w:space="0" w:color="auto"/>
        <w:bottom w:val="none" w:sz="0" w:space="0" w:color="auto"/>
        <w:right w:val="none" w:sz="0" w:space="0" w:color="auto"/>
      </w:divBdr>
    </w:div>
    <w:div w:id="209464994">
      <w:bodyDiv w:val="1"/>
      <w:marLeft w:val="0"/>
      <w:marRight w:val="0"/>
      <w:marTop w:val="0"/>
      <w:marBottom w:val="0"/>
      <w:divBdr>
        <w:top w:val="none" w:sz="0" w:space="0" w:color="auto"/>
        <w:left w:val="none" w:sz="0" w:space="0" w:color="auto"/>
        <w:bottom w:val="none" w:sz="0" w:space="0" w:color="auto"/>
        <w:right w:val="none" w:sz="0" w:space="0" w:color="auto"/>
      </w:divBdr>
    </w:div>
    <w:div w:id="211961467">
      <w:bodyDiv w:val="1"/>
      <w:marLeft w:val="0"/>
      <w:marRight w:val="0"/>
      <w:marTop w:val="0"/>
      <w:marBottom w:val="0"/>
      <w:divBdr>
        <w:top w:val="none" w:sz="0" w:space="0" w:color="auto"/>
        <w:left w:val="none" w:sz="0" w:space="0" w:color="auto"/>
        <w:bottom w:val="none" w:sz="0" w:space="0" w:color="auto"/>
        <w:right w:val="none" w:sz="0" w:space="0" w:color="auto"/>
      </w:divBdr>
    </w:div>
    <w:div w:id="214583103">
      <w:bodyDiv w:val="1"/>
      <w:marLeft w:val="0"/>
      <w:marRight w:val="0"/>
      <w:marTop w:val="0"/>
      <w:marBottom w:val="0"/>
      <w:divBdr>
        <w:top w:val="none" w:sz="0" w:space="0" w:color="auto"/>
        <w:left w:val="none" w:sz="0" w:space="0" w:color="auto"/>
        <w:bottom w:val="none" w:sz="0" w:space="0" w:color="auto"/>
        <w:right w:val="none" w:sz="0" w:space="0" w:color="auto"/>
      </w:divBdr>
    </w:div>
    <w:div w:id="215775515">
      <w:bodyDiv w:val="1"/>
      <w:marLeft w:val="0"/>
      <w:marRight w:val="0"/>
      <w:marTop w:val="0"/>
      <w:marBottom w:val="0"/>
      <w:divBdr>
        <w:top w:val="none" w:sz="0" w:space="0" w:color="auto"/>
        <w:left w:val="none" w:sz="0" w:space="0" w:color="auto"/>
        <w:bottom w:val="none" w:sz="0" w:space="0" w:color="auto"/>
        <w:right w:val="none" w:sz="0" w:space="0" w:color="auto"/>
      </w:divBdr>
    </w:div>
    <w:div w:id="236600579">
      <w:bodyDiv w:val="1"/>
      <w:marLeft w:val="0"/>
      <w:marRight w:val="0"/>
      <w:marTop w:val="0"/>
      <w:marBottom w:val="0"/>
      <w:divBdr>
        <w:top w:val="none" w:sz="0" w:space="0" w:color="auto"/>
        <w:left w:val="none" w:sz="0" w:space="0" w:color="auto"/>
        <w:bottom w:val="none" w:sz="0" w:space="0" w:color="auto"/>
        <w:right w:val="none" w:sz="0" w:space="0" w:color="auto"/>
      </w:divBdr>
    </w:div>
    <w:div w:id="259408985">
      <w:bodyDiv w:val="1"/>
      <w:marLeft w:val="0"/>
      <w:marRight w:val="0"/>
      <w:marTop w:val="0"/>
      <w:marBottom w:val="0"/>
      <w:divBdr>
        <w:top w:val="none" w:sz="0" w:space="0" w:color="auto"/>
        <w:left w:val="none" w:sz="0" w:space="0" w:color="auto"/>
        <w:bottom w:val="none" w:sz="0" w:space="0" w:color="auto"/>
        <w:right w:val="none" w:sz="0" w:space="0" w:color="auto"/>
      </w:divBdr>
    </w:div>
    <w:div w:id="262423501">
      <w:bodyDiv w:val="1"/>
      <w:marLeft w:val="0"/>
      <w:marRight w:val="0"/>
      <w:marTop w:val="0"/>
      <w:marBottom w:val="0"/>
      <w:divBdr>
        <w:top w:val="none" w:sz="0" w:space="0" w:color="auto"/>
        <w:left w:val="none" w:sz="0" w:space="0" w:color="auto"/>
        <w:bottom w:val="none" w:sz="0" w:space="0" w:color="auto"/>
        <w:right w:val="none" w:sz="0" w:space="0" w:color="auto"/>
      </w:divBdr>
    </w:div>
    <w:div w:id="270623372">
      <w:bodyDiv w:val="1"/>
      <w:marLeft w:val="0"/>
      <w:marRight w:val="0"/>
      <w:marTop w:val="0"/>
      <w:marBottom w:val="0"/>
      <w:divBdr>
        <w:top w:val="none" w:sz="0" w:space="0" w:color="auto"/>
        <w:left w:val="none" w:sz="0" w:space="0" w:color="auto"/>
        <w:bottom w:val="none" w:sz="0" w:space="0" w:color="auto"/>
        <w:right w:val="none" w:sz="0" w:space="0" w:color="auto"/>
      </w:divBdr>
    </w:div>
    <w:div w:id="280721077">
      <w:bodyDiv w:val="1"/>
      <w:marLeft w:val="0"/>
      <w:marRight w:val="0"/>
      <w:marTop w:val="0"/>
      <w:marBottom w:val="0"/>
      <w:divBdr>
        <w:top w:val="none" w:sz="0" w:space="0" w:color="auto"/>
        <w:left w:val="none" w:sz="0" w:space="0" w:color="auto"/>
        <w:bottom w:val="none" w:sz="0" w:space="0" w:color="auto"/>
        <w:right w:val="none" w:sz="0" w:space="0" w:color="auto"/>
      </w:divBdr>
    </w:div>
    <w:div w:id="293217082">
      <w:bodyDiv w:val="1"/>
      <w:marLeft w:val="0"/>
      <w:marRight w:val="0"/>
      <w:marTop w:val="0"/>
      <w:marBottom w:val="0"/>
      <w:divBdr>
        <w:top w:val="none" w:sz="0" w:space="0" w:color="auto"/>
        <w:left w:val="none" w:sz="0" w:space="0" w:color="auto"/>
        <w:bottom w:val="none" w:sz="0" w:space="0" w:color="auto"/>
        <w:right w:val="none" w:sz="0" w:space="0" w:color="auto"/>
      </w:divBdr>
    </w:div>
    <w:div w:id="294259678">
      <w:bodyDiv w:val="1"/>
      <w:marLeft w:val="0"/>
      <w:marRight w:val="0"/>
      <w:marTop w:val="0"/>
      <w:marBottom w:val="0"/>
      <w:divBdr>
        <w:top w:val="none" w:sz="0" w:space="0" w:color="auto"/>
        <w:left w:val="none" w:sz="0" w:space="0" w:color="auto"/>
        <w:bottom w:val="none" w:sz="0" w:space="0" w:color="auto"/>
        <w:right w:val="none" w:sz="0" w:space="0" w:color="auto"/>
      </w:divBdr>
    </w:div>
    <w:div w:id="304428714">
      <w:bodyDiv w:val="1"/>
      <w:marLeft w:val="0"/>
      <w:marRight w:val="0"/>
      <w:marTop w:val="0"/>
      <w:marBottom w:val="0"/>
      <w:divBdr>
        <w:top w:val="none" w:sz="0" w:space="0" w:color="auto"/>
        <w:left w:val="none" w:sz="0" w:space="0" w:color="auto"/>
        <w:bottom w:val="none" w:sz="0" w:space="0" w:color="auto"/>
        <w:right w:val="none" w:sz="0" w:space="0" w:color="auto"/>
      </w:divBdr>
    </w:div>
    <w:div w:id="306201760">
      <w:bodyDiv w:val="1"/>
      <w:marLeft w:val="0"/>
      <w:marRight w:val="0"/>
      <w:marTop w:val="0"/>
      <w:marBottom w:val="0"/>
      <w:divBdr>
        <w:top w:val="none" w:sz="0" w:space="0" w:color="auto"/>
        <w:left w:val="none" w:sz="0" w:space="0" w:color="auto"/>
        <w:bottom w:val="none" w:sz="0" w:space="0" w:color="auto"/>
        <w:right w:val="none" w:sz="0" w:space="0" w:color="auto"/>
      </w:divBdr>
    </w:div>
    <w:div w:id="309791760">
      <w:bodyDiv w:val="1"/>
      <w:marLeft w:val="0"/>
      <w:marRight w:val="0"/>
      <w:marTop w:val="0"/>
      <w:marBottom w:val="0"/>
      <w:divBdr>
        <w:top w:val="none" w:sz="0" w:space="0" w:color="auto"/>
        <w:left w:val="none" w:sz="0" w:space="0" w:color="auto"/>
        <w:bottom w:val="none" w:sz="0" w:space="0" w:color="auto"/>
        <w:right w:val="none" w:sz="0" w:space="0" w:color="auto"/>
      </w:divBdr>
    </w:div>
    <w:div w:id="315572470">
      <w:bodyDiv w:val="1"/>
      <w:marLeft w:val="0"/>
      <w:marRight w:val="0"/>
      <w:marTop w:val="0"/>
      <w:marBottom w:val="0"/>
      <w:divBdr>
        <w:top w:val="none" w:sz="0" w:space="0" w:color="auto"/>
        <w:left w:val="none" w:sz="0" w:space="0" w:color="auto"/>
        <w:bottom w:val="none" w:sz="0" w:space="0" w:color="auto"/>
        <w:right w:val="none" w:sz="0" w:space="0" w:color="auto"/>
      </w:divBdr>
    </w:div>
    <w:div w:id="315888476">
      <w:bodyDiv w:val="1"/>
      <w:marLeft w:val="0"/>
      <w:marRight w:val="0"/>
      <w:marTop w:val="0"/>
      <w:marBottom w:val="0"/>
      <w:divBdr>
        <w:top w:val="none" w:sz="0" w:space="0" w:color="auto"/>
        <w:left w:val="none" w:sz="0" w:space="0" w:color="auto"/>
        <w:bottom w:val="none" w:sz="0" w:space="0" w:color="auto"/>
        <w:right w:val="none" w:sz="0" w:space="0" w:color="auto"/>
      </w:divBdr>
    </w:div>
    <w:div w:id="320549431">
      <w:bodyDiv w:val="1"/>
      <w:marLeft w:val="0"/>
      <w:marRight w:val="0"/>
      <w:marTop w:val="0"/>
      <w:marBottom w:val="0"/>
      <w:divBdr>
        <w:top w:val="none" w:sz="0" w:space="0" w:color="auto"/>
        <w:left w:val="none" w:sz="0" w:space="0" w:color="auto"/>
        <w:bottom w:val="none" w:sz="0" w:space="0" w:color="auto"/>
        <w:right w:val="none" w:sz="0" w:space="0" w:color="auto"/>
      </w:divBdr>
    </w:div>
    <w:div w:id="331375242">
      <w:bodyDiv w:val="1"/>
      <w:marLeft w:val="0"/>
      <w:marRight w:val="0"/>
      <w:marTop w:val="0"/>
      <w:marBottom w:val="0"/>
      <w:divBdr>
        <w:top w:val="none" w:sz="0" w:space="0" w:color="auto"/>
        <w:left w:val="none" w:sz="0" w:space="0" w:color="auto"/>
        <w:bottom w:val="none" w:sz="0" w:space="0" w:color="auto"/>
        <w:right w:val="none" w:sz="0" w:space="0" w:color="auto"/>
      </w:divBdr>
    </w:div>
    <w:div w:id="339552826">
      <w:bodyDiv w:val="1"/>
      <w:marLeft w:val="0"/>
      <w:marRight w:val="0"/>
      <w:marTop w:val="0"/>
      <w:marBottom w:val="0"/>
      <w:divBdr>
        <w:top w:val="none" w:sz="0" w:space="0" w:color="auto"/>
        <w:left w:val="none" w:sz="0" w:space="0" w:color="auto"/>
        <w:bottom w:val="none" w:sz="0" w:space="0" w:color="auto"/>
        <w:right w:val="none" w:sz="0" w:space="0" w:color="auto"/>
      </w:divBdr>
    </w:div>
    <w:div w:id="353269201">
      <w:bodyDiv w:val="1"/>
      <w:marLeft w:val="0"/>
      <w:marRight w:val="0"/>
      <w:marTop w:val="0"/>
      <w:marBottom w:val="0"/>
      <w:divBdr>
        <w:top w:val="none" w:sz="0" w:space="0" w:color="auto"/>
        <w:left w:val="none" w:sz="0" w:space="0" w:color="auto"/>
        <w:bottom w:val="none" w:sz="0" w:space="0" w:color="auto"/>
        <w:right w:val="none" w:sz="0" w:space="0" w:color="auto"/>
      </w:divBdr>
    </w:div>
    <w:div w:id="368604817">
      <w:bodyDiv w:val="1"/>
      <w:marLeft w:val="0"/>
      <w:marRight w:val="0"/>
      <w:marTop w:val="0"/>
      <w:marBottom w:val="0"/>
      <w:divBdr>
        <w:top w:val="none" w:sz="0" w:space="0" w:color="auto"/>
        <w:left w:val="none" w:sz="0" w:space="0" w:color="auto"/>
        <w:bottom w:val="none" w:sz="0" w:space="0" w:color="auto"/>
        <w:right w:val="none" w:sz="0" w:space="0" w:color="auto"/>
      </w:divBdr>
    </w:div>
    <w:div w:id="380254665">
      <w:bodyDiv w:val="1"/>
      <w:marLeft w:val="0"/>
      <w:marRight w:val="0"/>
      <w:marTop w:val="0"/>
      <w:marBottom w:val="0"/>
      <w:divBdr>
        <w:top w:val="none" w:sz="0" w:space="0" w:color="auto"/>
        <w:left w:val="none" w:sz="0" w:space="0" w:color="auto"/>
        <w:bottom w:val="none" w:sz="0" w:space="0" w:color="auto"/>
        <w:right w:val="none" w:sz="0" w:space="0" w:color="auto"/>
      </w:divBdr>
    </w:div>
    <w:div w:id="389307481">
      <w:bodyDiv w:val="1"/>
      <w:marLeft w:val="0"/>
      <w:marRight w:val="0"/>
      <w:marTop w:val="0"/>
      <w:marBottom w:val="0"/>
      <w:divBdr>
        <w:top w:val="none" w:sz="0" w:space="0" w:color="auto"/>
        <w:left w:val="none" w:sz="0" w:space="0" w:color="auto"/>
        <w:bottom w:val="none" w:sz="0" w:space="0" w:color="auto"/>
        <w:right w:val="none" w:sz="0" w:space="0" w:color="auto"/>
      </w:divBdr>
    </w:div>
    <w:div w:id="397094765">
      <w:bodyDiv w:val="1"/>
      <w:marLeft w:val="0"/>
      <w:marRight w:val="0"/>
      <w:marTop w:val="0"/>
      <w:marBottom w:val="0"/>
      <w:divBdr>
        <w:top w:val="none" w:sz="0" w:space="0" w:color="auto"/>
        <w:left w:val="none" w:sz="0" w:space="0" w:color="auto"/>
        <w:bottom w:val="none" w:sz="0" w:space="0" w:color="auto"/>
        <w:right w:val="none" w:sz="0" w:space="0" w:color="auto"/>
      </w:divBdr>
    </w:div>
    <w:div w:id="400256747">
      <w:bodyDiv w:val="1"/>
      <w:marLeft w:val="0"/>
      <w:marRight w:val="0"/>
      <w:marTop w:val="0"/>
      <w:marBottom w:val="0"/>
      <w:divBdr>
        <w:top w:val="none" w:sz="0" w:space="0" w:color="auto"/>
        <w:left w:val="none" w:sz="0" w:space="0" w:color="auto"/>
        <w:bottom w:val="none" w:sz="0" w:space="0" w:color="auto"/>
        <w:right w:val="none" w:sz="0" w:space="0" w:color="auto"/>
      </w:divBdr>
    </w:div>
    <w:div w:id="400448082">
      <w:bodyDiv w:val="1"/>
      <w:marLeft w:val="0"/>
      <w:marRight w:val="0"/>
      <w:marTop w:val="0"/>
      <w:marBottom w:val="0"/>
      <w:divBdr>
        <w:top w:val="none" w:sz="0" w:space="0" w:color="auto"/>
        <w:left w:val="none" w:sz="0" w:space="0" w:color="auto"/>
        <w:bottom w:val="none" w:sz="0" w:space="0" w:color="auto"/>
        <w:right w:val="none" w:sz="0" w:space="0" w:color="auto"/>
      </w:divBdr>
    </w:div>
    <w:div w:id="406072792">
      <w:bodyDiv w:val="1"/>
      <w:marLeft w:val="0"/>
      <w:marRight w:val="0"/>
      <w:marTop w:val="0"/>
      <w:marBottom w:val="0"/>
      <w:divBdr>
        <w:top w:val="none" w:sz="0" w:space="0" w:color="auto"/>
        <w:left w:val="none" w:sz="0" w:space="0" w:color="auto"/>
        <w:bottom w:val="none" w:sz="0" w:space="0" w:color="auto"/>
        <w:right w:val="none" w:sz="0" w:space="0" w:color="auto"/>
      </w:divBdr>
    </w:div>
    <w:div w:id="410588273">
      <w:bodyDiv w:val="1"/>
      <w:marLeft w:val="0"/>
      <w:marRight w:val="0"/>
      <w:marTop w:val="0"/>
      <w:marBottom w:val="0"/>
      <w:divBdr>
        <w:top w:val="none" w:sz="0" w:space="0" w:color="auto"/>
        <w:left w:val="none" w:sz="0" w:space="0" w:color="auto"/>
        <w:bottom w:val="none" w:sz="0" w:space="0" w:color="auto"/>
        <w:right w:val="none" w:sz="0" w:space="0" w:color="auto"/>
      </w:divBdr>
    </w:div>
    <w:div w:id="419646087">
      <w:bodyDiv w:val="1"/>
      <w:marLeft w:val="0"/>
      <w:marRight w:val="0"/>
      <w:marTop w:val="0"/>
      <w:marBottom w:val="0"/>
      <w:divBdr>
        <w:top w:val="none" w:sz="0" w:space="0" w:color="auto"/>
        <w:left w:val="none" w:sz="0" w:space="0" w:color="auto"/>
        <w:bottom w:val="none" w:sz="0" w:space="0" w:color="auto"/>
        <w:right w:val="none" w:sz="0" w:space="0" w:color="auto"/>
      </w:divBdr>
    </w:div>
    <w:div w:id="420029738">
      <w:bodyDiv w:val="1"/>
      <w:marLeft w:val="0"/>
      <w:marRight w:val="0"/>
      <w:marTop w:val="0"/>
      <w:marBottom w:val="0"/>
      <w:divBdr>
        <w:top w:val="none" w:sz="0" w:space="0" w:color="auto"/>
        <w:left w:val="none" w:sz="0" w:space="0" w:color="auto"/>
        <w:bottom w:val="none" w:sz="0" w:space="0" w:color="auto"/>
        <w:right w:val="none" w:sz="0" w:space="0" w:color="auto"/>
      </w:divBdr>
    </w:div>
    <w:div w:id="430392246">
      <w:bodyDiv w:val="1"/>
      <w:marLeft w:val="0"/>
      <w:marRight w:val="0"/>
      <w:marTop w:val="0"/>
      <w:marBottom w:val="0"/>
      <w:divBdr>
        <w:top w:val="none" w:sz="0" w:space="0" w:color="auto"/>
        <w:left w:val="none" w:sz="0" w:space="0" w:color="auto"/>
        <w:bottom w:val="none" w:sz="0" w:space="0" w:color="auto"/>
        <w:right w:val="none" w:sz="0" w:space="0" w:color="auto"/>
      </w:divBdr>
    </w:div>
    <w:div w:id="432021914">
      <w:bodyDiv w:val="1"/>
      <w:marLeft w:val="0"/>
      <w:marRight w:val="0"/>
      <w:marTop w:val="0"/>
      <w:marBottom w:val="0"/>
      <w:divBdr>
        <w:top w:val="none" w:sz="0" w:space="0" w:color="auto"/>
        <w:left w:val="none" w:sz="0" w:space="0" w:color="auto"/>
        <w:bottom w:val="none" w:sz="0" w:space="0" w:color="auto"/>
        <w:right w:val="none" w:sz="0" w:space="0" w:color="auto"/>
      </w:divBdr>
    </w:div>
    <w:div w:id="434792181">
      <w:bodyDiv w:val="1"/>
      <w:marLeft w:val="0"/>
      <w:marRight w:val="0"/>
      <w:marTop w:val="0"/>
      <w:marBottom w:val="0"/>
      <w:divBdr>
        <w:top w:val="none" w:sz="0" w:space="0" w:color="auto"/>
        <w:left w:val="none" w:sz="0" w:space="0" w:color="auto"/>
        <w:bottom w:val="none" w:sz="0" w:space="0" w:color="auto"/>
        <w:right w:val="none" w:sz="0" w:space="0" w:color="auto"/>
      </w:divBdr>
    </w:div>
    <w:div w:id="435977904">
      <w:bodyDiv w:val="1"/>
      <w:marLeft w:val="0"/>
      <w:marRight w:val="0"/>
      <w:marTop w:val="0"/>
      <w:marBottom w:val="0"/>
      <w:divBdr>
        <w:top w:val="none" w:sz="0" w:space="0" w:color="auto"/>
        <w:left w:val="none" w:sz="0" w:space="0" w:color="auto"/>
        <w:bottom w:val="none" w:sz="0" w:space="0" w:color="auto"/>
        <w:right w:val="none" w:sz="0" w:space="0" w:color="auto"/>
      </w:divBdr>
    </w:div>
    <w:div w:id="452212996">
      <w:bodyDiv w:val="1"/>
      <w:marLeft w:val="0"/>
      <w:marRight w:val="0"/>
      <w:marTop w:val="0"/>
      <w:marBottom w:val="0"/>
      <w:divBdr>
        <w:top w:val="none" w:sz="0" w:space="0" w:color="auto"/>
        <w:left w:val="none" w:sz="0" w:space="0" w:color="auto"/>
        <w:bottom w:val="none" w:sz="0" w:space="0" w:color="auto"/>
        <w:right w:val="none" w:sz="0" w:space="0" w:color="auto"/>
      </w:divBdr>
    </w:div>
    <w:div w:id="460998182">
      <w:bodyDiv w:val="1"/>
      <w:marLeft w:val="0"/>
      <w:marRight w:val="0"/>
      <w:marTop w:val="0"/>
      <w:marBottom w:val="0"/>
      <w:divBdr>
        <w:top w:val="none" w:sz="0" w:space="0" w:color="auto"/>
        <w:left w:val="none" w:sz="0" w:space="0" w:color="auto"/>
        <w:bottom w:val="none" w:sz="0" w:space="0" w:color="auto"/>
        <w:right w:val="none" w:sz="0" w:space="0" w:color="auto"/>
      </w:divBdr>
    </w:div>
    <w:div w:id="461971493">
      <w:bodyDiv w:val="1"/>
      <w:marLeft w:val="0"/>
      <w:marRight w:val="0"/>
      <w:marTop w:val="0"/>
      <w:marBottom w:val="0"/>
      <w:divBdr>
        <w:top w:val="none" w:sz="0" w:space="0" w:color="auto"/>
        <w:left w:val="none" w:sz="0" w:space="0" w:color="auto"/>
        <w:bottom w:val="none" w:sz="0" w:space="0" w:color="auto"/>
        <w:right w:val="none" w:sz="0" w:space="0" w:color="auto"/>
      </w:divBdr>
    </w:div>
    <w:div w:id="469830792">
      <w:bodyDiv w:val="1"/>
      <w:marLeft w:val="0"/>
      <w:marRight w:val="0"/>
      <w:marTop w:val="0"/>
      <w:marBottom w:val="0"/>
      <w:divBdr>
        <w:top w:val="none" w:sz="0" w:space="0" w:color="auto"/>
        <w:left w:val="none" w:sz="0" w:space="0" w:color="auto"/>
        <w:bottom w:val="none" w:sz="0" w:space="0" w:color="auto"/>
        <w:right w:val="none" w:sz="0" w:space="0" w:color="auto"/>
      </w:divBdr>
    </w:div>
    <w:div w:id="470825380">
      <w:bodyDiv w:val="1"/>
      <w:marLeft w:val="0"/>
      <w:marRight w:val="0"/>
      <w:marTop w:val="0"/>
      <w:marBottom w:val="0"/>
      <w:divBdr>
        <w:top w:val="none" w:sz="0" w:space="0" w:color="auto"/>
        <w:left w:val="none" w:sz="0" w:space="0" w:color="auto"/>
        <w:bottom w:val="none" w:sz="0" w:space="0" w:color="auto"/>
        <w:right w:val="none" w:sz="0" w:space="0" w:color="auto"/>
      </w:divBdr>
    </w:div>
    <w:div w:id="478499188">
      <w:bodyDiv w:val="1"/>
      <w:marLeft w:val="0"/>
      <w:marRight w:val="0"/>
      <w:marTop w:val="0"/>
      <w:marBottom w:val="0"/>
      <w:divBdr>
        <w:top w:val="none" w:sz="0" w:space="0" w:color="auto"/>
        <w:left w:val="none" w:sz="0" w:space="0" w:color="auto"/>
        <w:bottom w:val="none" w:sz="0" w:space="0" w:color="auto"/>
        <w:right w:val="none" w:sz="0" w:space="0" w:color="auto"/>
      </w:divBdr>
    </w:div>
    <w:div w:id="505707008">
      <w:bodyDiv w:val="1"/>
      <w:marLeft w:val="0"/>
      <w:marRight w:val="0"/>
      <w:marTop w:val="0"/>
      <w:marBottom w:val="0"/>
      <w:divBdr>
        <w:top w:val="none" w:sz="0" w:space="0" w:color="auto"/>
        <w:left w:val="none" w:sz="0" w:space="0" w:color="auto"/>
        <w:bottom w:val="none" w:sz="0" w:space="0" w:color="auto"/>
        <w:right w:val="none" w:sz="0" w:space="0" w:color="auto"/>
      </w:divBdr>
    </w:div>
    <w:div w:id="514853181">
      <w:bodyDiv w:val="1"/>
      <w:marLeft w:val="0"/>
      <w:marRight w:val="0"/>
      <w:marTop w:val="0"/>
      <w:marBottom w:val="0"/>
      <w:divBdr>
        <w:top w:val="none" w:sz="0" w:space="0" w:color="auto"/>
        <w:left w:val="none" w:sz="0" w:space="0" w:color="auto"/>
        <w:bottom w:val="none" w:sz="0" w:space="0" w:color="auto"/>
        <w:right w:val="none" w:sz="0" w:space="0" w:color="auto"/>
      </w:divBdr>
    </w:div>
    <w:div w:id="520703435">
      <w:bodyDiv w:val="1"/>
      <w:marLeft w:val="0"/>
      <w:marRight w:val="0"/>
      <w:marTop w:val="0"/>
      <w:marBottom w:val="0"/>
      <w:divBdr>
        <w:top w:val="none" w:sz="0" w:space="0" w:color="auto"/>
        <w:left w:val="none" w:sz="0" w:space="0" w:color="auto"/>
        <w:bottom w:val="none" w:sz="0" w:space="0" w:color="auto"/>
        <w:right w:val="none" w:sz="0" w:space="0" w:color="auto"/>
      </w:divBdr>
    </w:div>
    <w:div w:id="520825049">
      <w:bodyDiv w:val="1"/>
      <w:marLeft w:val="0"/>
      <w:marRight w:val="0"/>
      <w:marTop w:val="0"/>
      <w:marBottom w:val="0"/>
      <w:divBdr>
        <w:top w:val="none" w:sz="0" w:space="0" w:color="auto"/>
        <w:left w:val="none" w:sz="0" w:space="0" w:color="auto"/>
        <w:bottom w:val="none" w:sz="0" w:space="0" w:color="auto"/>
        <w:right w:val="none" w:sz="0" w:space="0" w:color="auto"/>
      </w:divBdr>
    </w:div>
    <w:div w:id="521280758">
      <w:bodyDiv w:val="1"/>
      <w:marLeft w:val="0"/>
      <w:marRight w:val="0"/>
      <w:marTop w:val="0"/>
      <w:marBottom w:val="0"/>
      <w:divBdr>
        <w:top w:val="none" w:sz="0" w:space="0" w:color="auto"/>
        <w:left w:val="none" w:sz="0" w:space="0" w:color="auto"/>
        <w:bottom w:val="none" w:sz="0" w:space="0" w:color="auto"/>
        <w:right w:val="none" w:sz="0" w:space="0" w:color="auto"/>
      </w:divBdr>
    </w:div>
    <w:div w:id="527378812">
      <w:bodyDiv w:val="1"/>
      <w:marLeft w:val="0"/>
      <w:marRight w:val="0"/>
      <w:marTop w:val="0"/>
      <w:marBottom w:val="0"/>
      <w:divBdr>
        <w:top w:val="none" w:sz="0" w:space="0" w:color="auto"/>
        <w:left w:val="none" w:sz="0" w:space="0" w:color="auto"/>
        <w:bottom w:val="none" w:sz="0" w:space="0" w:color="auto"/>
        <w:right w:val="none" w:sz="0" w:space="0" w:color="auto"/>
      </w:divBdr>
    </w:div>
    <w:div w:id="531117022">
      <w:bodyDiv w:val="1"/>
      <w:marLeft w:val="0"/>
      <w:marRight w:val="0"/>
      <w:marTop w:val="0"/>
      <w:marBottom w:val="0"/>
      <w:divBdr>
        <w:top w:val="none" w:sz="0" w:space="0" w:color="auto"/>
        <w:left w:val="none" w:sz="0" w:space="0" w:color="auto"/>
        <w:bottom w:val="none" w:sz="0" w:space="0" w:color="auto"/>
        <w:right w:val="none" w:sz="0" w:space="0" w:color="auto"/>
      </w:divBdr>
    </w:div>
    <w:div w:id="531771531">
      <w:bodyDiv w:val="1"/>
      <w:marLeft w:val="0"/>
      <w:marRight w:val="0"/>
      <w:marTop w:val="0"/>
      <w:marBottom w:val="0"/>
      <w:divBdr>
        <w:top w:val="none" w:sz="0" w:space="0" w:color="auto"/>
        <w:left w:val="none" w:sz="0" w:space="0" w:color="auto"/>
        <w:bottom w:val="none" w:sz="0" w:space="0" w:color="auto"/>
        <w:right w:val="none" w:sz="0" w:space="0" w:color="auto"/>
      </w:divBdr>
    </w:div>
    <w:div w:id="546912224">
      <w:bodyDiv w:val="1"/>
      <w:marLeft w:val="0"/>
      <w:marRight w:val="0"/>
      <w:marTop w:val="0"/>
      <w:marBottom w:val="0"/>
      <w:divBdr>
        <w:top w:val="none" w:sz="0" w:space="0" w:color="auto"/>
        <w:left w:val="none" w:sz="0" w:space="0" w:color="auto"/>
        <w:bottom w:val="none" w:sz="0" w:space="0" w:color="auto"/>
        <w:right w:val="none" w:sz="0" w:space="0" w:color="auto"/>
      </w:divBdr>
    </w:div>
    <w:div w:id="561330251">
      <w:bodyDiv w:val="1"/>
      <w:marLeft w:val="0"/>
      <w:marRight w:val="0"/>
      <w:marTop w:val="0"/>
      <w:marBottom w:val="0"/>
      <w:divBdr>
        <w:top w:val="none" w:sz="0" w:space="0" w:color="auto"/>
        <w:left w:val="none" w:sz="0" w:space="0" w:color="auto"/>
        <w:bottom w:val="none" w:sz="0" w:space="0" w:color="auto"/>
        <w:right w:val="none" w:sz="0" w:space="0" w:color="auto"/>
      </w:divBdr>
    </w:div>
    <w:div w:id="561721272">
      <w:bodyDiv w:val="1"/>
      <w:marLeft w:val="0"/>
      <w:marRight w:val="0"/>
      <w:marTop w:val="0"/>
      <w:marBottom w:val="0"/>
      <w:divBdr>
        <w:top w:val="none" w:sz="0" w:space="0" w:color="auto"/>
        <w:left w:val="none" w:sz="0" w:space="0" w:color="auto"/>
        <w:bottom w:val="none" w:sz="0" w:space="0" w:color="auto"/>
        <w:right w:val="none" w:sz="0" w:space="0" w:color="auto"/>
      </w:divBdr>
    </w:div>
    <w:div w:id="568921596">
      <w:bodyDiv w:val="1"/>
      <w:marLeft w:val="0"/>
      <w:marRight w:val="0"/>
      <w:marTop w:val="0"/>
      <w:marBottom w:val="0"/>
      <w:divBdr>
        <w:top w:val="none" w:sz="0" w:space="0" w:color="auto"/>
        <w:left w:val="none" w:sz="0" w:space="0" w:color="auto"/>
        <w:bottom w:val="none" w:sz="0" w:space="0" w:color="auto"/>
        <w:right w:val="none" w:sz="0" w:space="0" w:color="auto"/>
      </w:divBdr>
    </w:div>
    <w:div w:id="571429440">
      <w:bodyDiv w:val="1"/>
      <w:marLeft w:val="0"/>
      <w:marRight w:val="0"/>
      <w:marTop w:val="0"/>
      <w:marBottom w:val="0"/>
      <w:divBdr>
        <w:top w:val="none" w:sz="0" w:space="0" w:color="auto"/>
        <w:left w:val="none" w:sz="0" w:space="0" w:color="auto"/>
        <w:bottom w:val="none" w:sz="0" w:space="0" w:color="auto"/>
        <w:right w:val="none" w:sz="0" w:space="0" w:color="auto"/>
      </w:divBdr>
    </w:div>
    <w:div w:id="599336669">
      <w:bodyDiv w:val="1"/>
      <w:marLeft w:val="0"/>
      <w:marRight w:val="0"/>
      <w:marTop w:val="0"/>
      <w:marBottom w:val="0"/>
      <w:divBdr>
        <w:top w:val="none" w:sz="0" w:space="0" w:color="auto"/>
        <w:left w:val="none" w:sz="0" w:space="0" w:color="auto"/>
        <w:bottom w:val="none" w:sz="0" w:space="0" w:color="auto"/>
        <w:right w:val="none" w:sz="0" w:space="0" w:color="auto"/>
      </w:divBdr>
    </w:div>
    <w:div w:id="603223573">
      <w:bodyDiv w:val="1"/>
      <w:marLeft w:val="0"/>
      <w:marRight w:val="0"/>
      <w:marTop w:val="0"/>
      <w:marBottom w:val="0"/>
      <w:divBdr>
        <w:top w:val="none" w:sz="0" w:space="0" w:color="auto"/>
        <w:left w:val="none" w:sz="0" w:space="0" w:color="auto"/>
        <w:bottom w:val="none" w:sz="0" w:space="0" w:color="auto"/>
        <w:right w:val="none" w:sz="0" w:space="0" w:color="auto"/>
      </w:divBdr>
    </w:div>
    <w:div w:id="640427665">
      <w:bodyDiv w:val="1"/>
      <w:marLeft w:val="0"/>
      <w:marRight w:val="0"/>
      <w:marTop w:val="0"/>
      <w:marBottom w:val="0"/>
      <w:divBdr>
        <w:top w:val="none" w:sz="0" w:space="0" w:color="auto"/>
        <w:left w:val="none" w:sz="0" w:space="0" w:color="auto"/>
        <w:bottom w:val="none" w:sz="0" w:space="0" w:color="auto"/>
        <w:right w:val="none" w:sz="0" w:space="0" w:color="auto"/>
      </w:divBdr>
    </w:div>
    <w:div w:id="685641824">
      <w:bodyDiv w:val="1"/>
      <w:marLeft w:val="0"/>
      <w:marRight w:val="0"/>
      <w:marTop w:val="0"/>
      <w:marBottom w:val="0"/>
      <w:divBdr>
        <w:top w:val="none" w:sz="0" w:space="0" w:color="auto"/>
        <w:left w:val="none" w:sz="0" w:space="0" w:color="auto"/>
        <w:bottom w:val="none" w:sz="0" w:space="0" w:color="auto"/>
        <w:right w:val="none" w:sz="0" w:space="0" w:color="auto"/>
      </w:divBdr>
    </w:div>
    <w:div w:id="715273744">
      <w:bodyDiv w:val="1"/>
      <w:marLeft w:val="0"/>
      <w:marRight w:val="0"/>
      <w:marTop w:val="0"/>
      <w:marBottom w:val="0"/>
      <w:divBdr>
        <w:top w:val="none" w:sz="0" w:space="0" w:color="auto"/>
        <w:left w:val="none" w:sz="0" w:space="0" w:color="auto"/>
        <w:bottom w:val="none" w:sz="0" w:space="0" w:color="auto"/>
        <w:right w:val="none" w:sz="0" w:space="0" w:color="auto"/>
      </w:divBdr>
    </w:div>
    <w:div w:id="720325807">
      <w:bodyDiv w:val="1"/>
      <w:marLeft w:val="0"/>
      <w:marRight w:val="0"/>
      <w:marTop w:val="0"/>
      <w:marBottom w:val="0"/>
      <w:divBdr>
        <w:top w:val="none" w:sz="0" w:space="0" w:color="auto"/>
        <w:left w:val="none" w:sz="0" w:space="0" w:color="auto"/>
        <w:bottom w:val="none" w:sz="0" w:space="0" w:color="auto"/>
        <w:right w:val="none" w:sz="0" w:space="0" w:color="auto"/>
      </w:divBdr>
    </w:div>
    <w:div w:id="722483843">
      <w:bodyDiv w:val="1"/>
      <w:marLeft w:val="0"/>
      <w:marRight w:val="0"/>
      <w:marTop w:val="0"/>
      <w:marBottom w:val="0"/>
      <w:divBdr>
        <w:top w:val="none" w:sz="0" w:space="0" w:color="auto"/>
        <w:left w:val="none" w:sz="0" w:space="0" w:color="auto"/>
        <w:bottom w:val="none" w:sz="0" w:space="0" w:color="auto"/>
        <w:right w:val="none" w:sz="0" w:space="0" w:color="auto"/>
      </w:divBdr>
    </w:div>
    <w:div w:id="745079556">
      <w:bodyDiv w:val="1"/>
      <w:marLeft w:val="0"/>
      <w:marRight w:val="0"/>
      <w:marTop w:val="0"/>
      <w:marBottom w:val="0"/>
      <w:divBdr>
        <w:top w:val="none" w:sz="0" w:space="0" w:color="auto"/>
        <w:left w:val="none" w:sz="0" w:space="0" w:color="auto"/>
        <w:bottom w:val="none" w:sz="0" w:space="0" w:color="auto"/>
        <w:right w:val="none" w:sz="0" w:space="0" w:color="auto"/>
      </w:divBdr>
    </w:div>
    <w:div w:id="764421415">
      <w:bodyDiv w:val="1"/>
      <w:marLeft w:val="0"/>
      <w:marRight w:val="0"/>
      <w:marTop w:val="0"/>
      <w:marBottom w:val="0"/>
      <w:divBdr>
        <w:top w:val="none" w:sz="0" w:space="0" w:color="auto"/>
        <w:left w:val="none" w:sz="0" w:space="0" w:color="auto"/>
        <w:bottom w:val="none" w:sz="0" w:space="0" w:color="auto"/>
        <w:right w:val="none" w:sz="0" w:space="0" w:color="auto"/>
      </w:divBdr>
    </w:div>
    <w:div w:id="778643556">
      <w:bodyDiv w:val="1"/>
      <w:marLeft w:val="0"/>
      <w:marRight w:val="0"/>
      <w:marTop w:val="0"/>
      <w:marBottom w:val="0"/>
      <w:divBdr>
        <w:top w:val="none" w:sz="0" w:space="0" w:color="auto"/>
        <w:left w:val="none" w:sz="0" w:space="0" w:color="auto"/>
        <w:bottom w:val="none" w:sz="0" w:space="0" w:color="auto"/>
        <w:right w:val="none" w:sz="0" w:space="0" w:color="auto"/>
      </w:divBdr>
    </w:div>
    <w:div w:id="780419083">
      <w:bodyDiv w:val="1"/>
      <w:marLeft w:val="0"/>
      <w:marRight w:val="0"/>
      <w:marTop w:val="0"/>
      <w:marBottom w:val="0"/>
      <w:divBdr>
        <w:top w:val="none" w:sz="0" w:space="0" w:color="auto"/>
        <w:left w:val="none" w:sz="0" w:space="0" w:color="auto"/>
        <w:bottom w:val="none" w:sz="0" w:space="0" w:color="auto"/>
        <w:right w:val="none" w:sz="0" w:space="0" w:color="auto"/>
      </w:divBdr>
    </w:div>
    <w:div w:id="789520505">
      <w:bodyDiv w:val="1"/>
      <w:marLeft w:val="0"/>
      <w:marRight w:val="0"/>
      <w:marTop w:val="0"/>
      <w:marBottom w:val="0"/>
      <w:divBdr>
        <w:top w:val="none" w:sz="0" w:space="0" w:color="auto"/>
        <w:left w:val="none" w:sz="0" w:space="0" w:color="auto"/>
        <w:bottom w:val="none" w:sz="0" w:space="0" w:color="auto"/>
        <w:right w:val="none" w:sz="0" w:space="0" w:color="auto"/>
      </w:divBdr>
    </w:div>
    <w:div w:id="800464359">
      <w:bodyDiv w:val="1"/>
      <w:marLeft w:val="0"/>
      <w:marRight w:val="0"/>
      <w:marTop w:val="0"/>
      <w:marBottom w:val="0"/>
      <w:divBdr>
        <w:top w:val="none" w:sz="0" w:space="0" w:color="auto"/>
        <w:left w:val="none" w:sz="0" w:space="0" w:color="auto"/>
        <w:bottom w:val="none" w:sz="0" w:space="0" w:color="auto"/>
        <w:right w:val="none" w:sz="0" w:space="0" w:color="auto"/>
      </w:divBdr>
    </w:div>
    <w:div w:id="822282384">
      <w:bodyDiv w:val="1"/>
      <w:marLeft w:val="0"/>
      <w:marRight w:val="0"/>
      <w:marTop w:val="0"/>
      <w:marBottom w:val="0"/>
      <w:divBdr>
        <w:top w:val="none" w:sz="0" w:space="0" w:color="auto"/>
        <w:left w:val="none" w:sz="0" w:space="0" w:color="auto"/>
        <w:bottom w:val="none" w:sz="0" w:space="0" w:color="auto"/>
        <w:right w:val="none" w:sz="0" w:space="0" w:color="auto"/>
      </w:divBdr>
    </w:div>
    <w:div w:id="824590762">
      <w:bodyDiv w:val="1"/>
      <w:marLeft w:val="0"/>
      <w:marRight w:val="0"/>
      <w:marTop w:val="0"/>
      <w:marBottom w:val="0"/>
      <w:divBdr>
        <w:top w:val="none" w:sz="0" w:space="0" w:color="auto"/>
        <w:left w:val="none" w:sz="0" w:space="0" w:color="auto"/>
        <w:bottom w:val="none" w:sz="0" w:space="0" w:color="auto"/>
        <w:right w:val="none" w:sz="0" w:space="0" w:color="auto"/>
      </w:divBdr>
    </w:div>
    <w:div w:id="828441798">
      <w:bodyDiv w:val="1"/>
      <w:marLeft w:val="0"/>
      <w:marRight w:val="0"/>
      <w:marTop w:val="0"/>
      <w:marBottom w:val="0"/>
      <w:divBdr>
        <w:top w:val="none" w:sz="0" w:space="0" w:color="auto"/>
        <w:left w:val="none" w:sz="0" w:space="0" w:color="auto"/>
        <w:bottom w:val="none" w:sz="0" w:space="0" w:color="auto"/>
        <w:right w:val="none" w:sz="0" w:space="0" w:color="auto"/>
      </w:divBdr>
    </w:div>
    <w:div w:id="876359985">
      <w:bodyDiv w:val="1"/>
      <w:marLeft w:val="0"/>
      <w:marRight w:val="0"/>
      <w:marTop w:val="0"/>
      <w:marBottom w:val="0"/>
      <w:divBdr>
        <w:top w:val="none" w:sz="0" w:space="0" w:color="auto"/>
        <w:left w:val="none" w:sz="0" w:space="0" w:color="auto"/>
        <w:bottom w:val="none" w:sz="0" w:space="0" w:color="auto"/>
        <w:right w:val="none" w:sz="0" w:space="0" w:color="auto"/>
      </w:divBdr>
    </w:div>
    <w:div w:id="897009963">
      <w:bodyDiv w:val="1"/>
      <w:marLeft w:val="0"/>
      <w:marRight w:val="0"/>
      <w:marTop w:val="0"/>
      <w:marBottom w:val="0"/>
      <w:divBdr>
        <w:top w:val="none" w:sz="0" w:space="0" w:color="auto"/>
        <w:left w:val="none" w:sz="0" w:space="0" w:color="auto"/>
        <w:bottom w:val="none" w:sz="0" w:space="0" w:color="auto"/>
        <w:right w:val="none" w:sz="0" w:space="0" w:color="auto"/>
      </w:divBdr>
    </w:div>
    <w:div w:id="919171520">
      <w:bodyDiv w:val="1"/>
      <w:marLeft w:val="0"/>
      <w:marRight w:val="0"/>
      <w:marTop w:val="0"/>
      <w:marBottom w:val="0"/>
      <w:divBdr>
        <w:top w:val="none" w:sz="0" w:space="0" w:color="auto"/>
        <w:left w:val="none" w:sz="0" w:space="0" w:color="auto"/>
        <w:bottom w:val="none" w:sz="0" w:space="0" w:color="auto"/>
        <w:right w:val="none" w:sz="0" w:space="0" w:color="auto"/>
      </w:divBdr>
    </w:div>
    <w:div w:id="932932587">
      <w:bodyDiv w:val="1"/>
      <w:marLeft w:val="0"/>
      <w:marRight w:val="0"/>
      <w:marTop w:val="0"/>
      <w:marBottom w:val="0"/>
      <w:divBdr>
        <w:top w:val="none" w:sz="0" w:space="0" w:color="auto"/>
        <w:left w:val="none" w:sz="0" w:space="0" w:color="auto"/>
        <w:bottom w:val="none" w:sz="0" w:space="0" w:color="auto"/>
        <w:right w:val="none" w:sz="0" w:space="0" w:color="auto"/>
      </w:divBdr>
    </w:div>
    <w:div w:id="936718186">
      <w:bodyDiv w:val="1"/>
      <w:marLeft w:val="0"/>
      <w:marRight w:val="0"/>
      <w:marTop w:val="0"/>
      <w:marBottom w:val="0"/>
      <w:divBdr>
        <w:top w:val="none" w:sz="0" w:space="0" w:color="auto"/>
        <w:left w:val="none" w:sz="0" w:space="0" w:color="auto"/>
        <w:bottom w:val="none" w:sz="0" w:space="0" w:color="auto"/>
        <w:right w:val="none" w:sz="0" w:space="0" w:color="auto"/>
      </w:divBdr>
    </w:div>
    <w:div w:id="962884735">
      <w:bodyDiv w:val="1"/>
      <w:marLeft w:val="0"/>
      <w:marRight w:val="0"/>
      <w:marTop w:val="0"/>
      <w:marBottom w:val="0"/>
      <w:divBdr>
        <w:top w:val="none" w:sz="0" w:space="0" w:color="auto"/>
        <w:left w:val="none" w:sz="0" w:space="0" w:color="auto"/>
        <w:bottom w:val="none" w:sz="0" w:space="0" w:color="auto"/>
        <w:right w:val="none" w:sz="0" w:space="0" w:color="auto"/>
      </w:divBdr>
    </w:div>
    <w:div w:id="964967740">
      <w:bodyDiv w:val="1"/>
      <w:marLeft w:val="0"/>
      <w:marRight w:val="0"/>
      <w:marTop w:val="0"/>
      <w:marBottom w:val="0"/>
      <w:divBdr>
        <w:top w:val="none" w:sz="0" w:space="0" w:color="auto"/>
        <w:left w:val="none" w:sz="0" w:space="0" w:color="auto"/>
        <w:bottom w:val="none" w:sz="0" w:space="0" w:color="auto"/>
        <w:right w:val="none" w:sz="0" w:space="0" w:color="auto"/>
      </w:divBdr>
    </w:div>
    <w:div w:id="971983661">
      <w:bodyDiv w:val="1"/>
      <w:marLeft w:val="0"/>
      <w:marRight w:val="0"/>
      <w:marTop w:val="0"/>
      <w:marBottom w:val="0"/>
      <w:divBdr>
        <w:top w:val="none" w:sz="0" w:space="0" w:color="auto"/>
        <w:left w:val="none" w:sz="0" w:space="0" w:color="auto"/>
        <w:bottom w:val="none" w:sz="0" w:space="0" w:color="auto"/>
        <w:right w:val="none" w:sz="0" w:space="0" w:color="auto"/>
      </w:divBdr>
    </w:div>
    <w:div w:id="979726854">
      <w:bodyDiv w:val="1"/>
      <w:marLeft w:val="0"/>
      <w:marRight w:val="0"/>
      <w:marTop w:val="0"/>
      <w:marBottom w:val="0"/>
      <w:divBdr>
        <w:top w:val="none" w:sz="0" w:space="0" w:color="auto"/>
        <w:left w:val="none" w:sz="0" w:space="0" w:color="auto"/>
        <w:bottom w:val="none" w:sz="0" w:space="0" w:color="auto"/>
        <w:right w:val="none" w:sz="0" w:space="0" w:color="auto"/>
      </w:divBdr>
    </w:div>
    <w:div w:id="985746290">
      <w:bodyDiv w:val="1"/>
      <w:marLeft w:val="0"/>
      <w:marRight w:val="0"/>
      <w:marTop w:val="0"/>
      <w:marBottom w:val="0"/>
      <w:divBdr>
        <w:top w:val="none" w:sz="0" w:space="0" w:color="auto"/>
        <w:left w:val="none" w:sz="0" w:space="0" w:color="auto"/>
        <w:bottom w:val="none" w:sz="0" w:space="0" w:color="auto"/>
        <w:right w:val="none" w:sz="0" w:space="0" w:color="auto"/>
      </w:divBdr>
    </w:div>
    <w:div w:id="995230236">
      <w:bodyDiv w:val="1"/>
      <w:marLeft w:val="0"/>
      <w:marRight w:val="0"/>
      <w:marTop w:val="0"/>
      <w:marBottom w:val="0"/>
      <w:divBdr>
        <w:top w:val="none" w:sz="0" w:space="0" w:color="auto"/>
        <w:left w:val="none" w:sz="0" w:space="0" w:color="auto"/>
        <w:bottom w:val="none" w:sz="0" w:space="0" w:color="auto"/>
        <w:right w:val="none" w:sz="0" w:space="0" w:color="auto"/>
      </w:divBdr>
    </w:div>
    <w:div w:id="999963462">
      <w:bodyDiv w:val="1"/>
      <w:marLeft w:val="0"/>
      <w:marRight w:val="0"/>
      <w:marTop w:val="0"/>
      <w:marBottom w:val="0"/>
      <w:divBdr>
        <w:top w:val="none" w:sz="0" w:space="0" w:color="auto"/>
        <w:left w:val="none" w:sz="0" w:space="0" w:color="auto"/>
        <w:bottom w:val="none" w:sz="0" w:space="0" w:color="auto"/>
        <w:right w:val="none" w:sz="0" w:space="0" w:color="auto"/>
      </w:divBdr>
    </w:div>
    <w:div w:id="1003434092">
      <w:bodyDiv w:val="1"/>
      <w:marLeft w:val="0"/>
      <w:marRight w:val="0"/>
      <w:marTop w:val="0"/>
      <w:marBottom w:val="0"/>
      <w:divBdr>
        <w:top w:val="none" w:sz="0" w:space="0" w:color="auto"/>
        <w:left w:val="none" w:sz="0" w:space="0" w:color="auto"/>
        <w:bottom w:val="none" w:sz="0" w:space="0" w:color="auto"/>
        <w:right w:val="none" w:sz="0" w:space="0" w:color="auto"/>
      </w:divBdr>
    </w:div>
    <w:div w:id="1004479856">
      <w:bodyDiv w:val="1"/>
      <w:marLeft w:val="0"/>
      <w:marRight w:val="0"/>
      <w:marTop w:val="0"/>
      <w:marBottom w:val="0"/>
      <w:divBdr>
        <w:top w:val="none" w:sz="0" w:space="0" w:color="auto"/>
        <w:left w:val="none" w:sz="0" w:space="0" w:color="auto"/>
        <w:bottom w:val="none" w:sz="0" w:space="0" w:color="auto"/>
        <w:right w:val="none" w:sz="0" w:space="0" w:color="auto"/>
      </w:divBdr>
    </w:div>
    <w:div w:id="1019160064">
      <w:bodyDiv w:val="1"/>
      <w:marLeft w:val="0"/>
      <w:marRight w:val="0"/>
      <w:marTop w:val="0"/>
      <w:marBottom w:val="0"/>
      <w:divBdr>
        <w:top w:val="none" w:sz="0" w:space="0" w:color="auto"/>
        <w:left w:val="none" w:sz="0" w:space="0" w:color="auto"/>
        <w:bottom w:val="none" w:sz="0" w:space="0" w:color="auto"/>
        <w:right w:val="none" w:sz="0" w:space="0" w:color="auto"/>
      </w:divBdr>
    </w:div>
    <w:div w:id="1027293622">
      <w:bodyDiv w:val="1"/>
      <w:marLeft w:val="0"/>
      <w:marRight w:val="0"/>
      <w:marTop w:val="0"/>
      <w:marBottom w:val="0"/>
      <w:divBdr>
        <w:top w:val="none" w:sz="0" w:space="0" w:color="auto"/>
        <w:left w:val="none" w:sz="0" w:space="0" w:color="auto"/>
        <w:bottom w:val="none" w:sz="0" w:space="0" w:color="auto"/>
        <w:right w:val="none" w:sz="0" w:space="0" w:color="auto"/>
      </w:divBdr>
    </w:div>
    <w:div w:id="1034308900">
      <w:bodyDiv w:val="1"/>
      <w:marLeft w:val="0"/>
      <w:marRight w:val="0"/>
      <w:marTop w:val="0"/>
      <w:marBottom w:val="0"/>
      <w:divBdr>
        <w:top w:val="none" w:sz="0" w:space="0" w:color="auto"/>
        <w:left w:val="none" w:sz="0" w:space="0" w:color="auto"/>
        <w:bottom w:val="none" w:sz="0" w:space="0" w:color="auto"/>
        <w:right w:val="none" w:sz="0" w:space="0" w:color="auto"/>
      </w:divBdr>
    </w:div>
    <w:div w:id="1047726950">
      <w:bodyDiv w:val="1"/>
      <w:marLeft w:val="0"/>
      <w:marRight w:val="0"/>
      <w:marTop w:val="0"/>
      <w:marBottom w:val="0"/>
      <w:divBdr>
        <w:top w:val="none" w:sz="0" w:space="0" w:color="auto"/>
        <w:left w:val="none" w:sz="0" w:space="0" w:color="auto"/>
        <w:bottom w:val="none" w:sz="0" w:space="0" w:color="auto"/>
        <w:right w:val="none" w:sz="0" w:space="0" w:color="auto"/>
      </w:divBdr>
    </w:div>
    <w:div w:id="1049300292">
      <w:bodyDiv w:val="1"/>
      <w:marLeft w:val="0"/>
      <w:marRight w:val="0"/>
      <w:marTop w:val="0"/>
      <w:marBottom w:val="0"/>
      <w:divBdr>
        <w:top w:val="none" w:sz="0" w:space="0" w:color="auto"/>
        <w:left w:val="none" w:sz="0" w:space="0" w:color="auto"/>
        <w:bottom w:val="none" w:sz="0" w:space="0" w:color="auto"/>
        <w:right w:val="none" w:sz="0" w:space="0" w:color="auto"/>
      </w:divBdr>
    </w:div>
    <w:div w:id="1049382604">
      <w:bodyDiv w:val="1"/>
      <w:marLeft w:val="0"/>
      <w:marRight w:val="0"/>
      <w:marTop w:val="0"/>
      <w:marBottom w:val="0"/>
      <w:divBdr>
        <w:top w:val="none" w:sz="0" w:space="0" w:color="auto"/>
        <w:left w:val="none" w:sz="0" w:space="0" w:color="auto"/>
        <w:bottom w:val="none" w:sz="0" w:space="0" w:color="auto"/>
        <w:right w:val="none" w:sz="0" w:space="0" w:color="auto"/>
      </w:divBdr>
    </w:div>
    <w:div w:id="1049768077">
      <w:bodyDiv w:val="1"/>
      <w:marLeft w:val="0"/>
      <w:marRight w:val="0"/>
      <w:marTop w:val="0"/>
      <w:marBottom w:val="0"/>
      <w:divBdr>
        <w:top w:val="none" w:sz="0" w:space="0" w:color="auto"/>
        <w:left w:val="none" w:sz="0" w:space="0" w:color="auto"/>
        <w:bottom w:val="none" w:sz="0" w:space="0" w:color="auto"/>
        <w:right w:val="none" w:sz="0" w:space="0" w:color="auto"/>
      </w:divBdr>
    </w:div>
    <w:div w:id="1055662381">
      <w:bodyDiv w:val="1"/>
      <w:marLeft w:val="0"/>
      <w:marRight w:val="0"/>
      <w:marTop w:val="0"/>
      <w:marBottom w:val="0"/>
      <w:divBdr>
        <w:top w:val="none" w:sz="0" w:space="0" w:color="auto"/>
        <w:left w:val="none" w:sz="0" w:space="0" w:color="auto"/>
        <w:bottom w:val="none" w:sz="0" w:space="0" w:color="auto"/>
        <w:right w:val="none" w:sz="0" w:space="0" w:color="auto"/>
      </w:divBdr>
    </w:div>
    <w:div w:id="1055737113">
      <w:bodyDiv w:val="1"/>
      <w:marLeft w:val="0"/>
      <w:marRight w:val="0"/>
      <w:marTop w:val="0"/>
      <w:marBottom w:val="0"/>
      <w:divBdr>
        <w:top w:val="none" w:sz="0" w:space="0" w:color="auto"/>
        <w:left w:val="none" w:sz="0" w:space="0" w:color="auto"/>
        <w:bottom w:val="none" w:sz="0" w:space="0" w:color="auto"/>
        <w:right w:val="none" w:sz="0" w:space="0" w:color="auto"/>
      </w:divBdr>
    </w:div>
    <w:div w:id="1059088527">
      <w:bodyDiv w:val="1"/>
      <w:marLeft w:val="0"/>
      <w:marRight w:val="0"/>
      <w:marTop w:val="0"/>
      <w:marBottom w:val="0"/>
      <w:divBdr>
        <w:top w:val="none" w:sz="0" w:space="0" w:color="auto"/>
        <w:left w:val="none" w:sz="0" w:space="0" w:color="auto"/>
        <w:bottom w:val="none" w:sz="0" w:space="0" w:color="auto"/>
        <w:right w:val="none" w:sz="0" w:space="0" w:color="auto"/>
      </w:divBdr>
    </w:div>
    <w:div w:id="1063597135">
      <w:bodyDiv w:val="1"/>
      <w:marLeft w:val="0"/>
      <w:marRight w:val="0"/>
      <w:marTop w:val="0"/>
      <w:marBottom w:val="0"/>
      <w:divBdr>
        <w:top w:val="none" w:sz="0" w:space="0" w:color="auto"/>
        <w:left w:val="none" w:sz="0" w:space="0" w:color="auto"/>
        <w:bottom w:val="none" w:sz="0" w:space="0" w:color="auto"/>
        <w:right w:val="none" w:sz="0" w:space="0" w:color="auto"/>
      </w:divBdr>
    </w:div>
    <w:div w:id="1064839753">
      <w:bodyDiv w:val="1"/>
      <w:marLeft w:val="0"/>
      <w:marRight w:val="0"/>
      <w:marTop w:val="0"/>
      <w:marBottom w:val="0"/>
      <w:divBdr>
        <w:top w:val="none" w:sz="0" w:space="0" w:color="auto"/>
        <w:left w:val="none" w:sz="0" w:space="0" w:color="auto"/>
        <w:bottom w:val="none" w:sz="0" w:space="0" w:color="auto"/>
        <w:right w:val="none" w:sz="0" w:space="0" w:color="auto"/>
      </w:divBdr>
    </w:div>
    <w:div w:id="1077240137">
      <w:bodyDiv w:val="1"/>
      <w:marLeft w:val="0"/>
      <w:marRight w:val="0"/>
      <w:marTop w:val="0"/>
      <w:marBottom w:val="0"/>
      <w:divBdr>
        <w:top w:val="none" w:sz="0" w:space="0" w:color="auto"/>
        <w:left w:val="none" w:sz="0" w:space="0" w:color="auto"/>
        <w:bottom w:val="none" w:sz="0" w:space="0" w:color="auto"/>
        <w:right w:val="none" w:sz="0" w:space="0" w:color="auto"/>
      </w:divBdr>
    </w:div>
    <w:div w:id="1098792603">
      <w:bodyDiv w:val="1"/>
      <w:marLeft w:val="0"/>
      <w:marRight w:val="0"/>
      <w:marTop w:val="0"/>
      <w:marBottom w:val="0"/>
      <w:divBdr>
        <w:top w:val="none" w:sz="0" w:space="0" w:color="auto"/>
        <w:left w:val="none" w:sz="0" w:space="0" w:color="auto"/>
        <w:bottom w:val="none" w:sz="0" w:space="0" w:color="auto"/>
        <w:right w:val="none" w:sz="0" w:space="0" w:color="auto"/>
      </w:divBdr>
    </w:div>
    <w:div w:id="1100370246">
      <w:bodyDiv w:val="1"/>
      <w:marLeft w:val="0"/>
      <w:marRight w:val="0"/>
      <w:marTop w:val="0"/>
      <w:marBottom w:val="0"/>
      <w:divBdr>
        <w:top w:val="none" w:sz="0" w:space="0" w:color="auto"/>
        <w:left w:val="none" w:sz="0" w:space="0" w:color="auto"/>
        <w:bottom w:val="none" w:sz="0" w:space="0" w:color="auto"/>
        <w:right w:val="none" w:sz="0" w:space="0" w:color="auto"/>
      </w:divBdr>
    </w:div>
    <w:div w:id="1104837210">
      <w:bodyDiv w:val="1"/>
      <w:marLeft w:val="0"/>
      <w:marRight w:val="0"/>
      <w:marTop w:val="0"/>
      <w:marBottom w:val="0"/>
      <w:divBdr>
        <w:top w:val="none" w:sz="0" w:space="0" w:color="auto"/>
        <w:left w:val="none" w:sz="0" w:space="0" w:color="auto"/>
        <w:bottom w:val="none" w:sz="0" w:space="0" w:color="auto"/>
        <w:right w:val="none" w:sz="0" w:space="0" w:color="auto"/>
      </w:divBdr>
    </w:div>
    <w:div w:id="1111244080">
      <w:bodyDiv w:val="1"/>
      <w:marLeft w:val="0"/>
      <w:marRight w:val="0"/>
      <w:marTop w:val="0"/>
      <w:marBottom w:val="0"/>
      <w:divBdr>
        <w:top w:val="none" w:sz="0" w:space="0" w:color="auto"/>
        <w:left w:val="none" w:sz="0" w:space="0" w:color="auto"/>
        <w:bottom w:val="none" w:sz="0" w:space="0" w:color="auto"/>
        <w:right w:val="none" w:sz="0" w:space="0" w:color="auto"/>
      </w:divBdr>
    </w:div>
    <w:div w:id="1116942483">
      <w:bodyDiv w:val="1"/>
      <w:marLeft w:val="0"/>
      <w:marRight w:val="0"/>
      <w:marTop w:val="0"/>
      <w:marBottom w:val="0"/>
      <w:divBdr>
        <w:top w:val="none" w:sz="0" w:space="0" w:color="auto"/>
        <w:left w:val="none" w:sz="0" w:space="0" w:color="auto"/>
        <w:bottom w:val="none" w:sz="0" w:space="0" w:color="auto"/>
        <w:right w:val="none" w:sz="0" w:space="0" w:color="auto"/>
      </w:divBdr>
    </w:div>
    <w:div w:id="1145050289">
      <w:bodyDiv w:val="1"/>
      <w:marLeft w:val="0"/>
      <w:marRight w:val="0"/>
      <w:marTop w:val="0"/>
      <w:marBottom w:val="0"/>
      <w:divBdr>
        <w:top w:val="none" w:sz="0" w:space="0" w:color="auto"/>
        <w:left w:val="none" w:sz="0" w:space="0" w:color="auto"/>
        <w:bottom w:val="none" w:sz="0" w:space="0" w:color="auto"/>
        <w:right w:val="none" w:sz="0" w:space="0" w:color="auto"/>
      </w:divBdr>
    </w:div>
    <w:div w:id="1151407311">
      <w:bodyDiv w:val="1"/>
      <w:marLeft w:val="0"/>
      <w:marRight w:val="0"/>
      <w:marTop w:val="0"/>
      <w:marBottom w:val="0"/>
      <w:divBdr>
        <w:top w:val="none" w:sz="0" w:space="0" w:color="auto"/>
        <w:left w:val="none" w:sz="0" w:space="0" w:color="auto"/>
        <w:bottom w:val="none" w:sz="0" w:space="0" w:color="auto"/>
        <w:right w:val="none" w:sz="0" w:space="0" w:color="auto"/>
      </w:divBdr>
    </w:div>
    <w:div w:id="1165124041">
      <w:bodyDiv w:val="1"/>
      <w:marLeft w:val="0"/>
      <w:marRight w:val="0"/>
      <w:marTop w:val="0"/>
      <w:marBottom w:val="0"/>
      <w:divBdr>
        <w:top w:val="none" w:sz="0" w:space="0" w:color="auto"/>
        <w:left w:val="none" w:sz="0" w:space="0" w:color="auto"/>
        <w:bottom w:val="none" w:sz="0" w:space="0" w:color="auto"/>
        <w:right w:val="none" w:sz="0" w:space="0" w:color="auto"/>
      </w:divBdr>
    </w:div>
    <w:div w:id="1166362165">
      <w:bodyDiv w:val="1"/>
      <w:marLeft w:val="0"/>
      <w:marRight w:val="0"/>
      <w:marTop w:val="0"/>
      <w:marBottom w:val="0"/>
      <w:divBdr>
        <w:top w:val="none" w:sz="0" w:space="0" w:color="auto"/>
        <w:left w:val="none" w:sz="0" w:space="0" w:color="auto"/>
        <w:bottom w:val="none" w:sz="0" w:space="0" w:color="auto"/>
        <w:right w:val="none" w:sz="0" w:space="0" w:color="auto"/>
      </w:divBdr>
    </w:div>
    <w:div w:id="1171139875">
      <w:bodyDiv w:val="1"/>
      <w:marLeft w:val="0"/>
      <w:marRight w:val="0"/>
      <w:marTop w:val="0"/>
      <w:marBottom w:val="0"/>
      <w:divBdr>
        <w:top w:val="none" w:sz="0" w:space="0" w:color="auto"/>
        <w:left w:val="none" w:sz="0" w:space="0" w:color="auto"/>
        <w:bottom w:val="none" w:sz="0" w:space="0" w:color="auto"/>
        <w:right w:val="none" w:sz="0" w:space="0" w:color="auto"/>
      </w:divBdr>
    </w:div>
    <w:div w:id="1182747509">
      <w:bodyDiv w:val="1"/>
      <w:marLeft w:val="0"/>
      <w:marRight w:val="0"/>
      <w:marTop w:val="0"/>
      <w:marBottom w:val="0"/>
      <w:divBdr>
        <w:top w:val="none" w:sz="0" w:space="0" w:color="auto"/>
        <w:left w:val="none" w:sz="0" w:space="0" w:color="auto"/>
        <w:bottom w:val="none" w:sz="0" w:space="0" w:color="auto"/>
        <w:right w:val="none" w:sz="0" w:space="0" w:color="auto"/>
      </w:divBdr>
    </w:div>
    <w:div w:id="1188835557">
      <w:bodyDiv w:val="1"/>
      <w:marLeft w:val="0"/>
      <w:marRight w:val="0"/>
      <w:marTop w:val="0"/>
      <w:marBottom w:val="0"/>
      <w:divBdr>
        <w:top w:val="none" w:sz="0" w:space="0" w:color="auto"/>
        <w:left w:val="none" w:sz="0" w:space="0" w:color="auto"/>
        <w:bottom w:val="none" w:sz="0" w:space="0" w:color="auto"/>
        <w:right w:val="none" w:sz="0" w:space="0" w:color="auto"/>
      </w:divBdr>
    </w:div>
    <w:div w:id="1190804326">
      <w:bodyDiv w:val="1"/>
      <w:marLeft w:val="0"/>
      <w:marRight w:val="0"/>
      <w:marTop w:val="0"/>
      <w:marBottom w:val="0"/>
      <w:divBdr>
        <w:top w:val="none" w:sz="0" w:space="0" w:color="auto"/>
        <w:left w:val="none" w:sz="0" w:space="0" w:color="auto"/>
        <w:bottom w:val="none" w:sz="0" w:space="0" w:color="auto"/>
        <w:right w:val="none" w:sz="0" w:space="0" w:color="auto"/>
      </w:divBdr>
    </w:div>
    <w:div w:id="1191721702">
      <w:bodyDiv w:val="1"/>
      <w:marLeft w:val="0"/>
      <w:marRight w:val="0"/>
      <w:marTop w:val="0"/>
      <w:marBottom w:val="0"/>
      <w:divBdr>
        <w:top w:val="none" w:sz="0" w:space="0" w:color="auto"/>
        <w:left w:val="none" w:sz="0" w:space="0" w:color="auto"/>
        <w:bottom w:val="none" w:sz="0" w:space="0" w:color="auto"/>
        <w:right w:val="none" w:sz="0" w:space="0" w:color="auto"/>
      </w:divBdr>
    </w:div>
    <w:div w:id="1194465093">
      <w:bodyDiv w:val="1"/>
      <w:marLeft w:val="0"/>
      <w:marRight w:val="0"/>
      <w:marTop w:val="0"/>
      <w:marBottom w:val="0"/>
      <w:divBdr>
        <w:top w:val="none" w:sz="0" w:space="0" w:color="auto"/>
        <w:left w:val="none" w:sz="0" w:space="0" w:color="auto"/>
        <w:bottom w:val="none" w:sz="0" w:space="0" w:color="auto"/>
        <w:right w:val="none" w:sz="0" w:space="0" w:color="auto"/>
      </w:divBdr>
    </w:div>
    <w:div w:id="1194533760">
      <w:bodyDiv w:val="1"/>
      <w:marLeft w:val="0"/>
      <w:marRight w:val="0"/>
      <w:marTop w:val="0"/>
      <w:marBottom w:val="0"/>
      <w:divBdr>
        <w:top w:val="none" w:sz="0" w:space="0" w:color="auto"/>
        <w:left w:val="none" w:sz="0" w:space="0" w:color="auto"/>
        <w:bottom w:val="none" w:sz="0" w:space="0" w:color="auto"/>
        <w:right w:val="none" w:sz="0" w:space="0" w:color="auto"/>
      </w:divBdr>
    </w:div>
    <w:div w:id="1195188397">
      <w:bodyDiv w:val="1"/>
      <w:marLeft w:val="0"/>
      <w:marRight w:val="0"/>
      <w:marTop w:val="0"/>
      <w:marBottom w:val="0"/>
      <w:divBdr>
        <w:top w:val="none" w:sz="0" w:space="0" w:color="auto"/>
        <w:left w:val="none" w:sz="0" w:space="0" w:color="auto"/>
        <w:bottom w:val="none" w:sz="0" w:space="0" w:color="auto"/>
        <w:right w:val="none" w:sz="0" w:space="0" w:color="auto"/>
      </w:divBdr>
    </w:div>
    <w:div w:id="1201093789">
      <w:bodyDiv w:val="1"/>
      <w:marLeft w:val="0"/>
      <w:marRight w:val="0"/>
      <w:marTop w:val="0"/>
      <w:marBottom w:val="0"/>
      <w:divBdr>
        <w:top w:val="none" w:sz="0" w:space="0" w:color="auto"/>
        <w:left w:val="none" w:sz="0" w:space="0" w:color="auto"/>
        <w:bottom w:val="none" w:sz="0" w:space="0" w:color="auto"/>
        <w:right w:val="none" w:sz="0" w:space="0" w:color="auto"/>
      </w:divBdr>
    </w:div>
    <w:div w:id="1228027481">
      <w:bodyDiv w:val="1"/>
      <w:marLeft w:val="0"/>
      <w:marRight w:val="0"/>
      <w:marTop w:val="0"/>
      <w:marBottom w:val="0"/>
      <w:divBdr>
        <w:top w:val="none" w:sz="0" w:space="0" w:color="auto"/>
        <w:left w:val="none" w:sz="0" w:space="0" w:color="auto"/>
        <w:bottom w:val="none" w:sz="0" w:space="0" w:color="auto"/>
        <w:right w:val="none" w:sz="0" w:space="0" w:color="auto"/>
      </w:divBdr>
    </w:div>
    <w:div w:id="1230119562">
      <w:bodyDiv w:val="1"/>
      <w:marLeft w:val="0"/>
      <w:marRight w:val="0"/>
      <w:marTop w:val="0"/>
      <w:marBottom w:val="0"/>
      <w:divBdr>
        <w:top w:val="none" w:sz="0" w:space="0" w:color="auto"/>
        <w:left w:val="none" w:sz="0" w:space="0" w:color="auto"/>
        <w:bottom w:val="none" w:sz="0" w:space="0" w:color="auto"/>
        <w:right w:val="none" w:sz="0" w:space="0" w:color="auto"/>
      </w:divBdr>
    </w:div>
    <w:div w:id="1233274922">
      <w:bodyDiv w:val="1"/>
      <w:marLeft w:val="0"/>
      <w:marRight w:val="0"/>
      <w:marTop w:val="0"/>
      <w:marBottom w:val="0"/>
      <w:divBdr>
        <w:top w:val="none" w:sz="0" w:space="0" w:color="auto"/>
        <w:left w:val="none" w:sz="0" w:space="0" w:color="auto"/>
        <w:bottom w:val="none" w:sz="0" w:space="0" w:color="auto"/>
        <w:right w:val="none" w:sz="0" w:space="0" w:color="auto"/>
      </w:divBdr>
    </w:div>
    <w:div w:id="1233276167">
      <w:bodyDiv w:val="1"/>
      <w:marLeft w:val="0"/>
      <w:marRight w:val="0"/>
      <w:marTop w:val="0"/>
      <w:marBottom w:val="0"/>
      <w:divBdr>
        <w:top w:val="none" w:sz="0" w:space="0" w:color="auto"/>
        <w:left w:val="none" w:sz="0" w:space="0" w:color="auto"/>
        <w:bottom w:val="none" w:sz="0" w:space="0" w:color="auto"/>
        <w:right w:val="none" w:sz="0" w:space="0" w:color="auto"/>
      </w:divBdr>
    </w:div>
    <w:div w:id="1235897864">
      <w:bodyDiv w:val="1"/>
      <w:marLeft w:val="0"/>
      <w:marRight w:val="0"/>
      <w:marTop w:val="0"/>
      <w:marBottom w:val="0"/>
      <w:divBdr>
        <w:top w:val="none" w:sz="0" w:space="0" w:color="auto"/>
        <w:left w:val="none" w:sz="0" w:space="0" w:color="auto"/>
        <w:bottom w:val="none" w:sz="0" w:space="0" w:color="auto"/>
        <w:right w:val="none" w:sz="0" w:space="0" w:color="auto"/>
      </w:divBdr>
    </w:div>
    <w:div w:id="1239171902">
      <w:bodyDiv w:val="1"/>
      <w:marLeft w:val="0"/>
      <w:marRight w:val="0"/>
      <w:marTop w:val="0"/>
      <w:marBottom w:val="0"/>
      <w:divBdr>
        <w:top w:val="none" w:sz="0" w:space="0" w:color="auto"/>
        <w:left w:val="none" w:sz="0" w:space="0" w:color="auto"/>
        <w:bottom w:val="none" w:sz="0" w:space="0" w:color="auto"/>
        <w:right w:val="none" w:sz="0" w:space="0" w:color="auto"/>
      </w:divBdr>
    </w:div>
    <w:div w:id="1248418940">
      <w:bodyDiv w:val="1"/>
      <w:marLeft w:val="0"/>
      <w:marRight w:val="0"/>
      <w:marTop w:val="0"/>
      <w:marBottom w:val="0"/>
      <w:divBdr>
        <w:top w:val="none" w:sz="0" w:space="0" w:color="auto"/>
        <w:left w:val="none" w:sz="0" w:space="0" w:color="auto"/>
        <w:bottom w:val="none" w:sz="0" w:space="0" w:color="auto"/>
        <w:right w:val="none" w:sz="0" w:space="0" w:color="auto"/>
      </w:divBdr>
    </w:div>
    <w:div w:id="1252281439">
      <w:bodyDiv w:val="1"/>
      <w:marLeft w:val="0"/>
      <w:marRight w:val="0"/>
      <w:marTop w:val="0"/>
      <w:marBottom w:val="0"/>
      <w:divBdr>
        <w:top w:val="none" w:sz="0" w:space="0" w:color="auto"/>
        <w:left w:val="none" w:sz="0" w:space="0" w:color="auto"/>
        <w:bottom w:val="none" w:sz="0" w:space="0" w:color="auto"/>
        <w:right w:val="none" w:sz="0" w:space="0" w:color="auto"/>
      </w:divBdr>
    </w:div>
    <w:div w:id="1276790153">
      <w:bodyDiv w:val="1"/>
      <w:marLeft w:val="0"/>
      <w:marRight w:val="0"/>
      <w:marTop w:val="0"/>
      <w:marBottom w:val="0"/>
      <w:divBdr>
        <w:top w:val="none" w:sz="0" w:space="0" w:color="auto"/>
        <w:left w:val="none" w:sz="0" w:space="0" w:color="auto"/>
        <w:bottom w:val="none" w:sz="0" w:space="0" w:color="auto"/>
        <w:right w:val="none" w:sz="0" w:space="0" w:color="auto"/>
      </w:divBdr>
    </w:div>
    <w:div w:id="1278491492">
      <w:bodyDiv w:val="1"/>
      <w:marLeft w:val="0"/>
      <w:marRight w:val="0"/>
      <w:marTop w:val="0"/>
      <w:marBottom w:val="0"/>
      <w:divBdr>
        <w:top w:val="none" w:sz="0" w:space="0" w:color="auto"/>
        <w:left w:val="none" w:sz="0" w:space="0" w:color="auto"/>
        <w:bottom w:val="none" w:sz="0" w:space="0" w:color="auto"/>
        <w:right w:val="none" w:sz="0" w:space="0" w:color="auto"/>
      </w:divBdr>
    </w:div>
    <w:div w:id="1288506087">
      <w:bodyDiv w:val="1"/>
      <w:marLeft w:val="0"/>
      <w:marRight w:val="0"/>
      <w:marTop w:val="0"/>
      <w:marBottom w:val="0"/>
      <w:divBdr>
        <w:top w:val="none" w:sz="0" w:space="0" w:color="auto"/>
        <w:left w:val="none" w:sz="0" w:space="0" w:color="auto"/>
        <w:bottom w:val="none" w:sz="0" w:space="0" w:color="auto"/>
        <w:right w:val="none" w:sz="0" w:space="0" w:color="auto"/>
      </w:divBdr>
    </w:div>
    <w:div w:id="1303582765">
      <w:bodyDiv w:val="1"/>
      <w:marLeft w:val="0"/>
      <w:marRight w:val="0"/>
      <w:marTop w:val="0"/>
      <w:marBottom w:val="0"/>
      <w:divBdr>
        <w:top w:val="none" w:sz="0" w:space="0" w:color="auto"/>
        <w:left w:val="none" w:sz="0" w:space="0" w:color="auto"/>
        <w:bottom w:val="none" w:sz="0" w:space="0" w:color="auto"/>
        <w:right w:val="none" w:sz="0" w:space="0" w:color="auto"/>
      </w:divBdr>
    </w:div>
    <w:div w:id="1306931331">
      <w:bodyDiv w:val="1"/>
      <w:marLeft w:val="0"/>
      <w:marRight w:val="0"/>
      <w:marTop w:val="0"/>
      <w:marBottom w:val="0"/>
      <w:divBdr>
        <w:top w:val="none" w:sz="0" w:space="0" w:color="auto"/>
        <w:left w:val="none" w:sz="0" w:space="0" w:color="auto"/>
        <w:bottom w:val="none" w:sz="0" w:space="0" w:color="auto"/>
        <w:right w:val="none" w:sz="0" w:space="0" w:color="auto"/>
      </w:divBdr>
    </w:div>
    <w:div w:id="1314220326">
      <w:bodyDiv w:val="1"/>
      <w:marLeft w:val="0"/>
      <w:marRight w:val="0"/>
      <w:marTop w:val="0"/>
      <w:marBottom w:val="0"/>
      <w:divBdr>
        <w:top w:val="none" w:sz="0" w:space="0" w:color="auto"/>
        <w:left w:val="none" w:sz="0" w:space="0" w:color="auto"/>
        <w:bottom w:val="none" w:sz="0" w:space="0" w:color="auto"/>
        <w:right w:val="none" w:sz="0" w:space="0" w:color="auto"/>
      </w:divBdr>
    </w:div>
    <w:div w:id="1315719131">
      <w:bodyDiv w:val="1"/>
      <w:marLeft w:val="0"/>
      <w:marRight w:val="0"/>
      <w:marTop w:val="0"/>
      <w:marBottom w:val="0"/>
      <w:divBdr>
        <w:top w:val="none" w:sz="0" w:space="0" w:color="auto"/>
        <w:left w:val="none" w:sz="0" w:space="0" w:color="auto"/>
        <w:bottom w:val="none" w:sz="0" w:space="0" w:color="auto"/>
        <w:right w:val="none" w:sz="0" w:space="0" w:color="auto"/>
      </w:divBdr>
    </w:div>
    <w:div w:id="1316110327">
      <w:bodyDiv w:val="1"/>
      <w:marLeft w:val="0"/>
      <w:marRight w:val="0"/>
      <w:marTop w:val="0"/>
      <w:marBottom w:val="0"/>
      <w:divBdr>
        <w:top w:val="none" w:sz="0" w:space="0" w:color="auto"/>
        <w:left w:val="none" w:sz="0" w:space="0" w:color="auto"/>
        <w:bottom w:val="none" w:sz="0" w:space="0" w:color="auto"/>
        <w:right w:val="none" w:sz="0" w:space="0" w:color="auto"/>
      </w:divBdr>
    </w:div>
    <w:div w:id="1330210901">
      <w:bodyDiv w:val="1"/>
      <w:marLeft w:val="0"/>
      <w:marRight w:val="0"/>
      <w:marTop w:val="0"/>
      <w:marBottom w:val="0"/>
      <w:divBdr>
        <w:top w:val="none" w:sz="0" w:space="0" w:color="auto"/>
        <w:left w:val="none" w:sz="0" w:space="0" w:color="auto"/>
        <w:bottom w:val="none" w:sz="0" w:space="0" w:color="auto"/>
        <w:right w:val="none" w:sz="0" w:space="0" w:color="auto"/>
      </w:divBdr>
    </w:div>
    <w:div w:id="1334530146">
      <w:bodyDiv w:val="1"/>
      <w:marLeft w:val="0"/>
      <w:marRight w:val="0"/>
      <w:marTop w:val="0"/>
      <w:marBottom w:val="0"/>
      <w:divBdr>
        <w:top w:val="none" w:sz="0" w:space="0" w:color="auto"/>
        <w:left w:val="none" w:sz="0" w:space="0" w:color="auto"/>
        <w:bottom w:val="none" w:sz="0" w:space="0" w:color="auto"/>
        <w:right w:val="none" w:sz="0" w:space="0" w:color="auto"/>
      </w:divBdr>
    </w:div>
    <w:div w:id="1334842530">
      <w:bodyDiv w:val="1"/>
      <w:marLeft w:val="0"/>
      <w:marRight w:val="0"/>
      <w:marTop w:val="0"/>
      <w:marBottom w:val="0"/>
      <w:divBdr>
        <w:top w:val="none" w:sz="0" w:space="0" w:color="auto"/>
        <w:left w:val="none" w:sz="0" w:space="0" w:color="auto"/>
        <w:bottom w:val="none" w:sz="0" w:space="0" w:color="auto"/>
        <w:right w:val="none" w:sz="0" w:space="0" w:color="auto"/>
      </w:divBdr>
    </w:div>
    <w:div w:id="1357930540">
      <w:bodyDiv w:val="1"/>
      <w:marLeft w:val="0"/>
      <w:marRight w:val="0"/>
      <w:marTop w:val="0"/>
      <w:marBottom w:val="0"/>
      <w:divBdr>
        <w:top w:val="none" w:sz="0" w:space="0" w:color="auto"/>
        <w:left w:val="none" w:sz="0" w:space="0" w:color="auto"/>
        <w:bottom w:val="none" w:sz="0" w:space="0" w:color="auto"/>
        <w:right w:val="none" w:sz="0" w:space="0" w:color="auto"/>
      </w:divBdr>
    </w:div>
    <w:div w:id="1361317091">
      <w:bodyDiv w:val="1"/>
      <w:marLeft w:val="0"/>
      <w:marRight w:val="0"/>
      <w:marTop w:val="0"/>
      <w:marBottom w:val="0"/>
      <w:divBdr>
        <w:top w:val="none" w:sz="0" w:space="0" w:color="auto"/>
        <w:left w:val="none" w:sz="0" w:space="0" w:color="auto"/>
        <w:bottom w:val="none" w:sz="0" w:space="0" w:color="auto"/>
        <w:right w:val="none" w:sz="0" w:space="0" w:color="auto"/>
      </w:divBdr>
    </w:div>
    <w:div w:id="1367291168">
      <w:bodyDiv w:val="1"/>
      <w:marLeft w:val="0"/>
      <w:marRight w:val="0"/>
      <w:marTop w:val="0"/>
      <w:marBottom w:val="0"/>
      <w:divBdr>
        <w:top w:val="none" w:sz="0" w:space="0" w:color="auto"/>
        <w:left w:val="none" w:sz="0" w:space="0" w:color="auto"/>
        <w:bottom w:val="none" w:sz="0" w:space="0" w:color="auto"/>
        <w:right w:val="none" w:sz="0" w:space="0" w:color="auto"/>
      </w:divBdr>
    </w:div>
    <w:div w:id="1374962260">
      <w:bodyDiv w:val="1"/>
      <w:marLeft w:val="0"/>
      <w:marRight w:val="0"/>
      <w:marTop w:val="0"/>
      <w:marBottom w:val="0"/>
      <w:divBdr>
        <w:top w:val="none" w:sz="0" w:space="0" w:color="auto"/>
        <w:left w:val="none" w:sz="0" w:space="0" w:color="auto"/>
        <w:bottom w:val="none" w:sz="0" w:space="0" w:color="auto"/>
        <w:right w:val="none" w:sz="0" w:space="0" w:color="auto"/>
      </w:divBdr>
    </w:div>
    <w:div w:id="1384518307">
      <w:bodyDiv w:val="1"/>
      <w:marLeft w:val="0"/>
      <w:marRight w:val="0"/>
      <w:marTop w:val="0"/>
      <w:marBottom w:val="0"/>
      <w:divBdr>
        <w:top w:val="none" w:sz="0" w:space="0" w:color="auto"/>
        <w:left w:val="none" w:sz="0" w:space="0" w:color="auto"/>
        <w:bottom w:val="none" w:sz="0" w:space="0" w:color="auto"/>
        <w:right w:val="none" w:sz="0" w:space="0" w:color="auto"/>
      </w:divBdr>
    </w:div>
    <w:div w:id="1392853146">
      <w:bodyDiv w:val="1"/>
      <w:marLeft w:val="0"/>
      <w:marRight w:val="0"/>
      <w:marTop w:val="0"/>
      <w:marBottom w:val="0"/>
      <w:divBdr>
        <w:top w:val="none" w:sz="0" w:space="0" w:color="auto"/>
        <w:left w:val="none" w:sz="0" w:space="0" w:color="auto"/>
        <w:bottom w:val="none" w:sz="0" w:space="0" w:color="auto"/>
        <w:right w:val="none" w:sz="0" w:space="0" w:color="auto"/>
      </w:divBdr>
    </w:div>
    <w:div w:id="1408502247">
      <w:bodyDiv w:val="1"/>
      <w:marLeft w:val="0"/>
      <w:marRight w:val="0"/>
      <w:marTop w:val="0"/>
      <w:marBottom w:val="0"/>
      <w:divBdr>
        <w:top w:val="none" w:sz="0" w:space="0" w:color="auto"/>
        <w:left w:val="none" w:sz="0" w:space="0" w:color="auto"/>
        <w:bottom w:val="none" w:sz="0" w:space="0" w:color="auto"/>
        <w:right w:val="none" w:sz="0" w:space="0" w:color="auto"/>
      </w:divBdr>
    </w:div>
    <w:div w:id="1419403447">
      <w:bodyDiv w:val="1"/>
      <w:marLeft w:val="0"/>
      <w:marRight w:val="0"/>
      <w:marTop w:val="0"/>
      <w:marBottom w:val="0"/>
      <w:divBdr>
        <w:top w:val="none" w:sz="0" w:space="0" w:color="auto"/>
        <w:left w:val="none" w:sz="0" w:space="0" w:color="auto"/>
        <w:bottom w:val="none" w:sz="0" w:space="0" w:color="auto"/>
        <w:right w:val="none" w:sz="0" w:space="0" w:color="auto"/>
      </w:divBdr>
    </w:div>
    <w:div w:id="1424951894">
      <w:bodyDiv w:val="1"/>
      <w:marLeft w:val="0"/>
      <w:marRight w:val="0"/>
      <w:marTop w:val="0"/>
      <w:marBottom w:val="0"/>
      <w:divBdr>
        <w:top w:val="none" w:sz="0" w:space="0" w:color="auto"/>
        <w:left w:val="none" w:sz="0" w:space="0" w:color="auto"/>
        <w:bottom w:val="none" w:sz="0" w:space="0" w:color="auto"/>
        <w:right w:val="none" w:sz="0" w:space="0" w:color="auto"/>
      </w:divBdr>
    </w:div>
    <w:div w:id="1438716469">
      <w:bodyDiv w:val="1"/>
      <w:marLeft w:val="0"/>
      <w:marRight w:val="0"/>
      <w:marTop w:val="0"/>
      <w:marBottom w:val="0"/>
      <w:divBdr>
        <w:top w:val="none" w:sz="0" w:space="0" w:color="auto"/>
        <w:left w:val="none" w:sz="0" w:space="0" w:color="auto"/>
        <w:bottom w:val="none" w:sz="0" w:space="0" w:color="auto"/>
        <w:right w:val="none" w:sz="0" w:space="0" w:color="auto"/>
      </w:divBdr>
    </w:div>
    <w:div w:id="1439837104">
      <w:bodyDiv w:val="1"/>
      <w:marLeft w:val="0"/>
      <w:marRight w:val="0"/>
      <w:marTop w:val="0"/>
      <w:marBottom w:val="0"/>
      <w:divBdr>
        <w:top w:val="none" w:sz="0" w:space="0" w:color="auto"/>
        <w:left w:val="none" w:sz="0" w:space="0" w:color="auto"/>
        <w:bottom w:val="none" w:sz="0" w:space="0" w:color="auto"/>
        <w:right w:val="none" w:sz="0" w:space="0" w:color="auto"/>
      </w:divBdr>
    </w:div>
    <w:div w:id="1445924063">
      <w:bodyDiv w:val="1"/>
      <w:marLeft w:val="0"/>
      <w:marRight w:val="0"/>
      <w:marTop w:val="0"/>
      <w:marBottom w:val="0"/>
      <w:divBdr>
        <w:top w:val="none" w:sz="0" w:space="0" w:color="auto"/>
        <w:left w:val="none" w:sz="0" w:space="0" w:color="auto"/>
        <w:bottom w:val="none" w:sz="0" w:space="0" w:color="auto"/>
        <w:right w:val="none" w:sz="0" w:space="0" w:color="auto"/>
      </w:divBdr>
    </w:div>
    <w:div w:id="1446002309">
      <w:bodyDiv w:val="1"/>
      <w:marLeft w:val="0"/>
      <w:marRight w:val="0"/>
      <w:marTop w:val="0"/>
      <w:marBottom w:val="0"/>
      <w:divBdr>
        <w:top w:val="none" w:sz="0" w:space="0" w:color="auto"/>
        <w:left w:val="none" w:sz="0" w:space="0" w:color="auto"/>
        <w:bottom w:val="none" w:sz="0" w:space="0" w:color="auto"/>
        <w:right w:val="none" w:sz="0" w:space="0" w:color="auto"/>
      </w:divBdr>
    </w:div>
    <w:div w:id="1451129547">
      <w:bodyDiv w:val="1"/>
      <w:marLeft w:val="0"/>
      <w:marRight w:val="0"/>
      <w:marTop w:val="0"/>
      <w:marBottom w:val="0"/>
      <w:divBdr>
        <w:top w:val="none" w:sz="0" w:space="0" w:color="auto"/>
        <w:left w:val="none" w:sz="0" w:space="0" w:color="auto"/>
        <w:bottom w:val="none" w:sz="0" w:space="0" w:color="auto"/>
        <w:right w:val="none" w:sz="0" w:space="0" w:color="auto"/>
      </w:divBdr>
    </w:div>
    <w:div w:id="1453089651">
      <w:bodyDiv w:val="1"/>
      <w:marLeft w:val="0"/>
      <w:marRight w:val="0"/>
      <w:marTop w:val="0"/>
      <w:marBottom w:val="0"/>
      <w:divBdr>
        <w:top w:val="none" w:sz="0" w:space="0" w:color="auto"/>
        <w:left w:val="none" w:sz="0" w:space="0" w:color="auto"/>
        <w:bottom w:val="none" w:sz="0" w:space="0" w:color="auto"/>
        <w:right w:val="none" w:sz="0" w:space="0" w:color="auto"/>
      </w:divBdr>
    </w:div>
    <w:div w:id="1473013048">
      <w:bodyDiv w:val="1"/>
      <w:marLeft w:val="0"/>
      <w:marRight w:val="0"/>
      <w:marTop w:val="0"/>
      <w:marBottom w:val="0"/>
      <w:divBdr>
        <w:top w:val="none" w:sz="0" w:space="0" w:color="auto"/>
        <w:left w:val="none" w:sz="0" w:space="0" w:color="auto"/>
        <w:bottom w:val="none" w:sz="0" w:space="0" w:color="auto"/>
        <w:right w:val="none" w:sz="0" w:space="0" w:color="auto"/>
      </w:divBdr>
    </w:div>
    <w:div w:id="1473016727">
      <w:bodyDiv w:val="1"/>
      <w:marLeft w:val="0"/>
      <w:marRight w:val="0"/>
      <w:marTop w:val="0"/>
      <w:marBottom w:val="0"/>
      <w:divBdr>
        <w:top w:val="none" w:sz="0" w:space="0" w:color="auto"/>
        <w:left w:val="none" w:sz="0" w:space="0" w:color="auto"/>
        <w:bottom w:val="none" w:sz="0" w:space="0" w:color="auto"/>
        <w:right w:val="none" w:sz="0" w:space="0" w:color="auto"/>
      </w:divBdr>
    </w:div>
    <w:div w:id="1475416239">
      <w:bodyDiv w:val="1"/>
      <w:marLeft w:val="0"/>
      <w:marRight w:val="0"/>
      <w:marTop w:val="0"/>
      <w:marBottom w:val="0"/>
      <w:divBdr>
        <w:top w:val="none" w:sz="0" w:space="0" w:color="auto"/>
        <w:left w:val="none" w:sz="0" w:space="0" w:color="auto"/>
        <w:bottom w:val="none" w:sz="0" w:space="0" w:color="auto"/>
        <w:right w:val="none" w:sz="0" w:space="0" w:color="auto"/>
      </w:divBdr>
    </w:div>
    <w:div w:id="1486580077">
      <w:bodyDiv w:val="1"/>
      <w:marLeft w:val="0"/>
      <w:marRight w:val="0"/>
      <w:marTop w:val="0"/>
      <w:marBottom w:val="0"/>
      <w:divBdr>
        <w:top w:val="none" w:sz="0" w:space="0" w:color="auto"/>
        <w:left w:val="none" w:sz="0" w:space="0" w:color="auto"/>
        <w:bottom w:val="none" w:sz="0" w:space="0" w:color="auto"/>
        <w:right w:val="none" w:sz="0" w:space="0" w:color="auto"/>
      </w:divBdr>
    </w:div>
    <w:div w:id="1487933165">
      <w:bodyDiv w:val="1"/>
      <w:marLeft w:val="0"/>
      <w:marRight w:val="0"/>
      <w:marTop w:val="0"/>
      <w:marBottom w:val="0"/>
      <w:divBdr>
        <w:top w:val="none" w:sz="0" w:space="0" w:color="auto"/>
        <w:left w:val="none" w:sz="0" w:space="0" w:color="auto"/>
        <w:bottom w:val="none" w:sz="0" w:space="0" w:color="auto"/>
        <w:right w:val="none" w:sz="0" w:space="0" w:color="auto"/>
      </w:divBdr>
    </w:div>
    <w:div w:id="1504315626">
      <w:bodyDiv w:val="1"/>
      <w:marLeft w:val="0"/>
      <w:marRight w:val="0"/>
      <w:marTop w:val="0"/>
      <w:marBottom w:val="0"/>
      <w:divBdr>
        <w:top w:val="none" w:sz="0" w:space="0" w:color="auto"/>
        <w:left w:val="none" w:sz="0" w:space="0" w:color="auto"/>
        <w:bottom w:val="none" w:sz="0" w:space="0" w:color="auto"/>
        <w:right w:val="none" w:sz="0" w:space="0" w:color="auto"/>
      </w:divBdr>
    </w:div>
    <w:div w:id="1516338123">
      <w:bodyDiv w:val="1"/>
      <w:marLeft w:val="0"/>
      <w:marRight w:val="0"/>
      <w:marTop w:val="0"/>
      <w:marBottom w:val="0"/>
      <w:divBdr>
        <w:top w:val="none" w:sz="0" w:space="0" w:color="auto"/>
        <w:left w:val="none" w:sz="0" w:space="0" w:color="auto"/>
        <w:bottom w:val="none" w:sz="0" w:space="0" w:color="auto"/>
        <w:right w:val="none" w:sz="0" w:space="0" w:color="auto"/>
      </w:divBdr>
    </w:div>
    <w:div w:id="1519002060">
      <w:bodyDiv w:val="1"/>
      <w:marLeft w:val="0"/>
      <w:marRight w:val="0"/>
      <w:marTop w:val="0"/>
      <w:marBottom w:val="0"/>
      <w:divBdr>
        <w:top w:val="none" w:sz="0" w:space="0" w:color="auto"/>
        <w:left w:val="none" w:sz="0" w:space="0" w:color="auto"/>
        <w:bottom w:val="none" w:sz="0" w:space="0" w:color="auto"/>
        <w:right w:val="none" w:sz="0" w:space="0" w:color="auto"/>
      </w:divBdr>
    </w:div>
    <w:div w:id="1532189351">
      <w:bodyDiv w:val="1"/>
      <w:marLeft w:val="0"/>
      <w:marRight w:val="0"/>
      <w:marTop w:val="0"/>
      <w:marBottom w:val="0"/>
      <w:divBdr>
        <w:top w:val="none" w:sz="0" w:space="0" w:color="auto"/>
        <w:left w:val="none" w:sz="0" w:space="0" w:color="auto"/>
        <w:bottom w:val="none" w:sz="0" w:space="0" w:color="auto"/>
        <w:right w:val="none" w:sz="0" w:space="0" w:color="auto"/>
      </w:divBdr>
    </w:div>
    <w:div w:id="1533808132">
      <w:bodyDiv w:val="1"/>
      <w:marLeft w:val="0"/>
      <w:marRight w:val="0"/>
      <w:marTop w:val="0"/>
      <w:marBottom w:val="0"/>
      <w:divBdr>
        <w:top w:val="none" w:sz="0" w:space="0" w:color="auto"/>
        <w:left w:val="none" w:sz="0" w:space="0" w:color="auto"/>
        <w:bottom w:val="none" w:sz="0" w:space="0" w:color="auto"/>
        <w:right w:val="none" w:sz="0" w:space="0" w:color="auto"/>
      </w:divBdr>
    </w:div>
    <w:div w:id="1534919664">
      <w:bodyDiv w:val="1"/>
      <w:marLeft w:val="0"/>
      <w:marRight w:val="0"/>
      <w:marTop w:val="0"/>
      <w:marBottom w:val="0"/>
      <w:divBdr>
        <w:top w:val="none" w:sz="0" w:space="0" w:color="auto"/>
        <w:left w:val="none" w:sz="0" w:space="0" w:color="auto"/>
        <w:bottom w:val="none" w:sz="0" w:space="0" w:color="auto"/>
        <w:right w:val="none" w:sz="0" w:space="0" w:color="auto"/>
      </w:divBdr>
    </w:div>
    <w:div w:id="1538352556">
      <w:bodyDiv w:val="1"/>
      <w:marLeft w:val="0"/>
      <w:marRight w:val="0"/>
      <w:marTop w:val="0"/>
      <w:marBottom w:val="0"/>
      <w:divBdr>
        <w:top w:val="none" w:sz="0" w:space="0" w:color="auto"/>
        <w:left w:val="none" w:sz="0" w:space="0" w:color="auto"/>
        <w:bottom w:val="none" w:sz="0" w:space="0" w:color="auto"/>
        <w:right w:val="none" w:sz="0" w:space="0" w:color="auto"/>
      </w:divBdr>
    </w:div>
    <w:div w:id="1540968714">
      <w:bodyDiv w:val="1"/>
      <w:marLeft w:val="0"/>
      <w:marRight w:val="0"/>
      <w:marTop w:val="0"/>
      <w:marBottom w:val="0"/>
      <w:divBdr>
        <w:top w:val="none" w:sz="0" w:space="0" w:color="auto"/>
        <w:left w:val="none" w:sz="0" w:space="0" w:color="auto"/>
        <w:bottom w:val="none" w:sz="0" w:space="0" w:color="auto"/>
        <w:right w:val="none" w:sz="0" w:space="0" w:color="auto"/>
      </w:divBdr>
    </w:div>
    <w:div w:id="1551266224">
      <w:bodyDiv w:val="1"/>
      <w:marLeft w:val="0"/>
      <w:marRight w:val="0"/>
      <w:marTop w:val="0"/>
      <w:marBottom w:val="0"/>
      <w:divBdr>
        <w:top w:val="none" w:sz="0" w:space="0" w:color="auto"/>
        <w:left w:val="none" w:sz="0" w:space="0" w:color="auto"/>
        <w:bottom w:val="none" w:sz="0" w:space="0" w:color="auto"/>
        <w:right w:val="none" w:sz="0" w:space="0" w:color="auto"/>
      </w:divBdr>
    </w:div>
    <w:div w:id="1554462923">
      <w:bodyDiv w:val="1"/>
      <w:marLeft w:val="0"/>
      <w:marRight w:val="0"/>
      <w:marTop w:val="0"/>
      <w:marBottom w:val="0"/>
      <w:divBdr>
        <w:top w:val="none" w:sz="0" w:space="0" w:color="auto"/>
        <w:left w:val="none" w:sz="0" w:space="0" w:color="auto"/>
        <w:bottom w:val="none" w:sz="0" w:space="0" w:color="auto"/>
        <w:right w:val="none" w:sz="0" w:space="0" w:color="auto"/>
      </w:divBdr>
    </w:div>
    <w:div w:id="1559630657">
      <w:bodyDiv w:val="1"/>
      <w:marLeft w:val="0"/>
      <w:marRight w:val="0"/>
      <w:marTop w:val="0"/>
      <w:marBottom w:val="0"/>
      <w:divBdr>
        <w:top w:val="none" w:sz="0" w:space="0" w:color="auto"/>
        <w:left w:val="none" w:sz="0" w:space="0" w:color="auto"/>
        <w:bottom w:val="none" w:sz="0" w:space="0" w:color="auto"/>
        <w:right w:val="none" w:sz="0" w:space="0" w:color="auto"/>
      </w:divBdr>
    </w:div>
    <w:div w:id="1575161304">
      <w:bodyDiv w:val="1"/>
      <w:marLeft w:val="0"/>
      <w:marRight w:val="0"/>
      <w:marTop w:val="0"/>
      <w:marBottom w:val="0"/>
      <w:divBdr>
        <w:top w:val="none" w:sz="0" w:space="0" w:color="auto"/>
        <w:left w:val="none" w:sz="0" w:space="0" w:color="auto"/>
        <w:bottom w:val="none" w:sz="0" w:space="0" w:color="auto"/>
        <w:right w:val="none" w:sz="0" w:space="0" w:color="auto"/>
      </w:divBdr>
    </w:div>
    <w:div w:id="1575316256">
      <w:bodyDiv w:val="1"/>
      <w:marLeft w:val="0"/>
      <w:marRight w:val="0"/>
      <w:marTop w:val="0"/>
      <w:marBottom w:val="0"/>
      <w:divBdr>
        <w:top w:val="none" w:sz="0" w:space="0" w:color="auto"/>
        <w:left w:val="none" w:sz="0" w:space="0" w:color="auto"/>
        <w:bottom w:val="none" w:sz="0" w:space="0" w:color="auto"/>
        <w:right w:val="none" w:sz="0" w:space="0" w:color="auto"/>
      </w:divBdr>
    </w:div>
    <w:div w:id="1580866180">
      <w:bodyDiv w:val="1"/>
      <w:marLeft w:val="0"/>
      <w:marRight w:val="0"/>
      <w:marTop w:val="0"/>
      <w:marBottom w:val="0"/>
      <w:divBdr>
        <w:top w:val="none" w:sz="0" w:space="0" w:color="auto"/>
        <w:left w:val="none" w:sz="0" w:space="0" w:color="auto"/>
        <w:bottom w:val="none" w:sz="0" w:space="0" w:color="auto"/>
        <w:right w:val="none" w:sz="0" w:space="0" w:color="auto"/>
      </w:divBdr>
    </w:div>
    <w:div w:id="1584948903">
      <w:bodyDiv w:val="1"/>
      <w:marLeft w:val="0"/>
      <w:marRight w:val="0"/>
      <w:marTop w:val="0"/>
      <w:marBottom w:val="0"/>
      <w:divBdr>
        <w:top w:val="none" w:sz="0" w:space="0" w:color="auto"/>
        <w:left w:val="none" w:sz="0" w:space="0" w:color="auto"/>
        <w:bottom w:val="none" w:sz="0" w:space="0" w:color="auto"/>
        <w:right w:val="none" w:sz="0" w:space="0" w:color="auto"/>
      </w:divBdr>
    </w:div>
    <w:div w:id="1597983223">
      <w:bodyDiv w:val="1"/>
      <w:marLeft w:val="0"/>
      <w:marRight w:val="0"/>
      <w:marTop w:val="0"/>
      <w:marBottom w:val="0"/>
      <w:divBdr>
        <w:top w:val="none" w:sz="0" w:space="0" w:color="auto"/>
        <w:left w:val="none" w:sz="0" w:space="0" w:color="auto"/>
        <w:bottom w:val="none" w:sz="0" w:space="0" w:color="auto"/>
        <w:right w:val="none" w:sz="0" w:space="0" w:color="auto"/>
      </w:divBdr>
    </w:div>
    <w:div w:id="1602299069">
      <w:bodyDiv w:val="1"/>
      <w:marLeft w:val="0"/>
      <w:marRight w:val="0"/>
      <w:marTop w:val="0"/>
      <w:marBottom w:val="0"/>
      <w:divBdr>
        <w:top w:val="none" w:sz="0" w:space="0" w:color="auto"/>
        <w:left w:val="none" w:sz="0" w:space="0" w:color="auto"/>
        <w:bottom w:val="none" w:sz="0" w:space="0" w:color="auto"/>
        <w:right w:val="none" w:sz="0" w:space="0" w:color="auto"/>
      </w:divBdr>
    </w:div>
    <w:div w:id="1619993129">
      <w:bodyDiv w:val="1"/>
      <w:marLeft w:val="0"/>
      <w:marRight w:val="0"/>
      <w:marTop w:val="0"/>
      <w:marBottom w:val="0"/>
      <w:divBdr>
        <w:top w:val="none" w:sz="0" w:space="0" w:color="auto"/>
        <w:left w:val="none" w:sz="0" w:space="0" w:color="auto"/>
        <w:bottom w:val="none" w:sz="0" w:space="0" w:color="auto"/>
        <w:right w:val="none" w:sz="0" w:space="0" w:color="auto"/>
      </w:divBdr>
    </w:div>
    <w:div w:id="1636061418">
      <w:bodyDiv w:val="1"/>
      <w:marLeft w:val="0"/>
      <w:marRight w:val="0"/>
      <w:marTop w:val="0"/>
      <w:marBottom w:val="0"/>
      <w:divBdr>
        <w:top w:val="none" w:sz="0" w:space="0" w:color="auto"/>
        <w:left w:val="none" w:sz="0" w:space="0" w:color="auto"/>
        <w:bottom w:val="none" w:sz="0" w:space="0" w:color="auto"/>
        <w:right w:val="none" w:sz="0" w:space="0" w:color="auto"/>
      </w:divBdr>
    </w:div>
    <w:div w:id="1637221399">
      <w:bodyDiv w:val="1"/>
      <w:marLeft w:val="0"/>
      <w:marRight w:val="0"/>
      <w:marTop w:val="0"/>
      <w:marBottom w:val="0"/>
      <w:divBdr>
        <w:top w:val="none" w:sz="0" w:space="0" w:color="auto"/>
        <w:left w:val="none" w:sz="0" w:space="0" w:color="auto"/>
        <w:bottom w:val="none" w:sz="0" w:space="0" w:color="auto"/>
        <w:right w:val="none" w:sz="0" w:space="0" w:color="auto"/>
      </w:divBdr>
    </w:div>
    <w:div w:id="1638412788">
      <w:bodyDiv w:val="1"/>
      <w:marLeft w:val="0"/>
      <w:marRight w:val="0"/>
      <w:marTop w:val="0"/>
      <w:marBottom w:val="0"/>
      <w:divBdr>
        <w:top w:val="none" w:sz="0" w:space="0" w:color="auto"/>
        <w:left w:val="none" w:sz="0" w:space="0" w:color="auto"/>
        <w:bottom w:val="none" w:sz="0" w:space="0" w:color="auto"/>
        <w:right w:val="none" w:sz="0" w:space="0" w:color="auto"/>
      </w:divBdr>
    </w:div>
    <w:div w:id="1644197353">
      <w:bodyDiv w:val="1"/>
      <w:marLeft w:val="0"/>
      <w:marRight w:val="0"/>
      <w:marTop w:val="0"/>
      <w:marBottom w:val="0"/>
      <w:divBdr>
        <w:top w:val="none" w:sz="0" w:space="0" w:color="auto"/>
        <w:left w:val="none" w:sz="0" w:space="0" w:color="auto"/>
        <w:bottom w:val="none" w:sz="0" w:space="0" w:color="auto"/>
        <w:right w:val="none" w:sz="0" w:space="0" w:color="auto"/>
      </w:divBdr>
    </w:div>
    <w:div w:id="1649749463">
      <w:bodyDiv w:val="1"/>
      <w:marLeft w:val="0"/>
      <w:marRight w:val="0"/>
      <w:marTop w:val="0"/>
      <w:marBottom w:val="0"/>
      <w:divBdr>
        <w:top w:val="none" w:sz="0" w:space="0" w:color="auto"/>
        <w:left w:val="none" w:sz="0" w:space="0" w:color="auto"/>
        <w:bottom w:val="none" w:sz="0" w:space="0" w:color="auto"/>
        <w:right w:val="none" w:sz="0" w:space="0" w:color="auto"/>
      </w:divBdr>
    </w:div>
    <w:div w:id="1661732210">
      <w:bodyDiv w:val="1"/>
      <w:marLeft w:val="0"/>
      <w:marRight w:val="0"/>
      <w:marTop w:val="0"/>
      <w:marBottom w:val="0"/>
      <w:divBdr>
        <w:top w:val="none" w:sz="0" w:space="0" w:color="auto"/>
        <w:left w:val="none" w:sz="0" w:space="0" w:color="auto"/>
        <w:bottom w:val="none" w:sz="0" w:space="0" w:color="auto"/>
        <w:right w:val="none" w:sz="0" w:space="0" w:color="auto"/>
      </w:divBdr>
    </w:div>
    <w:div w:id="1667054221">
      <w:bodyDiv w:val="1"/>
      <w:marLeft w:val="0"/>
      <w:marRight w:val="0"/>
      <w:marTop w:val="0"/>
      <w:marBottom w:val="0"/>
      <w:divBdr>
        <w:top w:val="none" w:sz="0" w:space="0" w:color="auto"/>
        <w:left w:val="none" w:sz="0" w:space="0" w:color="auto"/>
        <w:bottom w:val="none" w:sz="0" w:space="0" w:color="auto"/>
        <w:right w:val="none" w:sz="0" w:space="0" w:color="auto"/>
      </w:divBdr>
    </w:div>
    <w:div w:id="1687094892">
      <w:bodyDiv w:val="1"/>
      <w:marLeft w:val="0"/>
      <w:marRight w:val="0"/>
      <w:marTop w:val="0"/>
      <w:marBottom w:val="0"/>
      <w:divBdr>
        <w:top w:val="none" w:sz="0" w:space="0" w:color="auto"/>
        <w:left w:val="none" w:sz="0" w:space="0" w:color="auto"/>
        <w:bottom w:val="none" w:sz="0" w:space="0" w:color="auto"/>
        <w:right w:val="none" w:sz="0" w:space="0" w:color="auto"/>
      </w:divBdr>
    </w:div>
    <w:div w:id="1699356068">
      <w:bodyDiv w:val="1"/>
      <w:marLeft w:val="0"/>
      <w:marRight w:val="0"/>
      <w:marTop w:val="0"/>
      <w:marBottom w:val="0"/>
      <w:divBdr>
        <w:top w:val="none" w:sz="0" w:space="0" w:color="auto"/>
        <w:left w:val="none" w:sz="0" w:space="0" w:color="auto"/>
        <w:bottom w:val="none" w:sz="0" w:space="0" w:color="auto"/>
        <w:right w:val="none" w:sz="0" w:space="0" w:color="auto"/>
      </w:divBdr>
    </w:div>
    <w:div w:id="1703242487">
      <w:bodyDiv w:val="1"/>
      <w:marLeft w:val="0"/>
      <w:marRight w:val="0"/>
      <w:marTop w:val="0"/>
      <w:marBottom w:val="0"/>
      <w:divBdr>
        <w:top w:val="none" w:sz="0" w:space="0" w:color="auto"/>
        <w:left w:val="none" w:sz="0" w:space="0" w:color="auto"/>
        <w:bottom w:val="none" w:sz="0" w:space="0" w:color="auto"/>
        <w:right w:val="none" w:sz="0" w:space="0" w:color="auto"/>
      </w:divBdr>
    </w:div>
    <w:div w:id="1704016395">
      <w:bodyDiv w:val="1"/>
      <w:marLeft w:val="0"/>
      <w:marRight w:val="0"/>
      <w:marTop w:val="0"/>
      <w:marBottom w:val="0"/>
      <w:divBdr>
        <w:top w:val="none" w:sz="0" w:space="0" w:color="auto"/>
        <w:left w:val="none" w:sz="0" w:space="0" w:color="auto"/>
        <w:bottom w:val="none" w:sz="0" w:space="0" w:color="auto"/>
        <w:right w:val="none" w:sz="0" w:space="0" w:color="auto"/>
      </w:divBdr>
    </w:div>
    <w:div w:id="1724136789">
      <w:bodyDiv w:val="1"/>
      <w:marLeft w:val="0"/>
      <w:marRight w:val="0"/>
      <w:marTop w:val="0"/>
      <w:marBottom w:val="0"/>
      <w:divBdr>
        <w:top w:val="none" w:sz="0" w:space="0" w:color="auto"/>
        <w:left w:val="none" w:sz="0" w:space="0" w:color="auto"/>
        <w:bottom w:val="none" w:sz="0" w:space="0" w:color="auto"/>
        <w:right w:val="none" w:sz="0" w:space="0" w:color="auto"/>
      </w:divBdr>
    </w:div>
    <w:div w:id="1731346551">
      <w:bodyDiv w:val="1"/>
      <w:marLeft w:val="0"/>
      <w:marRight w:val="0"/>
      <w:marTop w:val="0"/>
      <w:marBottom w:val="0"/>
      <w:divBdr>
        <w:top w:val="none" w:sz="0" w:space="0" w:color="auto"/>
        <w:left w:val="none" w:sz="0" w:space="0" w:color="auto"/>
        <w:bottom w:val="none" w:sz="0" w:space="0" w:color="auto"/>
        <w:right w:val="none" w:sz="0" w:space="0" w:color="auto"/>
      </w:divBdr>
    </w:div>
    <w:div w:id="1766266715">
      <w:bodyDiv w:val="1"/>
      <w:marLeft w:val="0"/>
      <w:marRight w:val="0"/>
      <w:marTop w:val="0"/>
      <w:marBottom w:val="0"/>
      <w:divBdr>
        <w:top w:val="none" w:sz="0" w:space="0" w:color="auto"/>
        <w:left w:val="none" w:sz="0" w:space="0" w:color="auto"/>
        <w:bottom w:val="none" w:sz="0" w:space="0" w:color="auto"/>
        <w:right w:val="none" w:sz="0" w:space="0" w:color="auto"/>
      </w:divBdr>
    </w:div>
    <w:div w:id="1796870070">
      <w:bodyDiv w:val="1"/>
      <w:marLeft w:val="0"/>
      <w:marRight w:val="0"/>
      <w:marTop w:val="0"/>
      <w:marBottom w:val="0"/>
      <w:divBdr>
        <w:top w:val="none" w:sz="0" w:space="0" w:color="auto"/>
        <w:left w:val="none" w:sz="0" w:space="0" w:color="auto"/>
        <w:bottom w:val="none" w:sz="0" w:space="0" w:color="auto"/>
        <w:right w:val="none" w:sz="0" w:space="0" w:color="auto"/>
      </w:divBdr>
    </w:div>
    <w:div w:id="1800565010">
      <w:bodyDiv w:val="1"/>
      <w:marLeft w:val="0"/>
      <w:marRight w:val="0"/>
      <w:marTop w:val="0"/>
      <w:marBottom w:val="0"/>
      <w:divBdr>
        <w:top w:val="none" w:sz="0" w:space="0" w:color="auto"/>
        <w:left w:val="none" w:sz="0" w:space="0" w:color="auto"/>
        <w:bottom w:val="none" w:sz="0" w:space="0" w:color="auto"/>
        <w:right w:val="none" w:sz="0" w:space="0" w:color="auto"/>
      </w:divBdr>
    </w:div>
    <w:div w:id="1804032345">
      <w:bodyDiv w:val="1"/>
      <w:marLeft w:val="0"/>
      <w:marRight w:val="0"/>
      <w:marTop w:val="0"/>
      <w:marBottom w:val="0"/>
      <w:divBdr>
        <w:top w:val="none" w:sz="0" w:space="0" w:color="auto"/>
        <w:left w:val="none" w:sz="0" w:space="0" w:color="auto"/>
        <w:bottom w:val="none" w:sz="0" w:space="0" w:color="auto"/>
        <w:right w:val="none" w:sz="0" w:space="0" w:color="auto"/>
      </w:divBdr>
    </w:div>
    <w:div w:id="1809282739">
      <w:bodyDiv w:val="1"/>
      <w:marLeft w:val="0"/>
      <w:marRight w:val="0"/>
      <w:marTop w:val="0"/>
      <w:marBottom w:val="0"/>
      <w:divBdr>
        <w:top w:val="none" w:sz="0" w:space="0" w:color="auto"/>
        <w:left w:val="none" w:sz="0" w:space="0" w:color="auto"/>
        <w:bottom w:val="none" w:sz="0" w:space="0" w:color="auto"/>
        <w:right w:val="none" w:sz="0" w:space="0" w:color="auto"/>
      </w:divBdr>
    </w:div>
    <w:div w:id="1819299041">
      <w:bodyDiv w:val="1"/>
      <w:marLeft w:val="0"/>
      <w:marRight w:val="0"/>
      <w:marTop w:val="0"/>
      <w:marBottom w:val="0"/>
      <w:divBdr>
        <w:top w:val="none" w:sz="0" w:space="0" w:color="auto"/>
        <w:left w:val="none" w:sz="0" w:space="0" w:color="auto"/>
        <w:bottom w:val="none" w:sz="0" w:space="0" w:color="auto"/>
        <w:right w:val="none" w:sz="0" w:space="0" w:color="auto"/>
      </w:divBdr>
    </w:div>
    <w:div w:id="1821075836">
      <w:bodyDiv w:val="1"/>
      <w:marLeft w:val="0"/>
      <w:marRight w:val="0"/>
      <w:marTop w:val="0"/>
      <w:marBottom w:val="0"/>
      <w:divBdr>
        <w:top w:val="none" w:sz="0" w:space="0" w:color="auto"/>
        <w:left w:val="none" w:sz="0" w:space="0" w:color="auto"/>
        <w:bottom w:val="none" w:sz="0" w:space="0" w:color="auto"/>
        <w:right w:val="none" w:sz="0" w:space="0" w:color="auto"/>
      </w:divBdr>
    </w:div>
    <w:div w:id="1833718323">
      <w:bodyDiv w:val="1"/>
      <w:marLeft w:val="0"/>
      <w:marRight w:val="0"/>
      <w:marTop w:val="0"/>
      <w:marBottom w:val="0"/>
      <w:divBdr>
        <w:top w:val="none" w:sz="0" w:space="0" w:color="auto"/>
        <w:left w:val="none" w:sz="0" w:space="0" w:color="auto"/>
        <w:bottom w:val="none" w:sz="0" w:space="0" w:color="auto"/>
        <w:right w:val="none" w:sz="0" w:space="0" w:color="auto"/>
      </w:divBdr>
    </w:div>
    <w:div w:id="1850102422">
      <w:bodyDiv w:val="1"/>
      <w:marLeft w:val="0"/>
      <w:marRight w:val="0"/>
      <w:marTop w:val="0"/>
      <w:marBottom w:val="0"/>
      <w:divBdr>
        <w:top w:val="none" w:sz="0" w:space="0" w:color="auto"/>
        <w:left w:val="none" w:sz="0" w:space="0" w:color="auto"/>
        <w:bottom w:val="none" w:sz="0" w:space="0" w:color="auto"/>
        <w:right w:val="none" w:sz="0" w:space="0" w:color="auto"/>
      </w:divBdr>
    </w:div>
    <w:div w:id="1851065905">
      <w:bodyDiv w:val="1"/>
      <w:marLeft w:val="0"/>
      <w:marRight w:val="0"/>
      <w:marTop w:val="0"/>
      <w:marBottom w:val="0"/>
      <w:divBdr>
        <w:top w:val="none" w:sz="0" w:space="0" w:color="auto"/>
        <w:left w:val="none" w:sz="0" w:space="0" w:color="auto"/>
        <w:bottom w:val="none" w:sz="0" w:space="0" w:color="auto"/>
        <w:right w:val="none" w:sz="0" w:space="0" w:color="auto"/>
      </w:divBdr>
    </w:div>
    <w:div w:id="1857423919">
      <w:bodyDiv w:val="1"/>
      <w:marLeft w:val="0"/>
      <w:marRight w:val="0"/>
      <w:marTop w:val="0"/>
      <w:marBottom w:val="0"/>
      <w:divBdr>
        <w:top w:val="none" w:sz="0" w:space="0" w:color="auto"/>
        <w:left w:val="none" w:sz="0" w:space="0" w:color="auto"/>
        <w:bottom w:val="none" w:sz="0" w:space="0" w:color="auto"/>
        <w:right w:val="none" w:sz="0" w:space="0" w:color="auto"/>
      </w:divBdr>
    </w:div>
    <w:div w:id="1864319771">
      <w:bodyDiv w:val="1"/>
      <w:marLeft w:val="0"/>
      <w:marRight w:val="0"/>
      <w:marTop w:val="0"/>
      <w:marBottom w:val="0"/>
      <w:divBdr>
        <w:top w:val="none" w:sz="0" w:space="0" w:color="auto"/>
        <w:left w:val="none" w:sz="0" w:space="0" w:color="auto"/>
        <w:bottom w:val="none" w:sz="0" w:space="0" w:color="auto"/>
        <w:right w:val="none" w:sz="0" w:space="0" w:color="auto"/>
      </w:divBdr>
    </w:div>
    <w:div w:id="1867602179">
      <w:bodyDiv w:val="1"/>
      <w:marLeft w:val="0"/>
      <w:marRight w:val="0"/>
      <w:marTop w:val="0"/>
      <w:marBottom w:val="0"/>
      <w:divBdr>
        <w:top w:val="none" w:sz="0" w:space="0" w:color="auto"/>
        <w:left w:val="none" w:sz="0" w:space="0" w:color="auto"/>
        <w:bottom w:val="none" w:sz="0" w:space="0" w:color="auto"/>
        <w:right w:val="none" w:sz="0" w:space="0" w:color="auto"/>
      </w:divBdr>
    </w:div>
    <w:div w:id="1867719452">
      <w:bodyDiv w:val="1"/>
      <w:marLeft w:val="0"/>
      <w:marRight w:val="0"/>
      <w:marTop w:val="0"/>
      <w:marBottom w:val="0"/>
      <w:divBdr>
        <w:top w:val="none" w:sz="0" w:space="0" w:color="auto"/>
        <w:left w:val="none" w:sz="0" w:space="0" w:color="auto"/>
        <w:bottom w:val="none" w:sz="0" w:space="0" w:color="auto"/>
        <w:right w:val="none" w:sz="0" w:space="0" w:color="auto"/>
      </w:divBdr>
    </w:div>
    <w:div w:id="1898592175">
      <w:bodyDiv w:val="1"/>
      <w:marLeft w:val="0"/>
      <w:marRight w:val="0"/>
      <w:marTop w:val="0"/>
      <w:marBottom w:val="0"/>
      <w:divBdr>
        <w:top w:val="none" w:sz="0" w:space="0" w:color="auto"/>
        <w:left w:val="none" w:sz="0" w:space="0" w:color="auto"/>
        <w:bottom w:val="none" w:sz="0" w:space="0" w:color="auto"/>
        <w:right w:val="none" w:sz="0" w:space="0" w:color="auto"/>
      </w:divBdr>
    </w:div>
    <w:div w:id="1903977595">
      <w:bodyDiv w:val="1"/>
      <w:marLeft w:val="0"/>
      <w:marRight w:val="0"/>
      <w:marTop w:val="0"/>
      <w:marBottom w:val="0"/>
      <w:divBdr>
        <w:top w:val="none" w:sz="0" w:space="0" w:color="auto"/>
        <w:left w:val="none" w:sz="0" w:space="0" w:color="auto"/>
        <w:bottom w:val="none" w:sz="0" w:space="0" w:color="auto"/>
        <w:right w:val="none" w:sz="0" w:space="0" w:color="auto"/>
      </w:divBdr>
    </w:div>
    <w:div w:id="1907496320">
      <w:bodyDiv w:val="1"/>
      <w:marLeft w:val="0"/>
      <w:marRight w:val="0"/>
      <w:marTop w:val="0"/>
      <w:marBottom w:val="0"/>
      <w:divBdr>
        <w:top w:val="none" w:sz="0" w:space="0" w:color="auto"/>
        <w:left w:val="none" w:sz="0" w:space="0" w:color="auto"/>
        <w:bottom w:val="none" w:sz="0" w:space="0" w:color="auto"/>
        <w:right w:val="none" w:sz="0" w:space="0" w:color="auto"/>
      </w:divBdr>
    </w:div>
    <w:div w:id="1915896230">
      <w:bodyDiv w:val="1"/>
      <w:marLeft w:val="0"/>
      <w:marRight w:val="0"/>
      <w:marTop w:val="0"/>
      <w:marBottom w:val="0"/>
      <w:divBdr>
        <w:top w:val="none" w:sz="0" w:space="0" w:color="auto"/>
        <w:left w:val="none" w:sz="0" w:space="0" w:color="auto"/>
        <w:bottom w:val="none" w:sz="0" w:space="0" w:color="auto"/>
        <w:right w:val="none" w:sz="0" w:space="0" w:color="auto"/>
      </w:divBdr>
    </w:div>
    <w:div w:id="1917857086">
      <w:bodyDiv w:val="1"/>
      <w:marLeft w:val="0"/>
      <w:marRight w:val="0"/>
      <w:marTop w:val="0"/>
      <w:marBottom w:val="0"/>
      <w:divBdr>
        <w:top w:val="none" w:sz="0" w:space="0" w:color="auto"/>
        <w:left w:val="none" w:sz="0" w:space="0" w:color="auto"/>
        <w:bottom w:val="none" w:sz="0" w:space="0" w:color="auto"/>
        <w:right w:val="none" w:sz="0" w:space="0" w:color="auto"/>
      </w:divBdr>
    </w:div>
    <w:div w:id="1941140594">
      <w:bodyDiv w:val="1"/>
      <w:marLeft w:val="0"/>
      <w:marRight w:val="0"/>
      <w:marTop w:val="0"/>
      <w:marBottom w:val="0"/>
      <w:divBdr>
        <w:top w:val="none" w:sz="0" w:space="0" w:color="auto"/>
        <w:left w:val="none" w:sz="0" w:space="0" w:color="auto"/>
        <w:bottom w:val="none" w:sz="0" w:space="0" w:color="auto"/>
        <w:right w:val="none" w:sz="0" w:space="0" w:color="auto"/>
      </w:divBdr>
    </w:div>
    <w:div w:id="1948267918">
      <w:bodyDiv w:val="1"/>
      <w:marLeft w:val="0"/>
      <w:marRight w:val="0"/>
      <w:marTop w:val="0"/>
      <w:marBottom w:val="0"/>
      <w:divBdr>
        <w:top w:val="none" w:sz="0" w:space="0" w:color="auto"/>
        <w:left w:val="none" w:sz="0" w:space="0" w:color="auto"/>
        <w:bottom w:val="none" w:sz="0" w:space="0" w:color="auto"/>
        <w:right w:val="none" w:sz="0" w:space="0" w:color="auto"/>
      </w:divBdr>
    </w:div>
    <w:div w:id="1961184997">
      <w:bodyDiv w:val="1"/>
      <w:marLeft w:val="0"/>
      <w:marRight w:val="0"/>
      <w:marTop w:val="0"/>
      <w:marBottom w:val="0"/>
      <w:divBdr>
        <w:top w:val="none" w:sz="0" w:space="0" w:color="auto"/>
        <w:left w:val="none" w:sz="0" w:space="0" w:color="auto"/>
        <w:bottom w:val="none" w:sz="0" w:space="0" w:color="auto"/>
        <w:right w:val="none" w:sz="0" w:space="0" w:color="auto"/>
      </w:divBdr>
    </w:div>
    <w:div w:id="1991975825">
      <w:bodyDiv w:val="1"/>
      <w:marLeft w:val="0"/>
      <w:marRight w:val="0"/>
      <w:marTop w:val="0"/>
      <w:marBottom w:val="0"/>
      <w:divBdr>
        <w:top w:val="none" w:sz="0" w:space="0" w:color="auto"/>
        <w:left w:val="none" w:sz="0" w:space="0" w:color="auto"/>
        <w:bottom w:val="none" w:sz="0" w:space="0" w:color="auto"/>
        <w:right w:val="none" w:sz="0" w:space="0" w:color="auto"/>
      </w:divBdr>
    </w:div>
    <w:div w:id="2022119252">
      <w:bodyDiv w:val="1"/>
      <w:marLeft w:val="0"/>
      <w:marRight w:val="0"/>
      <w:marTop w:val="0"/>
      <w:marBottom w:val="0"/>
      <w:divBdr>
        <w:top w:val="none" w:sz="0" w:space="0" w:color="auto"/>
        <w:left w:val="none" w:sz="0" w:space="0" w:color="auto"/>
        <w:bottom w:val="none" w:sz="0" w:space="0" w:color="auto"/>
        <w:right w:val="none" w:sz="0" w:space="0" w:color="auto"/>
      </w:divBdr>
    </w:div>
    <w:div w:id="2029679448">
      <w:bodyDiv w:val="1"/>
      <w:marLeft w:val="0"/>
      <w:marRight w:val="0"/>
      <w:marTop w:val="0"/>
      <w:marBottom w:val="0"/>
      <w:divBdr>
        <w:top w:val="none" w:sz="0" w:space="0" w:color="auto"/>
        <w:left w:val="none" w:sz="0" w:space="0" w:color="auto"/>
        <w:bottom w:val="none" w:sz="0" w:space="0" w:color="auto"/>
        <w:right w:val="none" w:sz="0" w:space="0" w:color="auto"/>
      </w:divBdr>
    </w:div>
    <w:div w:id="2036494364">
      <w:bodyDiv w:val="1"/>
      <w:marLeft w:val="0"/>
      <w:marRight w:val="0"/>
      <w:marTop w:val="0"/>
      <w:marBottom w:val="0"/>
      <w:divBdr>
        <w:top w:val="none" w:sz="0" w:space="0" w:color="auto"/>
        <w:left w:val="none" w:sz="0" w:space="0" w:color="auto"/>
        <w:bottom w:val="none" w:sz="0" w:space="0" w:color="auto"/>
        <w:right w:val="none" w:sz="0" w:space="0" w:color="auto"/>
      </w:divBdr>
    </w:div>
    <w:div w:id="2036879367">
      <w:bodyDiv w:val="1"/>
      <w:marLeft w:val="0"/>
      <w:marRight w:val="0"/>
      <w:marTop w:val="0"/>
      <w:marBottom w:val="0"/>
      <w:divBdr>
        <w:top w:val="none" w:sz="0" w:space="0" w:color="auto"/>
        <w:left w:val="none" w:sz="0" w:space="0" w:color="auto"/>
        <w:bottom w:val="none" w:sz="0" w:space="0" w:color="auto"/>
        <w:right w:val="none" w:sz="0" w:space="0" w:color="auto"/>
      </w:divBdr>
    </w:div>
    <w:div w:id="2058164939">
      <w:bodyDiv w:val="1"/>
      <w:marLeft w:val="0"/>
      <w:marRight w:val="0"/>
      <w:marTop w:val="0"/>
      <w:marBottom w:val="0"/>
      <w:divBdr>
        <w:top w:val="none" w:sz="0" w:space="0" w:color="auto"/>
        <w:left w:val="none" w:sz="0" w:space="0" w:color="auto"/>
        <w:bottom w:val="none" w:sz="0" w:space="0" w:color="auto"/>
        <w:right w:val="none" w:sz="0" w:space="0" w:color="auto"/>
      </w:divBdr>
    </w:div>
    <w:div w:id="2071614024">
      <w:bodyDiv w:val="1"/>
      <w:marLeft w:val="0"/>
      <w:marRight w:val="0"/>
      <w:marTop w:val="0"/>
      <w:marBottom w:val="0"/>
      <w:divBdr>
        <w:top w:val="none" w:sz="0" w:space="0" w:color="auto"/>
        <w:left w:val="none" w:sz="0" w:space="0" w:color="auto"/>
        <w:bottom w:val="none" w:sz="0" w:space="0" w:color="auto"/>
        <w:right w:val="none" w:sz="0" w:space="0" w:color="auto"/>
      </w:divBdr>
    </w:div>
    <w:div w:id="2076076533">
      <w:bodyDiv w:val="1"/>
      <w:marLeft w:val="0"/>
      <w:marRight w:val="0"/>
      <w:marTop w:val="0"/>
      <w:marBottom w:val="0"/>
      <w:divBdr>
        <w:top w:val="none" w:sz="0" w:space="0" w:color="auto"/>
        <w:left w:val="none" w:sz="0" w:space="0" w:color="auto"/>
        <w:bottom w:val="none" w:sz="0" w:space="0" w:color="auto"/>
        <w:right w:val="none" w:sz="0" w:space="0" w:color="auto"/>
      </w:divBdr>
    </w:div>
    <w:div w:id="2080788271">
      <w:bodyDiv w:val="1"/>
      <w:marLeft w:val="0"/>
      <w:marRight w:val="0"/>
      <w:marTop w:val="0"/>
      <w:marBottom w:val="0"/>
      <w:divBdr>
        <w:top w:val="none" w:sz="0" w:space="0" w:color="auto"/>
        <w:left w:val="none" w:sz="0" w:space="0" w:color="auto"/>
        <w:bottom w:val="none" w:sz="0" w:space="0" w:color="auto"/>
        <w:right w:val="none" w:sz="0" w:space="0" w:color="auto"/>
      </w:divBdr>
    </w:div>
    <w:div w:id="2091272963">
      <w:bodyDiv w:val="1"/>
      <w:marLeft w:val="0"/>
      <w:marRight w:val="0"/>
      <w:marTop w:val="0"/>
      <w:marBottom w:val="0"/>
      <w:divBdr>
        <w:top w:val="none" w:sz="0" w:space="0" w:color="auto"/>
        <w:left w:val="none" w:sz="0" w:space="0" w:color="auto"/>
        <w:bottom w:val="none" w:sz="0" w:space="0" w:color="auto"/>
        <w:right w:val="none" w:sz="0" w:space="0" w:color="auto"/>
      </w:divBdr>
    </w:div>
    <w:div w:id="2102098335">
      <w:bodyDiv w:val="1"/>
      <w:marLeft w:val="0"/>
      <w:marRight w:val="0"/>
      <w:marTop w:val="0"/>
      <w:marBottom w:val="0"/>
      <w:divBdr>
        <w:top w:val="none" w:sz="0" w:space="0" w:color="auto"/>
        <w:left w:val="none" w:sz="0" w:space="0" w:color="auto"/>
        <w:bottom w:val="none" w:sz="0" w:space="0" w:color="auto"/>
        <w:right w:val="none" w:sz="0" w:space="0" w:color="auto"/>
      </w:divBdr>
    </w:div>
    <w:div w:id="2107919493">
      <w:bodyDiv w:val="1"/>
      <w:marLeft w:val="0"/>
      <w:marRight w:val="0"/>
      <w:marTop w:val="0"/>
      <w:marBottom w:val="0"/>
      <w:divBdr>
        <w:top w:val="none" w:sz="0" w:space="0" w:color="auto"/>
        <w:left w:val="none" w:sz="0" w:space="0" w:color="auto"/>
        <w:bottom w:val="none" w:sz="0" w:space="0" w:color="auto"/>
        <w:right w:val="none" w:sz="0" w:space="0" w:color="auto"/>
      </w:divBdr>
    </w:div>
    <w:div w:id="2126146962">
      <w:bodyDiv w:val="1"/>
      <w:marLeft w:val="0"/>
      <w:marRight w:val="0"/>
      <w:marTop w:val="0"/>
      <w:marBottom w:val="0"/>
      <w:divBdr>
        <w:top w:val="none" w:sz="0" w:space="0" w:color="auto"/>
        <w:left w:val="none" w:sz="0" w:space="0" w:color="auto"/>
        <w:bottom w:val="none" w:sz="0" w:space="0" w:color="auto"/>
        <w:right w:val="none" w:sz="0" w:space="0" w:color="auto"/>
      </w:divBdr>
    </w:div>
    <w:div w:id="2126462390">
      <w:bodyDiv w:val="1"/>
      <w:marLeft w:val="0"/>
      <w:marRight w:val="0"/>
      <w:marTop w:val="0"/>
      <w:marBottom w:val="0"/>
      <w:divBdr>
        <w:top w:val="none" w:sz="0" w:space="0" w:color="auto"/>
        <w:left w:val="none" w:sz="0" w:space="0" w:color="auto"/>
        <w:bottom w:val="none" w:sz="0" w:space="0" w:color="auto"/>
        <w:right w:val="none" w:sz="0" w:space="0" w:color="auto"/>
      </w:divBdr>
    </w:div>
    <w:div w:id="21443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B9EF-453E-43A1-A84E-8216F2AA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11231</Words>
  <Characters>61774</Characters>
  <Application>Microsoft Office Word</Application>
  <DocSecurity>0</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CONTRALORIA GENERAL DE LA REPUBLICA</vt:lpstr>
      <vt:lpstr>CONTRALORIA GENERAL DE LA REPUBLICA</vt:lpstr>
    </vt:vector>
  </TitlesOfParts>
  <Company>FONAFIFO</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CONTRALORIA GENERAL DE LA REPUBLICA</dc:title>
  <dc:creator>Edgar Toruño</dc:creator>
  <cp:lastModifiedBy>Rebeca Jara Jiménez</cp:lastModifiedBy>
  <cp:revision>5</cp:revision>
  <cp:lastPrinted>2020-02-15T00:44:00Z</cp:lastPrinted>
  <dcterms:created xsi:type="dcterms:W3CDTF">2020-02-14T23:18:00Z</dcterms:created>
  <dcterms:modified xsi:type="dcterms:W3CDTF">2020-02-15T01:13:00Z</dcterms:modified>
</cp:coreProperties>
</file>