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0F" w:rsidRPr="00ED3EDF" w:rsidRDefault="00000E4C" w:rsidP="00ED3EDF">
      <w:pPr>
        <w:tabs>
          <w:tab w:val="left" w:pos="3204"/>
        </w:tabs>
      </w:pPr>
      <w:r>
        <w:rPr>
          <w:rFonts w:cstheme="minorHAnsi"/>
          <w:b/>
          <w:noProof/>
          <w:lang w:val="es-MX" w:eastAsia="es-MX"/>
        </w:rPr>
        <w:drawing>
          <wp:anchor distT="0" distB="0" distL="114300" distR="114300" simplePos="0" relativeHeight="251659264" behindDoc="1" locked="0" layoutInCell="1" allowOverlap="1">
            <wp:simplePos x="0" y="0"/>
            <wp:positionH relativeFrom="page">
              <wp:align>left</wp:align>
            </wp:positionH>
            <wp:positionV relativeFrom="paragraph">
              <wp:posOffset>-1029970</wp:posOffset>
            </wp:positionV>
            <wp:extent cx="7925573" cy="10042634"/>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5573" cy="10042634"/>
                    </a:xfrm>
                    <a:prstGeom prst="rect">
                      <a:avLst/>
                    </a:prstGeom>
                    <a:noFill/>
                  </pic:spPr>
                </pic:pic>
              </a:graphicData>
            </a:graphic>
          </wp:anchor>
        </w:drawing>
      </w:r>
    </w:p>
    <w:p w:rsidR="00690876" w:rsidRDefault="00690876" w:rsidP="00CA1C5A">
      <w:pPr>
        <w:jc w:val="both"/>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Pr="005B550F" w:rsidRDefault="000A712E" w:rsidP="00690876">
      <w:pPr>
        <w:jc w:val="center"/>
        <w:rPr>
          <w:rFonts w:ascii="Arial" w:hAnsi="Arial" w:cs="Arial"/>
          <w:b/>
          <w:sz w:val="36"/>
          <w:szCs w:val="36"/>
        </w:rPr>
      </w:pPr>
      <w:r w:rsidRPr="005B550F">
        <w:rPr>
          <w:rFonts w:ascii="Arial" w:hAnsi="Arial" w:cs="Arial"/>
          <w:b/>
          <w:sz w:val="36"/>
          <w:szCs w:val="36"/>
        </w:rPr>
        <w:t>FIDEICOMISO 544 FONAFIFO/BNCR</w:t>
      </w:r>
    </w:p>
    <w:p w:rsidR="00000E4C" w:rsidRPr="005B550F" w:rsidRDefault="00000E4C" w:rsidP="00690876">
      <w:pPr>
        <w:jc w:val="center"/>
        <w:rPr>
          <w:rFonts w:ascii="Arial" w:hAnsi="Arial" w:cs="Arial"/>
          <w:sz w:val="36"/>
          <w:szCs w:val="36"/>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A712E" w:rsidP="00690876">
      <w:pPr>
        <w:jc w:val="center"/>
        <w:rPr>
          <w:rFonts w:ascii="Arial" w:hAnsi="Arial" w:cs="Arial"/>
          <w:sz w:val="22"/>
          <w:szCs w:val="22"/>
        </w:rPr>
      </w:pPr>
      <w:r w:rsidRPr="008C39C8">
        <w:rPr>
          <w:rFonts w:ascii="Monotype Corsiva" w:hAnsi="Monotype Corsiva"/>
          <w:b/>
          <w:i/>
          <w:noProof/>
          <w:sz w:val="56"/>
          <w:szCs w:val="56"/>
          <w:lang w:val="es-MX" w:eastAsia="es-MX"/>
        </w:rPr>
        <w:drawing>
          <wp:inline distT="0" distB="0" distL="0" distR="0">
            <wp:extent cx="2145432" cy="962025"/>
            <wp:effectExtent l="19050" t="0" r="7218" b="0"/>
            <wp:docPr id="5" name="Picture 9"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9" cstate="print"/>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A712E" w:rsidRDefault="000A712E" w:rsidP="000A712E">
      <w:pPr>
        <w:jc w:val="center"/>
        <w:rPr>
          <w:rFonts w:ascii="Monotype Corsiva" w:hAnsi="Monotype Corsiva"/>
          <w:b/>
          <w:i/>
          <w:noProof/>
          <w:sz w:val="56"/>
          <w:szCs w:val="56"/>
          <w:lang w:val="es-MX"/>
        </w:rPr>
      </w:pPr>
    </w:p>
    <w:p w:rsidR="000A712E" w:rsidRPr="005B550F" w:rsidRDefault="000A712E" w:rsidP="000A712E">
      <w:pPr>
        <w:jc w:val="center"/>
        <w:rPr>
          <w:rFonts w:ascii="Arial" w:hAnsi="Arial" w:cs="Arial"/>
          <w:b/>
          <w:noProof/>
          <w:sz w:val="36"/>
          <w:szCs w:val="36"/>
          <w:lang w:val="es-MX"/>
        </w:rPr>
      </w:pPr>
      <w:r w:rsidRPr="005B550F">
        <w:rPr>
          <w:rFonts w:ascii="Arial" w:hAnsi="Arial" w:cs="Arial"/>
          <w:b/>
          <w:noProof/>
          <w:sz w:val="36"/>
          <w:szCs w:val="36"/>
          <w:lang w:val="es-MX"/>
        </w:rPr>
        <w:t>Informe Evaluación Presupuestaria</w:t>
      </w:r>
    </w:p>
    <w:p w:rsidR="00000E4C" w:rsidRPr="005B550F" w:rsidRDefault="00000E4C" w:rsidP="00690876">
      <w:pPr>
        <w:jc w:val="center"/>
        <w:rPr>
          <w:rFonts w:ascii="Arial" w:hAnsi="Arial" w:cs="Arial"/>
          <w:sz w:val="36"/>
          <w:szCs w:val="36"/>
        </w:rPr>
      </w:pPr>
    </w:p>
    <w:p w:rsidR="00000E4C" w:rsidRPr="005B550F" w:rsidRDefault="00000E4C" w:rsidP="00690876">
      <w:pPr>
        <w:jc w:val="center"/>
        <w:rPr>
          <w:rFonts w:ascii="Arial" w:hAnsi="Arial" w:cs="Arial"/>
          <w:sz w:val="36"/>
          <w:szCs w:val="36"/>
        </w:rPr>
      </w:pPr>
    </w:p>
    <w:p w:rsidR="00000E4C" w:rsidRPr="005B550F" w:rsidRDefault="00000E4C" w:rsidP="00690876">
      <w:pPr>
        <w:jc w:val="center"/>
        <w:rPr>
          <w:rFonts w:ascii="Arial" w:hAnsi="Arial" w:cs="Arial"/>
          <w:sz w:val="36"/>
          <w:szCs w:val="36"/>
        </w:rPr>
      </w:pPr>
    </w:p>
    <w:p w:rsidR="00000E4C" w:rsidRPr="005B550F" w:rsidRDefault="00000E4C" w:rsidP="00690876">
      <w:pPr>
        <w:jc w:val="center"/>
        <w:rPr>
          <w:rFonts w:ascii="Arial" w:hAnsi="Arial" w:cs="Arial"/>
          <w:sz w:val="36"/>
          <w:szCs w:val="36"/>
        </w:rPr>
      </w:pPr>
    </w:p>
    <w:p w:rsidR="00000E4C" w:rsidRPr="005B550F" w:rsidRDefault="00000E4C" w:rsidP="00690876">
      <w:pPr>
        <w:jc w:val="center"/>
        <w:rPr>
          <w:rFonts w:ascii="Arial" w:hAnsi="Arial" w:cs="Arial"/>
          <w:sz w:val="36"/>
          <w:szCs w:val="36"/>
        </w:rPr>
      </w:pPr>
    </w:p>
    <w:p w:rsidR="000A712E" w:rsidRPr="005B550F" w:rsidRDefault="00931022" w:rsidP="000A712E">
      <w:pPr>
        <w:jc w:val="center"/>
        <w:rPr>
          <w:rFonts w:ascii="Arial" w:hAnsi="Arial" w:cs="Arial"/>
          <w:b/>
          <w:noProof/>
          <w:sz w:val="36"/>
          <w:szCs w:val="36"/>
          <w:lang w:val="es-MX"/>
        </w:rPr>
      </w:pPr>
      <w:r>
        <w:rPr>
          <w:rFonts w:ascii="Arial" w:hAnsi="Arial" w:cs="Arial"/>
          <w:b/>
          <w:noProof/>
          <w:sz w:val="36"/>
          <w:szCs w:val="36"/>
          <w:lang w:val="es-MX"/>
        </w:rPr>
        <w:t>I</w:t>
      </w:r>
      <w:r w:rsidR="00315DD2" w:rsidRPr="005B550F">
        <w:rPr>
          <w:rFonts w:ascii="Arial" w:hAnsi="Arial" w:cs="Arial"/>
          <w:b/>
          <w:noProof/>
          <w:sz w:val="36"/>
          <w:szCs w:val="36"/>
          <w:lang w:val="es-MX"/>
        </w:rPr>
        <w:t>I</w:t>
      </w:r>
      <w:r w:rsidR="00806B92" w:rsidRPr="005B550F">
        <w:rPr>
          <w:rFonts w:ascii="Arial" w:hAnsi="Arial" w:cs="Arial"/>
          <w:b/>
          <w:noProof/>
          <w:sz w:val="36"/>
          <w:szCs w:val="36"/>
          <w:lang w:val="es-MX"/>
        </w:rPr>
        <w:t xml:space="preserve"> Semestre, </w:t>
      </w:r>
      <w:r w:rsidR="00EC2BE0" w:rsidRPr="005B550F">
        <w:rPr>
          <w:rFonts w:ascii="Arial" w:hAnsi="Arial" w:cs="Arial"/>
          <w:b/>
          <w:noProof/>
          <w:sz w:val="36"/>
          <w:szCs w:val="36"/>
          <w:lang w:val="es-MX"/>
        </w:rPr>
        <w:t>201</w:t>
      </w:r>
      <w:r w:rsidR="005F4810" w:rsidRPr="005B550F">
        <w:rPr>
          <w:rFonts w:ascii="Arial" w:hAnsi="Arial" w:cs="Arial"/>
          <w:b/>
          <w:noProof/>
          <w:sz w:val="36"/>
          <w:szCs w:val="36"/>
          <w:lang w:val="es-MX"/>
        </w:rPr>
        <w:t>8</w:t>
      </w:r>
    </w:p>
    <w:p w:rsidR="000A712E" w:rsidRPr="005B550F" w:rsidRDefault="000A712E" w:rsidP="000A712E">
      <w:pPr>
        <w:jc w:val="center"/>
        <w:rPr>
          <w:rFonts w:ascii="Arial" w:hAnsi="Arial" w:cs="Arial"/>
          <w:b/>
          <w:noProof/>
          <w:sz w:val="36"/>
          <w:szCs w:val="36"/>
          <w:lang w:val="es-MX"/>
        </w:rPr>
      </w:pPr>
    </w:p>
    <w:p w:rsidR="000A712E" w:rsidRPr="005B550F" w:rsidRDefault="00931022" w:rsidP="000A712E">
      <w:pPr>
        <w:jc w:val="center"/>
        <w:rPr>
          <w:rFonts w:ascii="Arial" w:hAnsi="Arial" w:cs="Arial"/>
          <w:b/>
          <w:noProof/>
          <w:sz w:val="36"/>
          <w:szCs w:val="36"/>
          <w:lang w:val="es-MX"/>
        </w:rPr>
      </w:pPr>
      <w:r>
        <w:rPr>
          <w:rFonts w:ascii="Arial" w:hAnsi="Arial" w:cs="Arial"/>
          <w:b/>
          <w:noProof/>
          <w:sz w:val="36"/>
          <w:szCs w:val="36"/>
          <w:lang w:val="es-MX"/>
        </w:rPr>
        <w:t>Febrero</w:t>
      </w:r>
      <w:r w:rsidR="000A712E" w:rsidRPr="005B550F">
        <w:rPr>
          <w:rFonts w:ascii="Arial" w:hAnsi="Arial" w:cs="Arial"/>
          <w:b/>
          <w:noProof/>
          <w:sz w:val="36"/>
          <w:szCs w:val="36"/>
          <w:lang w:val="es-MX"/>
        </w:rPr>
        <w:t>,</w:t>
      </w:r>
      <w:r>
        <w:rPr>
          <w:rFonts w:ascii="Arial" w:hAnsi="Arial" w:cs="Arial"/>
          <w:b/>
          <w:noProof/>
          <w:sz w:val="36"/>
          <w:szCs w:val="36"/>
          <w:lang w:val="es-MX"/>
        </w:rPr>
        <w:t xml:space="preserve"> </w:t>
      </w:r>
      <w:r w:rsidR="00315DD2" w:rsidRPr="005B550F">
        <w:rPr>
          <w:rFonts w:ascii="Arial" w:hAnsi="Arial" w:cs="Arial"/>
          <w:b/>
          <w:noProof/>
          <w:sz w:val="36"/>
          <w:szCs w:val="36"/>
          <w:lang w:val="es-MX"/>
        </w:rPr>
        <w:t>201</w:t>
      </w:r>
      <w:r>
        <w:rPr>
          <w:rFonts w:ascii="Arial" w:hAnsi="Arial" w:cs="Arial"/>
          <w:b/>
          <w:noProof/>
          <w:sz w:val="36"/>
          <w:szCs w:val="36"/>
          <w:lang w:val="es-MX"/>
        </w:rPr>
        <w:t>9</w:t>
      </w:r>
    </w:p>
    <w:p w:rsidR="00000E4C" w:rsidRPr="005B550F" w:rsidRDefault="00000E4C" w:rsidP="00690876">
      <w:pPr>
        <w:jc w:val="center"/>
        <w:rPr>
          <w:rFonts w:ascii="Arial" w:hAnsi="Arial" w:cs="Arial"/>
          <w:sz w:val="36"/>
          <w:szCs w:val="36"/>
        </w:rPr>
      </w:pPr>
    </w:p>
    <w:p w:rsidR="00000E4C" w:rsidRPr="005F4810"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F93A8F" w:rsidRDefault="00D32C8E">
      <w:pPr>
        <w:pStyle w:val="TtuloTDC"/>
        <w:rPr>
          <w:rFonts w:ascii="Arial" w:hAnsi="Arial" w:cs="Arial"/>
          <w:sz w:val="22"/>
          <w:szCs w:val="22"/>
        </w:rPr>
      </w:pPr>
      <w:r>
        <w:rPr>
          <w:rFonts w:ascii="Arial" w:hAnsi="Arial" w:cs="Arial"/>
          <w:sz w:val="22"/>
          <w:szCs w:val="22"/>
        </w:rPr>
        <w:tab/>
      </w:r>
    </w:p>
    <w:sdt>
      <w:sdtPr>
        <w:rPr>
          <w:lang w:val="es-ES"/>
        </w:rPr>
        <w:id w:val="-1440219553"/>
        <w:docPartObj>
          <w:docPartGallery w:val="Table of Contents"/>
          <w:docPartUnique/>
        </w:docPartObj>
      </w:sdtPr>
      <w:sdtEndPr>
        <w:rPr>
          <w:b/>
          <w:bCs/>
        </w:rPr>
      </w:sdtEndPr>
      <w:sdtContent>
        <w:p w:rsidR="00F93A8F" w:rsidRPr="005B550F" w:rsidRDefault="00F93A8F" w:rsidP="00F93A8F">
          <w:pPr>
            <w:tabs>
              <w:tab w:val="left" w:pos="4575"/>
            </w:tabs>
            <w:rPr>
              <w:rFonts w:asciiTheme="minorHAnsi" w:hAnsiTheme="minorHAnsi" w:cstheme="minorHAnsi"/>
              <w:b/>
              <w:sz w:val="24"/>
              <w:szCs w:val="24"/>
            </w:rPr>
          </w:pPr>
          <w:r w:rsidRPr="005B550F">
            <w:rPr>
              <w:rFonts w:asciiTheme="minorHAnsi" w:hAnsiTheme="minorHAnsi" w:cstheme="minorHAnsi"/>
              <w:b/>
              <w:sz w:val="24"/>
              <w:szCs w:val="24"/>
              <w:lang w:val="es-ES"/>
            </w:rPr>
            <w:t>Tabla de contenido</w:t>
          </w:r>
        </w:p>
        <w:p w:rsidR="00DE4A63" w:rsidRDefault="00DD5CAC">
          <w:pPr>
            <w:pStyle w:val="TDC1"/>
            <w:tabs>
              <w:tab w:val="left" w:pos="400"/>
              <w:tab w:val="right" w:leader="dot" w:pos="9658"/>
            </w:tabs>
            <w:rPr>
              <w:rFonts w:asciiTheme="minorHAnsi" w:eastAsiaTheme="minorEastAsia" w:hAnsiTheme="minorHAnsi" w:cstheme="minorBidi"/>
              <w:noProof/>
              <w:sz w:val="22"/>
              <w:szCs w:val="22"/>
              <w:lang w:val="es-MX" w:eastAsia="es-MX"/>
            </w:rPr>
          </w:pPr>
          <w:r>
            <w:fldChar w:fldCharType="begin"/>
          </w:r>
          <w:r w:rsidR="00F93A8F">
            <w:instrText xml:space="preserve"> TOC \o "1-3" \h \z \u </w:instrText>
          </w:r>
          <w:r>
            <w:fldChar w:fldCharType="separate"/>
          </w:r>
          <w:hyperlink w:anchor="_Toc520729570" w:history="1">
            <w:r w:rsidR="00DE4A63" w:rsidRPr="00F7682A">
              <w:rPr>
                <w:rStyle w:val="Hipervnculo"/>
                <w:rFonts w:ascii="Arial" w:hAnsi="Arial" w:cs="Arial"/>
                <w:b/>
                <w:noProof/>
              </w:rPr>
              <w:t>I.</w:t>
            </w:r>
            <w:r w:rsidR="00DE4A63">
              <w:rPr>
                <w:rFonts w:asciiTheme="minorHAnsi" w:eastAsiaTheme="minorEastAsia" w:hAnsiTheme="minorHAnsi" w:cstheme="minorBidi"/>
                <w:noProof/>
                <w:sz w:val="22"/>
                <w:szCs w:val="22"/>
                <w:lang w:val="es-MX" w:eastAsia="es-MX"/>
              </w:rPr>
              <w:tab/>
            </w:r>
            <w:r w:rsidR="00DE4A63" w:rsidRPr="00F7682A">
              <w:rPr>
                <w:rStyle w:val="Hipervnculo"/>
                <w:rFonts w:ascii="Arial" w:hAnsi="Arial" w:cs="Arial"/>
                <w:b/>
                <w:noProof/>
              </w:rPr>
              <w:t>Análisis del comportamiento de la Ejecución de los Ingresos</w:t>
            </w:r>
            <w:r w:rsidR="00DE4A63">
              <w:rPr>
                <w:rStyle w:val="Hipervnculo"/>
                <w:rFonts w:ascii="Arial" w:hAnsi="Arial" w:cs="Arial"/>
                <w:b/>
                <w:noProof/>
              </w:rPr>
              <w:t>……………………………</w:t>
            </w:r>
            <w:r w:rsidRPr="00DE4A63">
              <w:rPr>
                <w:noProof/>
                <w:webHidden/>
                <w:sz w:val="22"/>
                <w:szCs w:val="22"/>
              </w:rPr>
              <w:fldChar w:fldCharType="begin"/>
            </w:r>
            <w:r w:rsidR="00DE4A63" w:rsidRPr="00DE4A63">
              <w:rPr>
                <w:noProof/>
                <w:webHidden/>
                <w:sz w:val="22"/>
                <w:szCs w:val="22"/>
              </w:rPr>
              <w:instrText xml:space="preserve"> PAGEREF _Toc520729570 \h </w:instrText>
            </w:r>
            <w:r w:rsidRPr="00DE4A63">
              <w:rPr>
                <w:noProof/>
                <w:webHidden/>
                <w:sz w:val="22"/>
                <w:szCs w:val="22"/>
              </w:rPr>
            </w:r>
            <w:r w:rsidRPr="00DE4A63">
              <w:rPr>
                <w:noProof/>
                <w:webHidden/>
                <w:sz w:val="22"/>
                <w:szCs w:val="22"/>
              </w:rPr>
              <w:fldChar w:fldCharType="separate"/>
            </w:r>
            <w:r w:rsidR="00AF6A62">
              <w:rPr>
                <w:noProof/>
                <w:webHidden/>
                <w:sz w:val="22"/>
                <w:szCs w:val="22"/>
              </w:rPr>
              <w:t>3</w:t>
            </w:r>
            <w:r w:rsidRPr="00DE4A63">
              <w:rPr>
                <w:noProof/>
                <w:webHidden/>
                <w:sz w:val="22"/>
                <w:szCs w:val="22"/>
              </w:rPr>
              <w:fldChar w:fldCharType="end"/>
            </w:r>
          </w:hyperlink>
        </w:p>
        <w:p w:rsidR="00DE4A63" w:rsidRDefault="00AF6A62">
          <w:pPr>
            <w:pStyle w:val="TDC2"/>
            <w:rPr>
              <w:rFonts w:asciiTheme="minorHAnsi" w:eastAsiaTheme="minorEastAsia" w:hAnsiTheme="minorHAnsi" w:cstheme="minorBidi"/>
              <w:bCs w:val="0"/>
              <w:lang w:val="es-MX" w:eastAsia="es-MX"/>
            </w:rPr>
          </w:pPr>
          <w:hyperlink w:anchor="_Toc520729571" w:history="1">
            <w:r w:rsidR="00DE4A63" w:rsidRPr="00F7682A">
              <w:rPr>
                <w:rStyle w:val="Hipervnculo"/>
              </w:rPr>
              <w:t>1. A.   Comentarios sobre los Ingresos</w:t>
            </w:r>
            <w:r w:rsidR="00DE4A63">
              <w:rPr>
                <w:webHidden/>
              </w:rPr>
              <w:tab/>
            </w:r>
            <w:r w:rsidR="00DD5CAC">
              <w:rPr>
                <w:webHidden/>
              </w:rPr>
              <w:fldChar w:fldCharType="begin"/>
            </w:r>
            <w:r w:rsidR="00DE4A63">
              <w:rPr>
                <w:webHidden/>
              </w:rPr>
              <w:instrText xml:space="preserve"> PAGEREF _Toc520729571 \h </w:instrText>
            </w:r>
            <w:r w:rsidR="00DD5CAC">
              <w:rPr>
                <w:webHidden/>
              </w:rPr>
            </w:r>
            <w:r w:rsidR="00DD5CAC">
              <w:rPr>
                <w:webHidden/>
              </w:rPr>
              <w:fldChar w:fldCharType="separate"/>
            </w:r>
            <w:r>
              <w:rPr>
                <w:webHidden/>
              </w:rPr>
              <w:t>4</w:t>
            </w:r>
            <w:r w:rsidR="00DD5CAC">
              <w:rPr>
                <w:webHidden/>
              </w:rPr>
              <w:fldChar w:fldCharType="end"/>
            </w:r>
          </w:hyperlink>
        </w:p>
        <w:p w:rsidR="00DE4A63" w:rsidRDefault="00AF6A62">
          <w:pPr>
            <w:pStyle w:val="TDC2"/>
            <w:rPr>
              <w:rFonts w:asciiTheme="minorHAnsi" w:eastAsiaTheme="minorEastAsia" w:hAnsiTheme="minorHAnsi" w:cstheme="minorBidi"/>
              <w:bCs w:val="0"/>
              <w:lang w:val="es-MX" w:eastAsia="es-MX"/>
            </w:rPr>
          </w:pPr>
          <w:hyperlink w:anchor="_Toc520729572" w:history="1">
            <w:r w:rsidR="00DE4A63" w:rsidRPr="00F7682A">
              <w:rPr>
                <w:rStyle w:val="Hipervnculo"/>
              </w:rPr>
              <w:t>1. B Limitaciones</w:t>
            </w:r>
            <w:r w:rsidR="00DE4A63">
              <w:rPr>
                <w:webHidden/>
              </w:rPr>
              <w:tab/>
            </w:r>
            <w:r w:rsidR="00DD5CAC">
              <w:rPr>
                <w:webHidden/>
              </w:rPr>
              <w:fldChar w:fldCharType="begin"/>
            </w:r>
            <w:r w:rsidR="00DE4A63">
              <w:rPr>
                <w:webHidden/>
              </w:rPr>
              <w:instrText xml:space="preserve"> PAGEREF _Toc520729572 \h </w:instrText>
            </w:r>
            <w:r w:rsidR="00DD5CAC">
              <w:rPr>
                <w:webHidden/>
              </w:rPr>
            </w:r>
            <w:r w:rsidR="00DD5CAC">
              <w:rPr>
                <w:webHidden/>
              </w:rPr>
              <w:fldChar w:fldCharType="separate"/>
            </w:r>
            <w:r>
              <w:rPr>
                <w:webHidden/>
              </w:rPr>
              <w:t>6</w:t>
            </w:r>
            <w:r w:rsidR="00DD5CAC">
              <w:rPr>
                <w:webHidden/>
              </w:rPr>
              <w:fldChar w:fldCharType="end"/>
            </w:r>
          </w:hyperlink>
        </w:p>
        <w:p w:rsidR="00DE4A63" w:rsidRDefault="00AF6A62">
          <w:pPr>
            <w:pStyle w:val="TDC1"/>
            <w:tabs>
              <w:tab w:val="left" w:pos="400"/>
              <w:tab w:val="right" w:leader="dot" w:pos="9658"/>
            </w:tabs>
            <w:rPr>
              <w:rFonts w:asciiTheme="minorHAnsi" w:eastAsiaTheme="minorEastAsia" w:hAnsiTheme="minorHAnsi" w:cstheme="minorBidi"/>
              <w:noProof/>
              <w:sz w:val="22"/>
              <w:szCs w:val="22"/>
              <w:lang w:val="es-MX" w:eastAsia="es-MX"/>
            </w:rPr>
          </w:pPr>
          <w:hyperlink w:anchor="_Toc520729573" w:history="1">
            <w:r w:rsidR="00DE4A63" w:rsidRPr="00F7682A">
              <w:rPr>
                <w:rStyle w:val="Hipervnculo"/>
                <w:rFonts w:ascii="Arial" w:hAnsi="Arial" w:cs="Arial"/>
                <w:b/>
                <w:noProof/>
              </w:rPr>
              <w:t>II.</w:t>
            </w:r>
            <w:r w:rsidR="00DE4A63">
              <w:rPr>
                <w:rFonts w:asciiTheme="minorHAnsi" w:eastAsiaTheme="minorEastAsia" w:hAnsiTheme="minorHAnsi" w:cstheme="minorBidi"/>
                <w:noProof/>
                <w:sz w:val="22"/>
                <w:szCs w:val="22"/>
                <w:lang w:val="es-MX" w:eastAsia="es-MX"/>
              </w:rPr>
              <w:tab/>
            </w:r>
            <w:r w:rsidR="00DE4A63" w:rsidRPr="00F7682A">
              <w:rPr>
                <w:rStyle w:val="Hipervnculo"/>
                <w:rFonts w:ascii="Arial" w:hAnsi="Arial" w:cs="Arial"/>
                <w:b/>
                <w:noProof/>
              </w:rPr>
              <w:t>Análisis del comportamiento de la ejecución de los Egresos</w:t>
            </w:r>
            <w:r w:rsidR="00DE4A63">
              <w:rPr>
                <w:rStyle w:val="Hipervnculo"/>
                <w:rFonts w:ascii="Arial" w:hAnsi="Arial" w:cs="Arial"/>
                <w:b/>
                <w:noProof/>
              </w:rPr>
              <w:t>………………………….....</w:t>
            </w:r>
            <w:r w:rsidR="00DD5CAC" w:rsidRPr="00DE4A63">
              <w:rPr>
                <w:noProof/>
                <w:webHidden/>
                <w:sz w:val="22"/>
                <w:szCs w:val="22"/>
              </w:rPr>
              <w:fldChar w:fldCharType="begin"/>
            </w:r>
            <w:r w:rsidR="00DE4A63" w:rsidRPr="00DE4A63">
              <w:rPr>
                <w:noProof/>
                <w:webHidden/>
                <w:sz w:val="22"/>
                <w:szCs w:val="22"/>
              </w:rPr>
              <w:instrText xml:space="preserve"> PAGEREF _Toc520729573 \h </w:instrText>
            </w:r>
            <w:r w:rsidR="00DD5CAC" w:rsidRPr="00DE4A63">
              <w:rPr>
                <w:noProof/>
                <w:webHidden/>
                <w:sz w:val="22"/>
                <w:szCs w:val="22"/>
              </w:rPr>
            </w:r>
            <w:r w:rsidR="00DD5CAC" w:rsidRPr="00DE4A63">
              <w:rPr>
                <w:noProof/>
                <w:webHidden/>
                <w:sz w:val="22"/>
                <w:szCs w:val="22"/>
              </w:rPr>
              <w:fldChar w:fldCharType="separate"/>
            </w:r>
            <w:r>
              <w:rPr>
                <w:noProof/>
                <w:webHidden/>
                <w:sz w:val="22"/>
                <w:szCs w:val="22"/>
              </w:rPr>
              <w:t>7</w:t>
            </w:r>
            <w:r w:rsidR="00DD5CAC" w:rsidRPr="00DE4A63">
              <w:rPr>
                <w:noProof/>
                <w:webHidden/>
                <w:sz w:val="22"/>
                <w:szCs w:val="22"/>
              </w:rPr>
              <w:fldChar w:fldCharType="end"/>
            </w:r>
          </w:hyperlink>
        </w:p>
        <w:p w:rsidR="00DE4A63" w:rsidRDefault="00AF6A62">
          <w:pPr>
            <w:pStyle w:val="TDC2"/>
            <w:rPr>
              <w:rFonts w:asciiTheme="minorHAnsi" w:eastAsiaTheme="minorEastAsia" w:hAnsiTheme="minorHAnsi" w:cstheme="minorBidi"/>
              <w:bCs w:val="0"/>
              <w:lang w:val="es-MX" w:eastAsia="es-MX"/>
            </w:rPr>
          </w:pPr>
          <w:hyperlink w:anchor="_Toc520729574" w:history="1">
            <w:r w:rsidR="00DE4A63" w:rsidRPr="00F7682A">
              <w:rPr>
                <w:rStyle w:val="Hipervnculo"/>
              </w:rPr>
              <w:t>2. A. Comentarios sobre la Ejecución de los Egresos</w:t>
            </w:r>
            <w:r w:rsidR="00DE4A63">
              <w:rPr>
                <w:webHidden/>
              </w:rPr>
              <w:tab/>
            </w:r>
            <w:r w:rsidR="00DD5CAC">
              <w:rPr>
                <w:webHidden/>
              </w:rPr>
              <w:fldChar w:fldCharType="begin"/>
            </w:r>
            <w:r w:rsidR="00DE4A63">
              <w:rPr>
                <w:webHidden/>
              </w:rPr>
              <w:instrText xml:space="preserve"> PAGEREF _Toc520729574 \h </w:instrText>
            </w:r>
            <w:r w:rsidR="00DD5CAC">
              <w:rPr>
                <w:webHidden/>
              </w:rPr>
            </w:r>
            <w:r w:rsidR="00DD5CAC">
              <w:rPr>
                <w:webHidden/>
              </w:rPr>
              <w:fldChar w:fldCharType="separate"/>
            </w:r>
            <w:r>
              <w:rPr>
                <w:webHidden/>
              </w:rPr>
              <w:t>9</w:t>
            </w:r>
            <w:r w:rsidR="00DD5CAC">
              <w:rPr>
                <w:webHidden/>
              </w:rPr>
              <w:fldChar w:fldCharType="end"/>
            </w:r>
          </w:hyperlink>
        </w:p>
        <w:p w:rsidR="00DE4A63" w:rsidRDefault="00AF6A62">
          <w:pPr>
            <w:pStyle w:val="TDC2"/>
            <w:rPr>
              <w:rFonts w:asciiTheme="minorHAnsi" w:eastAsiaTheme="minorEastAsia" w:hAnsiTheme="minorHAnsi" w:cstheme="minorBidi"/>
              <w:bCs w:val="0"/>
              <w:lang w:val="es-MX" w:eastAsia="es-MX"/>
            </w:rPr>
          </w:pPr>
          <w:hyperlink w:anchor="_Toc520729575" w:history="1">
            <w:r w:rsidR="00DE4A63" w:rsidRPr="00F7682A">
              <w:rPr>
                <w:rStyle w:val="Hipervnculo"/>
              </w:rPr>
              <w:t>2. B Limitaciones</w:t>
            </w:r>
            <w:r w:rsidR="00DE4A63">
              <w:rPr>
                <w:webHidden/>
              </w:rPr>
              <w:tab/>
            </w:r>
            <w:r w:rsidR="00DD5CAC">
              <w:rPr>
                <w:webHidden/>
              </w:rPr>
              <w:fldChar w:fldCharType="begin"/>
            </w:r>
            <w:r w:rsidR="00DE4A63">
              <w:rPr>
                <w:webHidden/>
              </w:rPr>
              <w:instrText xml:space="preserve"> PAGEREF _Toc520729575 \h </w:instrText>
            </w:r>
            <w:r w:rsidR="00DD5CAC">
              <w:rPr>
                <w:webHidden/>
              </w:rPr>
            </w:r>
            <w:r w:rsidR="00DD5CAC">
              <w:rPr>
                <w:webHidden/>
              </w:rPr>
              <w:fldChar w:fldCharType="separate"/>
            </w:r>
            <w:r>
              <w:rPr>
                <w:webHidden/>
              </w:rPr>
              <w:t>10</w:t>
            </w:r>
            <w:r w:rsidR="00DD5CAC">
              <w:rPr>
                <w:webHidden/>
              </w:rPr>
              <w:fldChar w:fldCharType="end"/>
            </w:r>
          </w:hyperlink>
        </w:p>
        <w:p w:rsidR="00DE4A63" w:rsidRDefault="00AF6A62">
          <w:pPr>
            <w:pStyle w:val="TDC1"/>
            <w:tabs>
              <w:tab w:val="left" w:pos="660"/>
              <w:tab w:val="right" w:leader="dot" w:pos="9658"/>
            </w:tabs>
            <w:rPr>
              <w:rFonts w:asciiTheme="minorHAnsi" w:eastAsiaTheme="minorEastAsia" w:hAnsiTheme="minorHAnsi" w:cstheme="minorBidi"/>
              <w:noProof/>
              <w:sz w:val="22"/>
              <w:szCs w:val="22"/>
              <w:lang w:val="es-MX" w:eastAsia="es-MX"/>
            </w:rPr>
          </w:pPr>
          <w:hyperlink w:anchor="_Toc520729576" w:history="1">
            <w:r w:rsidR="00DE4A63" w:rsidRPr="00F7682A">
              <w:rPr>
                <w:rStyle w:val="Hipervnculo"/>
                <w:rFonts w:ascii="Arial" w:hAnsi="Arial" w:cs="Arial"/>
                <w:b/>
                <w:noProof/>
              </w:rPr>
              <w:t>III.</w:t>
            </w:r>
            <w:r w:rsidR="00DE4A63">
              <w:rPr>
                <w:rFonts w:asciiTheme="minorHAnsi" w:eastAsiaTheme="minorEastAsia" w:hAnsiTheme="minorHAnsi" w:cstheme="minorBidi"/>
                <w:noProof/>
                <w:sz w:val="22"/>
                <w:szCs w:val="22"/>
                <w:lang w:val="es-MX" w:eastAsia="es-MX"/>
              </w:rPr>
              <w:tab/>
            </w:r>
            <w:r w:rsidR="00DE4A63" w:rsidRPr="00F7682A">
              <w:rPr>
                <w:rStyle w:val="Hipervnculo"/>
                <w:rFonts w:ascii="Arial" w:hAnsi="Arial" w:cs="Arial"/>
                <w:b/>
                <w:noProof/>
              </w:rPr>
              <w:t>Liquidación y resultados</w:t>
            </w:r>
            <w:r w:rsidR="00DE4A63">
              <w:rPr>
                <w:rStyle w:val="Hipervnculo"/>
                <w:rFonts w:ascii="Arial" w:hAnsi="Arial" w:cs="Arial"/>
                <w:b/>
                <w:noProof/>
              </w:rPr>
              <w:t>…………………………………………………………………….</w:t>
            </w:r>
            <w:r w:rsidR="00DD5CAC" w:rsidRPr="00DE4A63">
              <w:rPr>
                <w:noProof/>
                <w:webHidden/>
                <w:sz w:val="22"/>
                <w:szCs w:val="22"/>
              </w:rPr>
              <w:fldChar w:fldCharType="begin"/>
            </w:r>
            <w:r w:rsidR="00DE4A63" w:rsidRPr="00DE4A63">
              <w:rPr>
                <w:noProof/>
                <w:webHidden/>
                <w:sz w:val="22"/>
                <w:szCs w:val="22"/>
              </w:rPr>
              <w:instrText xml:space="preserve"> PAGEREF _Toc520729576 \h </w:instrText>
            </w:r>
            <w:r w:rsidR="00DD5CAC" w:rsidRPr="00DE4A63">
              <w:rPr>
                <w:noProof/>
                <w:webHidden/>
                <w:sz w:val="22"/>
                <w:szCs w:val="22"/>
              </w:rPr>
            </w:r>
            <w:r w:rsidR="00DD5CAC" w:rsidRPr="00DE4A63">
              <w:rPr>
                <w:noProof/>
                <w:webHidden/>
                <w:sz w:val="22"/>
                <w:szCs w:val="22"/>
              </w:rPr>
              <w:fldChar w:fldCharType="separate"/>
            </w:r>
            <w:r>
              <w:rPr>
                <w:noProof/>
                <w:webHidden/>
                <w:sz w:val="22"/>
                <w:szCs w:val="22"/>
              </w:rPr>
              <w:t>11</w:t>
            </w:r>
            <w:r w:rsidR="00DD5CAC" w:rsidRPr="00DE4A63">
              <w:rPr>
                <w:noProof/>
                <w:webHidden/>
                <w:sz w:val="22"/>
                <w:szCs w:val="22"/>
              </w:rPr>
              <w:fldChar w:fldCharType="end"/>
            </w:r>
          </w:hyperlink>
        </w:p>
        <w:p w:rsidR="00DE4A63" w:rsidRDefault="00AF6A62">
          <w:pPr>
            <w:pStyle w:val="TDC1"/>
            <w:tabs>
              <w:tab w:val="left" w:pos="660"/>
              <w:tab w:val="right" w:leader="dot" w:pos="9658"/>
            </w:tabs>
            <w:rPr>
              <w:rFonts w:asciiTheme="minorHAnsi" w:eastAsiaTheme="minorEastAsia" w:hAnsiTheme="minorHAnsi" w:cstheme="minorBidi"/>
              <w:noProof/>
              <w:sz w:val="22"/>
              <w:szCs w:val="22"/>
              <w:lang w:val="es-MX" w:eastAsia="es-MX"/>
            </w:rPr>
          </w:pPr>
          <w:hyperlink w:anchor="_Toc520729577" w:history="1">
            <w:r w:rsidR="00DE4A63" w:rsidRPr="00F7682A">
              <w:rPr>
                <w:rStyle w:val="Hipervnculo"/>
                <w:rFonts w:ascii="Arial" w:hAnsi="Arial" w:cs="Arial"/>
                <w:b/>
                <w:noProof/>
              </w:rPr>
              <w:t>IV.</w:t>
            </w:r>
            <w:r w:rsidR="00DE4A63">
              <w:rPr>
                <w:rFonts w:asciiTheme="minorHAnsi" w:eastAsiaTheme="minorEastAsia" w:hAnsiTheme="minorHAnsi" w:cstheme="minorBidi"/>
                <w:noProof/>
                <w:sz w:val="22"/>
                <w:szCs w:val="22"/>
                <w:lang w:val="es-MX" w:eastAsia="es-MX"/>
              </w:rPr>
              <w:tab/>
            </w:r>
            <w:r w:rsidR="00DE4A63" w:rsidRPr="00F7682A">
              <w:rPr>
                <w:rStyle w:val="Hipervnculo"/>
                <w:rFonts w:ascii="Arial" w:hAnsi="Arial" w:cs="Arial"/>
                <w:b/>
                <w:noProof/>
              </w:rPr>
              <w:t>Análisis del Avance de los Objetivos y Metas</w:t>
            </w:r>
            <w:r w:rsidR="00DE4A63">
              <w:rPr>
                <w:rStyle w:val="Hipervnculo"/>
                <w:rFonts w:ascii="Arial" w:hAnsi="Arial" w:cs="Arial"/>
                <w:b/>
                <w:noProof/>
              </w:rPr>
              <w:t>…………………………………….…….</w:t>
            </w:r>
            <w:r w:rsidR="00DE4A63" w:rsidRPr="00DE4A63">
              <w:rPr>
                <w:rStyle w:val="Hipervnculo"/>
                <w:rFonts w:ascii="Arial" w:hAnsi="Arial" w:cs="Arial"/>
                <w:b/>
                <w:noProof/>
                <w:sz w:val="22"/>
                <w:szCs w:val="22"/>
              </w:rPr>
              <w:t>.</w:t>
            </w:r>
            <w:r w:rsidR="00DD5CAC" w:rsidRPr="00DE4A63">
              <w:rPr>
                <w:noProof/>
                <w:webHidden/>
                <w:sz w:val="22"/>
                <w:szCs w:val="22"/>
              </w:rPr>
              <w:fldChar w:fldCharType="begin"/>
            </w:r>
            <w:r w:rsidR="00DE4A63" w:rsidRPr="00DE4A63">
              <w:rPr>
                <w:noProof/>
                <w:webHidden/>
                <w:sz w:val="22"/>
                <w:szCs w:val="22"/>
              </w:rPr>
              <w:instrText xml:space="preserve"> PAGEREF _Toc520729577 \h </w:instrText>
            </w:r>
            <w:r w:rsidR="00DD5CAC" w:rsidRPr="00DE4A63">
              <w:rPr>
                <w:noProof/>
                <w:webHidden/>
                <w:sz w:val="22"/>
                <w:szCs w:val="22"/>
              </w:rPr>
            </w:r>
            <w:r w:rsidR="00DD5CAC" w:rsidRPr="00DE4A63">
              <w:rPr>
                <w:noProof/>
                <w:webHidden/>
                <w:sz w:val="22"/>
                <w:szCs w:val="22"/>
              </w:rPr>
              <w:fldChar w:fldCharType="separate"/>
            </w:r>
            <w:r>
              <w:rPr>
                <w:noProof/>
                <w:webHidden/>
                <w:sz w:val="22"/>
                <w:szCs w:val="22"/>
              </w:rPr>
              <w:t>12</w:t>
            </w:r>
            <w:r w:rsidR="00DD5CAC" w:rsidRPr="00DE4A63">
              <w:rPr>
                <w:noProof/>
                <w:webHidden/>
                <w:sz w:val="22"/>
                <w:szCs w:val="22"/>
              </w:rPr>
              <w:fldChar w:fldCharType="end"/>
            </w:r>
          </w:hyperlink>
        </w:p>
        <w:p w:rsidR="00DE4A63" w:rsidRDefault="00AF6A62">
          <w:pPr>
            <w:pStyle w:val="TDC1"/>
            <w:tabs>
              <w:tab w:val="left" w:pos="660"/>
              <w:tab w:val="right" w:leader="dot" w:pos="9658"/>
            </w:tabs>
            <w:rPr>
              <w:rFonts w:asciiTheme="minorHAnsi" w:eastAsiaTheme="minorEastAsia" w:hAnsiTheme="minorHAnsi" w:cstheme="minorBidi"/>
              <w:noProof/>
              <w:sz w:val="22"/>
              <w:szCs w:val="22"/>
              <w:lang w:val="es-MX" w:eastAsia="es-MX"/>
            </w:rPr>
          </w:pPr>
          <w:hyperlink w:anchor="_Toc520729578" w:history="1">
            <w:r w:rsidR="00DE4A63" w:rsidRPr="00F7682A">
              <w:rPr>
                <w:rStyle w:val="Hipervnculo"/>
                <w:rFonts w:ascii="Arial" w:hAnsi="Arial" w:cs="Arial"/>
                <w:b/>
                <w:noProof/>
              </w:rPr>
              <w:t>V.</w:t>
            </w:r>
            <w:r w:rsidR="00DE4A63">
              <w:rPr>
                <w:rFonts w:asciiTheme="minorHAnsi" w:eastAsiaTheme="minorEastAsia" w:hAnsiTheme="minorHAnsi" w:cstheme="minorBidi"/>
                <w:noProof/>
                <w:sz w:val="22"/>
                <w:szCs w:val="22"/>
                <w:lang w:val="es-MX" w:eastAsia="es-MX"/>
              </w:rPr>
              <w:tab/>
            </w:r>
            <w:r w:rsidR="00DE4A63" w:rsidRPr="00F7682A">
              <w:rPr>
                <w:rStyle w:val="Hipervnculo"/>
                <w:rFonts w:ascii="Arial" w:hAnsi="Arial" w:cs="Arial"/>
                <w:b/>
                <w:noProof/>
              </w:rPr>
              <w:t>Situación Económica Financiera</w:t>
            </w:r>
            <w:r w:rsidR="00DE4A63">
              <w:rPr>
                <w:rStyle w:val="Hipervnculo"/>
                <w:rFonts w:ascii="Arial" w:hAnsi="Arial" w:cs="Arial"/>
                <w:b/>
                <w:noProof/>
              </w:rPr>
              <w:t>……………………………………………………….…..</w:t>
            </w:r>
            <w:r w:rsidR="00DD5CAC" w:rsidRPr="00DE4A63">
              <w:rPr>
                <w:noProof/>
                <w:webHidden/>
                <w:sz w:val="22"/>
                <w:szCs w:val="22"/>
              </w:rPr>
              <w:fldChar w:fldCharType="begin"/>
            </w:r>
            <w:r w:rsidR="00DE4A63" w:rsidRPr="00DE4A63">
              <w:rPr>
                <w:noProof/>
                <w:webHidden/>
                <w:sz w:val="22"/>
                <w:szCs w:val="22"/>
              </w:rPr>
              <w:instrText xml:space="preserve"> PAGEREF _Toc520729578 \h </w:instrText>
            </w:r>
            <w:r w:rsidR="00DD5CAC" w:rsidRPr="00DE4A63">
              <w:rPr>
                <w:noProof/>
                <w:webHidden/>
                <w:sz w:val="22"/>
                <w:szCs w:val="22"/>
              </w:rPr>
            </w:r>
            <w:r w:rsidR="00DD5CAC" w:rsidRPr="00DE4A63">
              <w:rPr>
                <w:noProof/>
                <w:webHidden/>
                <w:sz w:val="22"/>
                <w:szCs w:val="22"/>
              </w:rPr>
              <w:fldChar w:fldCharType="separate"/>
            </w:r>
            <w:r>
              <w:rPr>
                <w:noProof/>
                <w:webHidden/>
                <w:sz w:val="22"/>
                <w:szCs w:val="22"/>
              </w:rPr>
              <w:t>14</w:t>
            </w:r>
            <w:r w:rsidR="00DD5CAC" w:rsidRPr="00DE4A63">
              <w:rPr>
                <w:noProof/>
                <w:webHidden/>
                <w:sz w:val="22"/>
                <w:szCs w:val="22"/>
              </w:rPr>
              <w:fldChar w:fldCharType="end"/>
            </w:r>
          </w:hyperlink>
        </w:p>
        <w:p w:rsidR="00DE4A63" w:rsidRDefault="00AF6A62">
          <w:pPr>
            <w:pStyle w:val="TDC2"/>
            <w:tabs>
              <w:tab w:val="left" w:pos="660"/>
            </w:tabs>
            <w:rPr>
              <w:rFonts w:asciiTheme="minorHAnsi" w:eastAsiaTheme="minorEastAsia" w:hAnsiTheme="minorHAnsi" w:cstheme="minorBidi"/>
              <w:bCs w:val="0"/>
              <w:lang w:val="es-MX" w:eastAsia="es-MX"/>
            </w:rPr>
          </w:pPr>
          <w:hyperlink w:anchor="_Toc520729579" w:history="1">
            <w:r w:rsidR="00DE4A63" w:rsidRPr="00F7682A">
              <w:rPr>
                <w:rStyle w:val="Hipervnculo"/>
                <w:b/>
              </w:rPr>
              <w:t>a.</w:t>
            </w:r>
            <w:r w:rsidR="00DE4A63">
              <w:rPr>
                <w:rFonts w:asciiTheme="minorHAnsi" w:eastAsiaTheme="minorEastAsia" w:hAnsiTheme="minorHAnsi" w:cstheme="minorBidi"/>
                <w:bCs w:val="0"/>
                <w:lang w:val="es-MX" w:eastAsia="es-MX"/>
              </w:rPr>
              <w:tab/>
            </w:r>
            <w:r w:rsidR="00DE4A63" w:rsidRPr="00F7682A">
              <w:rPr>
                <w:rStyle w:val="Hipervnculo"/>
                <w:b/>
              </w:rPr>
              <w:t>Balance de Situación Financiera</w:t>
            </w:r>
            <w:r w:rsidR="00DE4A63">
              <w:rPr>
                <w:webHidden/>
              </w:rPr>
              <w:tab/>
            </w:r>
            <w:r w:rsidR="00DD5CAC">
              <w:rPr>
                <w:webHidden/>
              </w:rPr>
              <w:fldChar w:fldCharType="begin"/>
            </w:r>
            <w:r w:rsidR="00DE4A63">
              <w:rPr>
                <w:webHidden/>
              </w:rPr>
              <w:instrText xml:space="preserve"> PAGEREF _Toc520729579 \h </w:instrText>
            </w:r>
            <w:r w:rsidR="00DD5CAC">
              <w:rPr>
                <w:webHidden/>
              </w:rPr>
            </w:r>
            <w:r w:rsidR="00DD5CAC">
              <w:rPr>
                <w:webHidden/>
              </w:rPr>
              <w:fldChar w:fldCharType="separate"/>
            </w:r>
            <w:r>
              <w:rPr>
                <w:webHidden/>
              </w:rPr>
              <w:t>15</w:t>
            </w:r>
            <w:r w:rsidR="00DD5CAC">
              <w:rPr>
                <w:webHidden/>
              </w:rPr>
              <w:fldChar w:fldCharType="end"/>
            </w:r>
          </w:hyperlink>
        </w:p>
        <w:p w:rsidR="00DE4A63" w:rsidRDefault="00AF6A62">
          <w:pPr>
            <w:pStyle w:val="TDC2"/>
            <w:tabs>
              <w:tab w:val="left" w:pos="660"/>
            </w:tabs>
            <w:rPr>
              <w:rFonts w:asciiTheme="minorHAnsi" w:eastAsiaTheme="minorEastAsia" w:hAnsiTheme="minorHAnsi" w:cstheme="minorBidi"/>
              <w:bCs w:val="0"/>
              <w:lang w:val="es-MX" w:eastAsia="es-MX"/>
            </w:rPr>
          </w:pPr>
          <w:hyperlink w:anchor="_Toc520729580" w:history="1">
            <w:r w:rsidR="00DE4A63" w:rsidRPr="00F7682A">
              <w:rPr>
                <w:rStyle w:val="Hipervnculo"/>
                <w:b/>
              </w:rPr>
              <w:t>b.</w:t>
            </w:r>
            <w:r w:rsidR="00DE4A63">
              <w:rPr>
                <w:rFonts w:asciiTheme="minorHAnsi" w:eastAsiaTheme="minorEastAsia" w:hAnsiTheme="minorHAnsi" w:cstheme="minorBidi"/>
                <w:bCs w:val="0"/>
                <w:lang w:val="es-MX" w:eastAsia="es-MX"/>
              </w:rPr>
              <w:tab/>
            </w:r>
            <w:r w:rsidR="00DE4A63" w:rsidRPr="00F7682A">
              <w:rPr>
                <w:rStyle w:val="Hipervnculo"/>
                <w:b/>
              </w:rPr>
              <w:t>Estado de Resultados</w:t>
            </w:r>
            <w:r w:rsidR="00DE4A63">
              <w:rPr>
                <w:webHidden/>
              </w:rPr>
              <w:tab/>
            </w:r>
            <w:r w:rsidR="00DD5CAC">
              <w:rPr>
                <w:webHidden/>
              </w:rPr>
              <w:fldChar w:fldCharType="begin"/>
            </w:r>
            <w:r w:rsidR="00DE4A63">
              <w:rPr>
                <w:webHidden/>
              </w:rPr>
              <w:instrText xml:space="preserve"> PAGEREF _Toc520729580 \h </w:instrText>
            </w:r>
            <w:r w:rsidR="00DD5CAC">
              <w:rPr>
                <w:webHidden/>
              </w:rPr>
            </w:r>
            <w:r w:rsidR="00DD5CAC">
              <w:rPr>
                <w:webHidden/>
              </w:rPr>
              <w:fldChar w:fldCharType="separate"/>
            </w:r>
            <w:r>
              <w:rPr>
                <w:webHidden/>
              </w:rPr>
              <w:t>18</w:t>
            </w:r>
            <w:r w:rsidR="00DD5CAC">
              <w:rPr>
                <w:webHidden/>
              </w:rPr>
              <w:fldChar w:fldCharType="end"/>
            </w:r>
          </w:hyperlink>
        </w:p>
        <w:p w:rsidR="00DE4A63" w:rsidRDefault="00AF6A62">
          <w:pPr>
            <w:pStyle w:val="TDC2"/>
            <w:tabs>
              <w:tab w:val="left" w:pos="660"/>
            </w:tabs>
            <w:rPr>
              <w:rFonts w:asciiTheme="minorHAnsi" w:eastAsiaTheme="minorEastAsia" w:hAnsiTheme="minorHAnsi" w:cstheme="minorBidi"/>
              <w:bCs w:val="0"/>
              <w:lang w:val="es-MX" w:eastAsia="es-MX"/>
            </w:rPr>
          </w:pPr>
          <w:hyperlink w:anchor="_Toc520729581" w:history="1">
            <w:r w:rsidR="00DE4A63" w:rsidRPr="00F7682A">
              <w:rPr>
                <w:rStyle w:val="Hipervnculo"/>
                <w:b/>
                <w:lang w:val="es-ES_tradnl"/>
              </w:rPr>
              <w:t>c.</w:t>
            </w:r>
            <w:r w:rsidR="00DE4A63">
              <w:rPr>
                <w:rFonts w:asciiTheme="minorHAnsi" w:eastAsiaTheme="minorEastAsia" w:hAnsiTheme="minorHAnsi" w:cstheme="minorBidi"/>
                <w:bCs w:val="0"/>
                <w:lang w:val="es-MX" w:eastAsia="es-MX"/>
              </w:rPr>
              <w:tab/>
            </w:r>
            <w:r w:rsidR="00DE4A63" w:rsidRPr="00F7682A">
              <w:rPr>
                <w:rStyle w:val="Hipervnculo"/>
                <w:b/>
              </w:rPr>
              <w:t>Análisis Horizontal</w:t>
            </w:r>
            <w:r w:rsidR="00DE4A63">
              <w:rPr>
                <w:webHidden/>
              </w:rPr>
              <w:tab/>
            </w:r>
            <w:r w:rsidR="00DD5CAC">
              <w:rPr>
                <w:webHidden/>
              </w:rPr>
              <w:fldChar w:fldCharType="begin"/>
            </w:r>
            <w:r w:rsidR="00DE4A63">
              <w:rPr>
                <w:webHidden/>
              </w:rPr>
              <w:instrText xml:space="preserve"> PAGEREF _Toc520729581 \h </w:instrText>
            </w:r>
            <w:r w:rsidR="00DD5CAC">
              <w:rPr>
                <w:webHidden/>
              </w:rPr>
            </w:r>
            <w:r w:rsidR="00DD5CAC">
              <w:rPr>
                <w:webHidden/>
              </w:rPr>
              <w:fldChar w:fldCharType="separate"/>
            </w:r>
            <w:r>
              <w:rPr>
                <w:webHidden/>
              </w:rPr>
              <w:t>22</w:t>
            </w:r>
            <w:r w:rsidR="00DD5CAC">
              <w:rPr>
                <w:webHidden/>
              </w:rPr>
              <w:fldChar w:fldCharType="end"/>
            </w:r>
          </w:hyperlink>
        </w:p>
        <w:p w:rsidR="00DE4A63" w:rsidRDefault="00AF6A62">
          <w:pPr>
            <w:pStyle w:val="TDC2"/>
            <w:tabs>
              <w:tab w:val="left" w:pos="660"/>
            </w:tabs>
            <w:rPr>
              <w:rFonts w:asciiTheme="minorHAnsi" w:eastAsiaTheme="minorEastAsia" w:hAnsiTheme="minorHAnsi" w:cstheme="minorBidi"/>
              <w:bCs w:val="0"/>
              <w:lang w:val="es-MX" w:eastAsia="es-MX"/>
            </w:rPr>
          </w:pPr>
          <w:hyperlink w:anchor="_Toc520729582" w:history="1">
            <w:r w:rsidR="00DE4A63" w:rsidRPr="00F7682A">
              <w:rPr>
                <w:rStyle w:val="Hipervnculo"/>
                <w:b/>
                <w:lang w:val="es-ES_tradnl"/>
              </w:rPr>
              <w:t>d.</w:t>
            </w:r>
            <w:r w:rsidR="00DE4A63">
              <w:rPr>
                <w:rFonts w:asciiTheme="minorHAnsi" w:eastAsiaTheme="minorEastAsia" w:hAnsiTheme="minorHAnsi" w:cstheme="minorBidi"/>
                <w:bCs w:val="0"/>
                <w:lang w:val="es-MX" w:eastAsia="es-MX"/>
              </w:rPr>
              <w:tab/>
            </w:r>
            <w:r w:rsidR="00DE4A63" w:rsidRPr="00F7682A">
              <w:rPr>
                <w:rStyle w:val="Hipervnculo"/>
                <w:b/>
              </w:rPr>
              <w:t>Análisis Vertical</w:t>
            </w:r>
            <w:r w:rsidR="00DE4A63">
              <w:rPr>
                <w:webHidden/>
              </w:rPr>
              <w:tab/>
            </w:r>
            <w:r w:rsidR="00DD5CAC">
              <w:rPr>
                <w:webHidden/>
              </w:rPr>
              <w:fldChar w:fldCharType="begin"/>
            </w:r>
            <w:r w:rsidR="00DE4A63">
              <w:rPr>
                <w:webHidden/>
              </w:rPr>
              <w:instrText xml:space="preserve"> PAGEREF _Toc520729582 \h </w:instrText>
            </w:r>
            <w:r w:rsidR="00DD5CAC">
              <w:rPr>
                <w:webHidden/>
              </w:rPr>
            </w:r>
            <w:r w:rsidR="00DD5CAC">
              <w:rPr>
                <w:webHidden/>
              </w:rPr>
              <w:fldChar w:fldCharType="separate"/>
            </w:r>
            <w:r>
              <w:rPr>
                <w:webHidden/>
              </w:rPr>
              <w:t>26</w:t>
            </w:r>
            <w:r w:rsidR="00DD5CAC">
              <w:rPr>
                <w:webHidden/>
              </w:rPr>
              <w:fldChar w:fldCharType="end"/>
            </w:r>
          </w:hyperlink>
        </w:p>
        <w:p w:rsidR="00DE4A63" w:rsidRDefault="00AF6A62">
          <w:pPr>
            <w:pStyle w:val="TDC1"/>
            <w:tabs>
              <w:tab w:val="left" w:pos="660"/>
              <w:tab w:val="right" w:leader="dot" w:pos="9658"/>
            </w:tabs>
            <w:rPr>
              <w:rFonts w:asciiTheme="minorHAnsi" w:eastAsiaTheme="minorEastAsia" w:hAnsiTheme="minorHAnsi" w:cstheme="minorBidi"/>
              <w:noProof/>
              <w:sz w:val="22"/>
              <w:szCs w:val="22"/>
              <w:lang w:val="es-MX" w:eastAsia="es-MX"/>
            </w:rPr>
          </w:pPr>
          <w:hyperlink w:anchor="_Toc520729583" w:history="1">
            <w:r w:rsidR="00DE4A63" w:rsidRPr="00F7682A">
              <w:rPr>
                <w:rStyle w:val="Hipervnculo"/>
                <w:rFonts w:ascii="Arial" w:hAnsi="Arial" w:cs="Arial"/>
                <w:b/>
                <w:noProof/>
              </w:rPr>
              <w:t>VI.</w:t>
            </w:r>
            <w:r w:rsidR="00DE4A63">
              <w:rPr>
                <w:rFonts w:asciiTheme="minorHAnsi" w:eastAsiaTheme="minorEastAsia" w:hAnsiTheme="minorHAnsi" w:cstheme="minorBidi"/>
                <w:noProof/>
                <w:sz w:val="22"/>
                <w:szCs w:val="22"/>
                <w:lang w:val="es-MX" w:eastAsia="es-MX"/>
              </w:rPr>
              <w:tab/>
            </w:r>
            <w:r w:rsidR="00DE4A63" w:rsidRPr="00F7682A">
              <w:rPr>
                <w:rStyle w:val="Hipervnculo"/>
                <w:rFonts w:ascii="Arial" w:hAnsi="Arial" w:cs="Arial"/>
                <w:b/>
                <w:noProof/>
              </w:rPr>
              <w:t>Medidas Correctivas y Acciones de Mejora</w:t>
            </w:r>
            <w:r w:rsidR="00DE4A63">
              <w:rPr>
                <w:rStyle w:val="Hipervnculo"/>
                <w:rFonts w:ascii="Arial" w:hAnsi="Arial" w:cs="Arial"/>
                <w:b/>
                <w:noProof/>
              </w:rPr>
              <w:t>………………………………………………</w:t>
            </w:r>
            <w:r w:rsidR="00DD5CAC" w:rsidRPr="00DE4A63">
              <w:rPr>
                <w:noProof/>
                <w:webHidden/>
                <w:sz w:val="22"/>
                <w:szCs w:val="22"/>
              </w:rPr>
              <w:fldChar w:fldCharType="begin"/>
            </w:r>
            <w:r w:rsidR="00DE4A63" w:rsidRPr="00DE4A63">
              <w:rPr>
                <w:noProof/>
                <w:webHidden/>
                <w:sz w:val="22"/>
                <w:szCs w:val="22"/>
              </w:rPr>
              <w:instrText xml:space="preserve"> PAGEREF _Toc520729583 \h </w:instrText>
            </w:r>
            <w:r w:rsidR="00DD5CAC" w:rsidRPr="00DE4A63">
              <w:rPr>
                <w:noProof/>
                <w:webHidden/>
                <w:sz w:val="22"/>
                <w:szCs w:val="22"/>
              </w:rPr>
            </w:r>
            <w:r w:rsidR="00DD5CAC" w:rsidRPr="00DE4A63">
              <w:rPr>
                <w:noProof/>
                <w:webHidden/>
                <w:sz w:val="22"/>
                <w:szCs w:val="22"/>
              </w:rPr>
              <w:fldChar w:fldCharType="separate"/>
            </w:r>
            <w:r>
              <w:rPr>
                <w:noProof/>
                <w:webHidden/>
                <w:sz w:val="22"/>
                <w:szCs w:val="22"/>
              </w:rPr>
              <w:t>29</w:t>
            </w:r>
            <w:r w:rsidR="00DD5CAC" w:rsidRPr="00DE4A63">
              <w:rPr>
                <w:noProof/>
                <w:webHidden/>
                <w:sz w:val="22"/>
                <w:szCs w:val="22"/>
              </w:rPr>
              <w:fldChar w:fldCharType="end"/>
            </w:r>
          </w:hyperlink>
        </w:p>
        <w:p w:rsidR="00F93A8F" w:rsidRDefault="00DD5CAC">
          <w:r>
            <w:rPr>
              <w:b/>
              <w:bCs/>
              <w:lang w:val="es-ES"/>
            </w:rPr>
            <w:fldChar w:fldCharType="end"/>
          </w:r>
        </w:p>
      </w:sdtContent>
    </w:sdt>
    <w:p w:rsidR="00D32C8E" w:rsidRDefault="00D32C8E" w:rsidP="00D32C8E">
      <w:pPr>
        <w:tabs>
          <w:tab w:val="left" w:pos="6990"/>
        </w:tabs>
      </w:pPr>
      <w:r>
        <w:tab/>
      </w:r>
    </w:p>
    <w:p w:rsidR="00D32C8E" w:rsidRDefault="00D32C8E" w:rsidP="00D32C8E">
      <w:pPr>
        <w:jc w:val="center"/>
        <w:rPr>
          <w:rFonts w:ascii="Arial" w:hAnsi="Arial" w:cs="Arial"/>
          <w:b/>
        </w:rPr>
      </w:pPr>
    </w:p>
    <w:p w:rsidR="00D32C8E" w:rsidRDefault="00D32C8E" w:rsidP="00D32C8E">
      <w:pPr>
        <w:jc w:val="center"/>
        <w:rPr>
          <w:rFonts w:ascii="Arial" w:hAnsi="Arial" w:cs="Arial"/>
          <w:b/>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690876" w:rsidRDefault="00690876" w:rsidP="00690876">
      <w:pPr>
        <w:jc w:val="center"/>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pPr>
        <w:rPr>
          <w:rFonts w:ascii="Arial" w:hAnsi="Arial" w:cs="Arial"/>
          <w:sz w:val="22"/>
          <w:szCs w:val="22"/>
        </w:rPr>
      </w:pPr>
      <w:r>
        <w:rPr>
          <w:rFonts w:ascii="Arial" w:hAnsi="Arial" w:cs="Arial"/>
          <w:sz w:val="22"/>
          <w:szCs w:val="22"/>
        </w:rPr>
        <w:br w:type="page"/>
      </w:r>
    </w:p>
    <w:p w:rsidR="005246F8" w:rsidRDefault="005246F8" w:rsidP="00CA1C5A">
      <w:pPr>
        <w:jc w:val="both"/>
        <w:rPr>
          <w:rFonts w:ascii="Arial" w:hAnsi="Arial" w:cs="Arial"/>
          <w:sz w:val="22"/>
          <w:szCs w:val="22"/>
        </w:rPr>
      </w:pPr>
    </w:p>
    <w:p w:rsidR="005246F8" w:rsidRDefault="005246F8" w:rsidP="00CA1C5A">
      <w:pPr>
        <w:jc w:val="both"/>
        <w:rPr>
          <w:rFonts w:ascii="Arial" w:hAnsi="Arial" w:cs="Arial"/>
          <w:sz w:val="22"/>
          <w:szCs w:val="22"/>
        </w:rPr>
      </w:pPr>
    </w:p>
    <w:p w:rsidR="00982A07" w:rsidRPr="003C4767" w:rsidRDefault="00363C86" w:rsidP="00CA1C5A">
      <w:pPr>
        <w:jc w:val="both"/>
        <w:rPr>
          <w:rFonts w:ascii="Arial" w:hAnsi="Arial" w:cs="Arial"/>
          <w:sz w:val="22"/>
          <w:szCs w:val="22"/>
        </w:rPr>
      </w:pPr>
      <w:r w:rsidRPr="003C4767">
        <w:rPr>
          <w:rFonts w:ascii="Arial" w:hAnsi="Arial" w:cs="Arial"/>
          <w:sz w:val="22"/>
          <w:szCs w:val="22"/>
        </w:rPr>
        <w:t>De conformidad con lo establecido en la Normas Técnicas sobre Presupuesto Público</w:t>
      </w:r>
      <w:r w:rsidR="0037284D">
        <w:rPr>
          <w:rFonts w:ascii="Arial" w:hAnsi="Arial" w:cs="Arial"/>
          <w:sz w:val="22"/>
          <w:szCs w:val="22"/>
        </w:rPr>
        <w:t xml:space="preserve"> </w:t>
      </w:r>
      <w:r w:rsidRPr="003C4767">
        <w:rPr>
          <w:rFonts w:ascii="Arial" w:hAnsi="Arial" w:cs="Arial"/>
          <w:sz w:val="22"/>
          <w:szCs w:val="22"/>
        </w:rPr>
        <w:t xml:space="preserve">N-1-2012-DC-DFOE, emitidas por medio de Resolución R-DC-024-2012 del Despacho del Contralor, a </w:t>
      </w:r>
      <w:r w:rsidR="00F5686F" w:rsidRPr="003C4767">
        <w:rPr>
          <w:rFonts w:ascii="Arial" w:hAnsi="Arial" w:cs="Arial"/>
          <w:sz w:val="22"/>
          <w:szCs w:val="22"/>
        </w:rPr>
        <w:t>continuación,</w:t>
      </w:r>
      <w:r w:rsidRPr="003C4767">
        <w:rPr>
          <w:rFonts w:ascii="Arial" w:hAnsi="Arial" w:cs="Arial"/>
          <w:sz w:val="22"/>
          <w:szCs w:val="22"/>
        </w:rPr>
        <w:t xml:space="preserve"> se presenta </w:t>
      </w:r>
      <w:r w:rsidR="00982A07" w:rsidRPr="003C4767">
        <w:rPr>
          <w:rFonts w:ascii="Arial" w:hAnsi="Arial" w:cs="Arial"/>
          <w:sz w:val="22"/>
          <w:szCs w:val="22"/>
        </w:rPr>
        <w:t>el</w:t>
      </w:r>
      <w:r w:rsidR="00931022">
        <w:rPr>
          <w:rFonts w:ascii="Arial" w:hAnsi="Arial" w:cs="Arial"/>
          <w:sz w:val="22"/>
          <w:szCs w:val="22"/>
        </w:rPr>
        <w:t xml:space="preserve"> segundo</w:t>
      </w:r>
      <w:r w:rsidR="00982A07" w:rsidRPr="003C4767">
        <w:rPr>
          <w:rFonts w:ascii="Arial" w:hAnsi="Arial" w:cs="Arial"/>
          <w:sz w:val="22"/>
          <w:szCs w:val="22"/>
        </w:rPr>
        <w:t xml:space="preserve"> </w:t>
      </w:r>
      <w:r w:rsidR="00410DA6" w:rsidRPr="003C4767">
        <w:rPr>
          <w:rFonts w:ascii="Arial" w:hAnsi="Arial" w:cs="Arial"/>
          <w:sz w:val="22"/>
          <w:szCs w:val="22"/>
        </w:rPr>
        <w:t>i</w:t>
      </w:r>
      <w:r w:rsidR="00982A07" w:rsidRPr="003C4767">
        <w:rPr>
          <w:rFonts w:ascii="Arial" w:hAnsi="Arial" w:cs="Arial"/>
          <w:sz w:val="22"/>
          <w:szCs w:val="22"/>
        </w:rPr>
        <w:t xml:space="preserve">nforme </w:t>
      </w:r>
      <w:r w:rsidR="00410DA6" w:rsidRPr="003C4767">
        <w:rPr>
          <w:rFonts w:ascii="Arial" w:hAnsi="Arial" w:cs="Arial"/>
          <w:sz w:val="22"/>
          <w:szCs w:val="22"/>
        </w:rPr>
        <w:t>s</w:t>
      </w:r>
      <w:r w:rsidR="00982A07" w:rsidRPr="003C4767">
        <w:rPr>
          <w:rFonts w:ascii="Arial" w:hAnsi="Arial" w:cs="Arial"/>
          <w:sz w:val="22"/>
          <w:szCs w:val="22"/>
        </w:rPr>
        <w:t xml:space="preserve">emestral de </w:t>
      </w:r>
      <w:r w:rsidR="00410DA6" w:rsidRPr="003C4767">
        <w:rPr>
          <w:rFonts w:ascii="Arial" w:hAnsi="Arial" w:cs="Arial"/>
          <w:sz w:val="22"/>
          <w:szCs w:val="22"/>
        </w:rPr>
        <w:t>e</w:t>
      </w:r>
      <w:r w:rsidR="00982A07" w:rsidRPr="003C4767">
        <w:rPr>
          <w:rFonts w:ascii="Arial" w:hAnsi="Arial" w:cs="Arial"/>
          <w:sz w:val="22"/>
          <w:szCs w:val="22"/>
        </w:rPr>
        <w:t xml:space="preserve">valuación </w:t>
      </w:r>
      <w:r w:rsidR="00410DA6" w:rsidRPr="003C4767">
        <w:rPr>
          <w:rFonts w:ascii="Arial" w:hAnsi="Arial" w:cs="Arial"/>
          <w:sz w:val="22"/>
          <w:szCs w:val="22"/>
        </w:rPr>
        <w:t>p</w:t>
      </w:r>
      <w:r w:rsidR="00982A07" w:rsidRPr="003C4767">
        <w:rPr>
          <w:rFonts w:ascii="Arial" w:hAnsi="Arial" w:cs="Arial"/>
          <w:sz w:val="22"/>
          <w:szCs w:val="22"/>
        </w:rPr>
        <w:t>resupuestaria del Fideicomiso 544 FONAFIFO/BNCR.</w:t>
      </w:r>
    </w:p>
    <w:p w:rsidR="00363C86" w:rsidRPr="00DA0673" w:rsidRDefault="00363C86" w:rsidP="00DA0673">
      <w:pPr>
        <w:pStyle w:val="Ttulo1"/>
      </w:pPr>
    </w:p>
    <w:p w:rsidR="00982A07" w:rsidRPr="00DA0673" w:rsidRDefault="00982A07" w:rsidP="009B4919">
      <w:pPr>
        <w:pStyle w:val="Ttulo1"/>
        <w:numPr>
          <w:ilvl w:val="0"/>
          <w:numId w:val="42"/>
        </w:numPr>
        <w:rPr>
          <w:rFonts w:ascii="Arial" w:hAnsi="Arial" w:cs="Arial"/>
          <w:b/>
        </w:rPr>
      </w:pPr>
      <w:bookmarkStart w:id="0" w:name="_Toc520729570"/>
      <w:r w:rsidRPr="00DA0673">
        <w:rPr>
          <w:rFonts w:ascii="Arial" w:hAnsi="Arial" w:cs="Arial"/>
          <w:b/>
        </w:rPr>
        <w:t>Análisis del comportamiento de la Ejecución de los Ingresos</w:t>
      </w:r>
      <w:bookmarkEnd w:id="0"/>
    </w:p>
    <w:p w:rsidR="0097675E" w:rsidRPr="003C4767" w:rsidRDefault="0097675E" w:rsidP="0097675E">
      <w:pPr>
        <w:pStyle w:val="Prrafodelista"/>
        <w:ind w:left="1080"/>
        <w:contextualSpacing/>
        <w:jc w:val="both"/>
        <w:rPr>
          <w:rFonts w:ascii="Arial" w:hAnsi="Arial" w:cs="Arial"/>
          <w:b/>
        </w:rPr>
      </w:pPr>
    </w:p>
    <w:p w:rsidR="0097675E" w:rsidRPr="003C4767" w:rsidRDefault="0097675E" w:rsidP="00A13C3D">
      <w:pPr>
        <w:pStyle w:val="Prrafodelista"/>
        <w:spacing w:after="0" w:line="240" w:lineRule="auto"/>
        <w:ind w:left="1080"/>
        <w:jc w:val="center"/>
        <w:rPr>
          <w:rFonts w:ascii="Arial" w:hAnsi="Arial" w:cs="Arial"/>
          <w:b/>
          <w:lang w:val="es-MX"/>
        </w:rPr>
      </w:pPr>
      <w:r w:rsidRPr="003C4767">
        <w:rPr>
          <w:rFonts w:ascii="Arial" w:hAnsi="Arial" w:cs="Arial"/>
          <w:b/>
          <w:lang w:val="es-MX"/>
        </w:rPr>
        <w:t>FIDEICOMISO 544 FONAFIFO/BNCR</w:t>
      </w:r>
    </w:p>
    <w:p w:rsidR="0097675E" w:rsidRPr="003C4767" w:rsidRDefault="0097675E" w:rsidP="00A13C3D">
      <w:pPr>
        <w:pStyle w:val="Prrafodelista"/>
        <w:spacing w:after="0" w:line="240" w:lineRule="auto"/>
        <w:ind w:left="1080"/>
        <w:jc w:val="center"/>
        <w:rPr>
          <w:rFonts w:ascii="Arial" w:hAnsi="Arial" w:cs="Arial"/>
          <w:b/>
          <w:lang w:val="es-MX"/>
        </w:rPr>
      </w:pPr>
      <w:r w:rsidRPr="003C4767">
        <w:rPr>
          <w:rFonts w:ascii="Arial" w:hAnsi="Arial" w:cs="Arial"/>
          <w:b/>
          <w:lang w:val="es-MX"/>
        </w:rPr>
        <w:t>Ejecución Presupuestaria de Ingresos</w:t>
      </w:r>
    </w:p>
    <w:p w:rsidR="0097675E" w:rsidRPr="003C4767" w:rsidRDefault="0097675E" w:rsidP="00A13C3D">
      <w:pPr>
        <w:pStyle w:val="Prrafodelista"/>
        <w:spacing w:after="0" w:line="240" w:lineRule="auto"/>
        <w:ind w:left="1080"/>
        <w:jc w:val="center"/>
        <w:rPr>
          <w:rFonts w:ascii="Arial" w:hAnsi="Arial" w:cs="Arial"/>
          <w:b/>
          <w:lang w:val="es-MX"/>
        </w:rPr>
      </w:pPr>
      <w:r w:rsidRPr="003C4767">
        <w:rPr>
          <w:rFonts w:ascii="Arial" w:hAnsi="Arial" w:cs="Arial"/>
          <w:b/>
          <w:lang w:val="es-MX"/>
        </w:rPr>
        <w:t xml:space="preserve">Al </w:t>
      </w:r>
      <w:r w:rsidR="00315DD2">
        <w:rPr>
          <w:rFonts w:ascii="Arial" w:hAnsi="Arial" w:cs="Arial"/>
          <w:b/>
          <w:lang w:val="es-MX"/>
        </w:rPr>
        <w:t>3</w:t>
      </w:r>
      <w:r w:rsidR="0035790C">
        <w:rPr>
          <w:rFonts w:ascii="Arial" w:hAnsi="Arial" w:cs="Arial"/>
          <w:b/>
          <w:lang w:val="es-MX"/>
        </w:rPr>
        <w:t>1</w:t>
      </w:r>
      <w:r w:rsidR="00315DD2">
        <w:rPr>
          <w:rFonts w:ascii="Arial" w:hAnsi="Arial" w:cs="Arial"/>
          <w:b/>
          <w:lang w:val="es-MX"/>
        </w:rPr>
        <w:t xml:space="preserve"> de </w:t>
      </w:r>
      <w:r w:rsidR="0035790C">
        <w:rPr>
          <w:rFonts w:ascii="Arial" w:hAnsi="Arial" w:cs="Arial"/>
          <w:b/>
          <w:lang w:val="es-MX"/>
        </w:rPr>
        <w:t>diciembre</w:t>
      </w:r>
      <w:r w:rsidR="00315DD2">
        <w:rPr>
          <w:rFonts w:ascii="Arial" w:hAnsi="Arial" w:cs="Arial"/>
          <w:b/>
          <w:lang w:val="es-MX"/>
        </w:rPr>
        <w:t xml:space="preserve"> </w:t>
      </w:r>
      <w:r w:rsidR="00A13C3D">
        <w:rPr>
          <w:rFonts w:ascii="Arial" w:hAnsi="Arial" w:cs="Arial"/>
          <w:b/>
          <w:lang w:val="es-MX"/>
        </w:rPr>
        <w:t>de 201</w:t>
      </w:r>
      <w:r w:rsidR="005F4810">
        <w:rPr>
          <w:rFonts w:ascii="Arial" w:hAnsi="Arial" w:cs="Arial"/>
          <w:b/>
          <w:lang w:val="es-MX"/>
        </w:rPr>
        <w:t>8</w:t>
      </w:r>
    </w:p>
    <w:tbl>
      <w:tblPr>
        <w:tblW w:w="11118" w:type="dxa"/>
        <w:tblInd w:w="-577" w:type="dxa"/>
        <w:tblLayout w:type="fixed"/>
        <w:tblCellMar>
          <w:left w:w="70" w:type="dxa"/>
          <w:right w:w="70" w:type="dxa"/>
        </w:tblCellMar>
        <w:tblLook w:val="04A0" w:firstRow="1" w:lastRow="0" w:firstColumn="1" w:lastColumn="0" w:noHBand="0" w:noVBand="1"/>
      </w:tblPr>
      <w:tblGrid>
        <w:gridCol w:w="1996"/>
        <w:gridCol w:w="5564"/>
        <w:gridCol w:w="1278"/>
        <w:gridCol w:w="1283"/>
        <w:gridCol w:w="997"/>
      </w:tblGrid>
      <w:tr w:rsidR="0035790C" w:rsidRPr="00E2643C" w:rsidTr="00E2643C">
        <w:trPr>
          <w:trHeight w:val="453"/>
        </w:trPr>
        <w:tc>
          <w:tcPr>
            <w:tcW w:w="1996"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35790C" w:rsidRPr="0035790C" w:rsidRDefault="0035790C" w:rsidP="0035790C">
            <w:pPr>
              <w:jc w:val="center"/>
              <w:rPr>
                <w:rFonts w:ascii="Arial" w:eastAsia="Times New Roman" w:hAnsi="Arial" w:cs="Arial"/>
                <w:b/>
                <w:bCs/>
                <w:color w:val="FFFFFF"/>
                <w:sz w:val="14"/>
                <w:szCs w:val="14"/>
                <w:lang w:val="es-MX" w:eastAsia="es-MX"/>
              </w:rPr>
            </w:pPr>
            <w:r w:rsidRPr="0035790C">
              <w:rPr>
                <w:rFonts w:ascii="Arial" w:eastAsia="Times New Roman" w:hAnsi="Arial" w:cs="Arial"/>
                <w:b/>
                <w:bCs/>
                <w:color w:val="FFFFFF"/>
                <w:sz w:val="14"/>
                <w:szCs w:val="14"/>
                <w:lang w:val="es-MX" w:eastAsia="es-MX"/>
              </w:rPr>
              <w:t>CODIGO</w:t>
            </w:r>
          </w:p>
        </w:tc>
        <w:tc>
          <w:tcPr>
            <w:tcW w:w="5564" w:type="dxa"/>
            <w:tcBorders>
              <w:top w:val="single" w:sz="8" w:space="0" w:color="auto"/>
              <w:left w:val="nil"/>
              <w:bottom w:val="single" w:sz="8" w:space="0" w:color="auto"/>
              <w:right w:val="single" w:sz="8" w:space="0" w:color="auto"/>
            </w:tcBorders>
            <w:shd w:val="clear" w:color="000000" w:fill="00B050"/>
            <w:vAlign w:val="center"/>
            <w:hideMark/>
          </w:tcPr>
          <w:p w:rsidR="0035790C" w:rsidRPr="0035790C" w:rsidRDefault="0035790C" w:rsidP="0035790C">
            <w:pPr>
              <w:jc w:val="center"/>
              <w:rPr>
                <w:rFonts w:ascii="Arial" w:eastAsia="Times New Roman" w:hAnsi="Arial" w:cs="Arial"/>
                <w:b/>
                <w:bCs/>
                <w:color w:val="FFFFFF"/>
                <w:sz w:val="14"/>
                <w:szCs w:val="14"/>
                <w:lang w:val="es-MX" w:eastAsia="es-MX"/>
              </w:rPr>
            </w:pPr>
            <w:r w:rsidRPr="0035790C">
              <w:rPr>
                <w:rFonts w:ascii="Arial" w:eastAsia="Times New Roman" w:hAnsi="Arial" w:cs="Arial"/>
                <w:b/>
                <w:bCs/>
                <w:color w:val="FFFFFF"/>
                <w:sz w:val="14"/>
                <w:szCs w:val="14"/>
                <w:lang w:val="es-MX" w:eastAsia="es-MX"/>
              </w:rPr>
              <w:t>INGRESOS</w:t>
            </w:r>
          </w:p>
        </w:tc>
        <w:tc>
          <w:tcPr>
            <w:tcW w:w="1278" w:type="dxa"/>
            <w:tcBorders>
              <w:top w:val="single" w:sz="8" w:space="0" w:color="auto"/>
              <w:left w:val="nil"/>
              <w:bottom w:val="single" w:sz="8" w:space="0" w:color="auto"/>
              <w:right w:val="single" w:sz="8" w:space="0" w:color="auto"/>
            </w:tcBorders>
            <w:shd w:val="clear" w:color="000000" w:fill="00B050"/>
            <w:vAlign w:val="center"/>
            <w:hideMark/>
          </w:tcPr>
          <w:p w:rsidR="0035790C" w:rsidRPr="0035790C" w:rsidRDefault="0035790C" w:rsidP="0035790C">
            <w:pPr>
              <w:jc w:val="center"/>
              <w:rPr>
                <w:rFonts w:ascii="Arial" w:eastAsia="Times New Roman" w:hAnsi="Arial" w:cs="Arial"/>
                <w:b/>
                <w:bCs/>
                <w:color w:val="FFFFFF"/>
                <w:sz w:val="14"/>
                <w:szCs w:val="14"/>
                <w:lang w:val="es-MX" w:eastAsia="es-MX"/>
              </w:rPr>
            </w:pPr>
            <w:r w:rsidRPr="0035790C">
              <w:rPr>
                <w:rFonts w:ascii="Arial" w:eastAsia="Times New Roman" w:hAnsi="Arial" w:cs="Arial"/>
                <w:b/>
                <w:bCs/>
                <w:color w:val="FFFFFF"/>
                <w:sz w:val="14"/>
                <w:szCs w:val="14"/>
                <w:lang w:val="es-MX" w:eastAsia="es-MX"/>
              </w:rPr>
              <w:t>Presupuesto Aprobado</w:t>
            </w:r>
          </w:p>
        </w:tc>
        <w:tc>
          <w:tcPr>
            <w:tcW w:w="1283" w:type="dxa"/>
            <w:tcBorders>
              <w:top w:val="single" w:sz="8" w:space="0" w:color="auto"/>
              <w:left w:val="nil"/>
              <w:bottom w:val="single" w:sz="8" w:space="0" w:color="auto"/>
              <w:right w:val="nil"/>
            </w:tcBorders>
            <w:shd w:val="clear" w:color="000000" w:fill="00B050"/>
            <w:vAlign w:val="center"/>
            <w:hideMark/>
          </w:tcPr>
          <w:p w:rsidR="0035790C" w:rsidRPr="0035790C" w:rsidRDefault="0035790C" w:rsidP="0035790C">
            <w:pPr>
              <w:jc w:val="center"/>
              <w:rPr>
                <w:rFonts w:ascii="Arial" w:eastAsia="Times New Roman" w:hAnsi="Arial" w:cs="Arial"/>
                <w:b/>
                <w:bCs/>
                <w:color w:val="FFFFFF"/>
                <w:sz w:val="14"/>
                <w:szCs w:val="14"/>
                <w:lang w:val="es-MX" w:eastAsia="es-MX"/>
              </w:rPr>
            </w:pPr>
            <w:r w:rsidRPr="0035790C">
              <w:rPr>
                <w:rFonts w:ascii="Arial" w:eastAsia="Times New Roman" w:hAnsi="Arial" w:cs="Arial"/>
                <w:b/>
                <w:bCs/>
                <w:color w:val="FFFFFF"/>
                <w:sz w:val="14"/>
                <w:szCs w:val="14"/>
                <w:lang w:val="es-MX" w:eastAsia="es-MX"/>
              </w:rPr>
              <w:t>Total Ingresos Reales</w:t>
            </w:r>
          </w:p>
        </w:tc>
        <w:tc>
          <w:tcPr>
            <w:tcW w:w="997"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35790C" w:rsidRPr="0035790C" w:rsidRDefault="0035790C" w:rsidP="0035790C">
            <w:pPr>
              <w:jc w:val="center"/>
              <w:rPr>
                <w:rFonts w:ascii="Arial" w:eastAsia="Times New Roman" w:hAnsi="Arial" w:cs="Arial"/>
                <w:b/>
                <w:bCs/>
                <w:color w:val="FFFFFF"/>
                <w:sz w:val="14"/>
                <w:szCs w:val="14"/>
                <w:lang w:val="es-MX" w:eastAsia="es-MX"/>
              </w:rPr>
            </w:pPr>
            <w:r w:rsidRPr="0035790C">
              <w:rPr>
                <w:rFonts w:ascii="Arial" w:eastAsia="Times New Roman" w:hAnsi="Arial" w:cs="Arial"/>
                <w:b/>
                <w:bCs/>
                <w:color w:val="FFFFFF"/>
                <w:sz w:val="14"/>
                <w:szCs w:val="14"/>
                <w:lang w:val="es-MX" w:eastAsia="es-MX"/>
              </w:rPr>
              <w:t>% Ejecución</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1.0.0.0.00.00.0.0.000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INGRESOS CORRIENTES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3.018.175.075</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1.143.187.626</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38%</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1.3.0.0.00.00.0.0.000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INGRESOS NO TRIBUTARIOS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221.407.045</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227.796.314</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103%</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1.3.1.0.00.00.0.0.000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VENTA DE BIENES Y SERVICIOS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91.233.633</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66.930.642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73%</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1.3.1.2.00.00.0.0.000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VENTA DE SERVICIOS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91.233.633</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66.930.642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73%</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1.3.1.2.09.00.0.0.000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OTROS SERVICIOS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91.233.633</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66.930.642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73%</w:t>
            </w:r>
          </w:p>
        </w:tc>
      </w:tr>
      <w:tr w:rsidR="0035790C" w:rsidRPr="00E2643C" w:rsidTr="00E2643C">
        <w:trPr>
          <w:trHeight w:val="233"/>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1.3.1.2.09.09.0.0.000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VENTA DE OTROS SERVICIOS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91.233.633</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66.930.642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73%</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1.3.2.0.00.00.0.0.000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INGRESOS DE LA PROPIEDAD</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124.173.412</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153.411.554</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124%</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1.3.2.3.00.00.0.0.000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RENTA DE ACTIVOS FINANACIERO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124.173.412</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153.411.554</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124%</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1.3.2.3.02.00.0.0.000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INTERESES Y COMISIONES SOBRE PRESTAMOS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118.923.412</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135.344.396</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114%</w:t>
            </w:r>
          </w:p>
        </w:tc>
      </w:tr>
      <w:tr w:rsidR="0035790C" w:rsidRPr="00E2643C" w:rsidTr="00E2643C">
        <w:trPr>
          <w:trHeight w:val="233"/>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1.3.2.3.02.07.0.0.000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INTERESES Y COMISIONES SOBRE PRESTAMOS AL SECTOR PRIVADO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118.923.412</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135.344.396</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114%</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1.3.2.3.03.00.0.0.000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OTRAS RENTAS DE ACTIVOS FINANCIEROS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5.250.000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18.067.158</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344%</w:t>
            </w:r>
          </w:p>
        </w:tc>
      </w:tr>
      <w:tr w:rsidR="0035790C" w:rsidRPr="00E2643C" w:rsidTr="00E2643C">
        <w:trPr>
          <w:trHeight w:val="233"/>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1.3.2.3.03.01.0.0.000</w:t>
            </w:r>
          </w:p>
        </w:tc>
        <w:tc>
          <w:tcPr>
            <w:tcW w:w="5564"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INTERESES SOBRE CUENTAS CORRIENTES Y OTROS DEPOSITOS EN BANCOS ESTATALES</w:t>
            </w:r>
          </w:p>
        </w:tc>
        <w:tc>
          <w:tcPr>
            <w:tcW w:w="1278"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627</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0%</w:t>
            </w:r>
          </w:p>
        </w:tc>
      </w:tr>
      <w:tr w:rsidR="0035790C" w:rsidRPr="00E2643C" w:rsidTr="00E2643C">
        <w:trPr>
          <w:trHeight w:val="233"/>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1.3.2.3.03.04.0.0.000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DIFERENCIAS POR TIPO DE CAMBIO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5.250.000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18.066.531</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344%</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1.3.3.0.00.00.0.0.000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MULTAS, SANCIONES, REMATES Y CONFISCACIONES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500.000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356.870</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71%</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1.3.3.1.00.00.0.0.000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MULTAS Y SANCIONES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500.000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356.870</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71%</w:t>
            </w:r>
          </w:p>
        </w:tc>
      </w:tr>
      <w:tr w:rsidR="0035790C" w:rsidRPr="00E2643C" w:rsidTr="00E2643C">
        <w:trPr>
          <w:trHeight w:val="233"/>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1.3.3.1.09.00.0.0.000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OTRAS MULTAS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500.000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356.870</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71%</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1.3.4.0.00.00.0.0.000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INTERESES MORATORIOS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500.000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469.372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94%</w:t>
            </w:r>
          </w:p>
        </w:tc>
      </w:tr>
      <w:tr w:rsidR="0035790C" w:rsidRPr="00E2643C" w:rsidTr="00E2643C">
        <w:trPr>
          <w:trHeight w:val="233"/>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1.3.4.9.00.00.0.0.000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OTROS INTERESES MORATORIOS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500.000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469.372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94%</w:t>
            </w:r>
          </w:p>
        </w:tc>
      </w:tr>
      <w:tr w:rsidR="0035790C" w:rsidRPr="00E2643C" w:rsidTr="00E2643C">
        <w:trPr>
          <w:trHeight w:val="220"/>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1.3.9.0.00.00.0.0.000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OTROS INGRESOS NO TRIBUTARIOS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5.000.000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6.627.877</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133%</w:t>
            </w:r>
          </w:p>
        </w:tc>
      </w:tr>
      <w:tr w:rsidR="0035790C" w:rsidRPr="00E2643C" w:rsidTr="00E2643C">
        <w:trPr>
          <w:trHeight w:val="233"/>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1.3.9.1.00.00.0.0.000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REINTEGRO EN EFECTIVO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5.000.000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6.627.877</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133%</w:t>
            </w:r>
          </w:p>
        </w:tc>
      </w:tr>
      <w:tr w:rsidR="0035790C" w:rsidRPr="00E2643C" w:rsidTr="00E2643C">
        <w:trPr>
          <w:trHeight w:val="245"/>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1.4.0.0.00.00.0.0.000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TRANSFERENCIAS CORRIENTES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2.796.768.030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915.391.312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33%</w:t>
            </w:r>
          </w:p>
        </w:tc>
      </w:tr>
      <w:tr w:rsidR="0035790C" w:rsidRPr="00E2643C" w:rsidTr="00E2643C">
        <w:trPr>
          <w:trHeight w:val="245"/>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1.4.1.0.00.00.0.0.000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TRANSFERENCIAS CORRIENTES DEL SECTOR PUBLICO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300.840.000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250.630.000</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83%</w:t>
            </w:r>
          </w:p>
        </w:tc>
      </w:tr>
      <w:tr w:rsidR="0035790C" w:rsidRPr="00E2643C" w:rsidTr="00E2643C">
        <w:trPr>
          <w:trHeight w:val="257"/>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1.4.1.2.00.00.0.0.000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 xml:space="preserve">TRANSFERENCIAS CORRIENTES DE ORGANOS DESCONCENTRADOS </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300.840.000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250.630.000</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83%</w:t>
            </w:r>
          </w:p>
        </w:tc>
      </w:tr>
      <w:tr w:rsidR="0035790C" w:rsidRPr="00E2643C" w:rsidTr="00E2643C">
        <w:trPr>
          <w:trHeight w:val="245"/>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1.4.3.0.00.00.0.0.000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TRANSFERENCIAS CORRIENTES DEL SECTOR EXTERNO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2.495.928.030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664.761.312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27%</w:t>
            </w:r>
          </w:p>
        </w:tc>
      </w:tr>
      <w:tr w:rsidR="0035790C" w:rsidRPr="00E2643C" w:rsidTr="00E2643C">
        <w:trPr>
          <w:trHeight w:val="257"/>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1.4.3.1.00.00.0.0.000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TRANSFRENCIAS CORRIENTES DE ORGANISMOS INTERNACIONALES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2.495.928.030</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664.761.312</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27%</w:t>
            </w:r>
          </w:p>
        </w:tc>
      </w:tr>
      <w:tr w:rsidR="0035790C" w:rsidRPr="00E2643C" w:rsidTr="00E2643C">
        <w:trPr>
          <w:trHeight w:val="245"/>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2.0.0.0.00.00.0.0.000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INGRESOS DE CAPITAL</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231.402.933</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554.750.825</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240%</w:t>
            </w:r>
          </w:p>
        </w:tc>
      </w:tr>
      <w:tr w:rsidR="0035790C" w:rsidRPr="00E2643C" w:rsidTr="00E2643C">
        <w:trPr>
          <w:trHeight w:val="245"/>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2.3.0.0.00.00.0.0.000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color w:val="000000"/>
                <w:sz w:val="14"/>
                <w:szCs w:val="14"/>
                <w:lang w:val="es-MX" w:eastAsia="es-MX"/>
              </w:rPr>
            </w:pPr>
            <w:r w:rsidRPr="0035790C">
              <w:rPr>
                <w:rFonts w:ascii="Arial" w:eastAsia="Times New Roman" w:hAnsi="Arial" w:cs="Arial"/>
                <w:b/>
                <w:bCs/>
                <w:color w:val="000000"/>
                <w:sz w:val="14"/>
                <w:szCs w:val="14"/>
                <w:lang w:val="es-MX" w:eastAsia="es-MX"/>
              </w:rPr>
              <w:t>RECUPERACION DE PRESTAMOS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231.402.933</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554.750.825</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240%</w:t>
            </w:r>
          </w:p>
        </w:tc>
      </w:tr>
      <w:tr w:rsidR="0035790C" w:rsidRPr="00E2643C" w:rsidTr="00E2643C">
        <w:trPr>
          <w:trHeight w:val="257"/>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color w:val="000000"/>
                <w:sz w:val="14"/>
                <w:szCs w:val="14"/>
                <w:lang w:val="es-MX" w:eastAsia="es-MX"/>
              </w:rPr>
            </w:pPr>
            <w:r w:rsidRPr="0035790C">
              <w:rPr>
                <w:rFonts w:ascii="Arial" w:eastAsia="Times New Roman" w:hAnsi="Arial" w:cs="Arial"/>
                <w:color w:val="000000"/>
                <w:sz w:val="14"/>
                <w:szCs w:val="14"/>
                <w:lang w:val="es-MX" w:eastAsia="es-MX"/>
              </w:rPr>
              <w:t>2.3.2.0.00.00.0.0.000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color w:val="000000"/>
                <w:sz w:val="14"/>
                <w:szCs w:val="14"/>
                <w:lang w:val="es-MX" w:eastAsia="es-MX"/>
              </w:rPr>
            </w:pPr>
            <w:r w:rsidRPr="0035790C">
              <w:rPr>
                <w:rFonts w:ascii="Arial" w:eastAsia="Times New Roman" w:hAnsi="Arial" w:cs="Arial"/>
                <w:color w:val="000000"/>
                <w:sz w:val="14"/>
                <w:szCs w:val="14"/>
                <w:lang w:val="es-MX" w:eastAsia="es-MX"/>
              </w:rPr>
              <w:t>RECUPERACION DE PRESTAMOS AL SECTOR PRIVADO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231.402.933</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554.750.825</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240%</w:t>
            </w:r>
          </w:p>
        </w:tc>
      </w:tr>
      <w:tr w:rsidR="0035790C" w:rsidRPr="00E2643C" w:rsidTr="00E2643C">
        <w:trPr>
          <w:trHeight w:val="245"/>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3.0.0.0.00.00.0.0.000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FINANCIAMIENTO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1.294.000.381</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1.707.586.514</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132%</w:t>
            </w:r>
          </w:p>
        </w:tc>
      </w:tr>
      <w:tr w:rsidR="0035790C" w:rsidRPr="00E2643C" w:rsidTr="00E2643C">
        <w:trPr>
          <w:trHeight w:val="245"/>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3.3.0.0.00.00.0.0.000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RECURSOS DE VIGENCIAS ANTERIORES</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1.294.000.381</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1.707.586.514</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132%</w:t>
            </w:r>
          </w:p>
        </w:tc>
      </w:tr>
      <w:tr w:rsidR="0035790C" w:rsidRPr="00E2643C" w:rsidTr="00E2643C">
        <w:trPr>
          <w:trHeight w:val="269"/>
        </w:trPr>
        <w:tc>
          <w:tcPr>
            <w:tcW w:w="1996" w:type="dxa"/>
            <w:tcBorders>
              <w:top w:val="nil"/>
              <w:left w:val="single" w:sz="8" w:space="0" w:color="auto"/>
              <w:bottom w:val="nil"/>
              <w:right w:val="nil"/>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3.3.2.0.00.00.0.0.000</w:t>
            </w:r>
          </w:p>
        </w:tc>
        <w:tc>
          <w:tcPr>
            <w:tcW w:w="5564" w:type="dxa"/>
            <w:tcBorders>
              <w:top w:val="nil"/>
              <w:left w:val="single" w:sz="8" w:space="0" w:color="auto"/>
              <w:bottom w:val="nil"/>
              <w:right w:val="single" w:sz="8" w:space="0" w:color="auto"/>
            </w:tcBorders>
            <w:shd w:val="clear" w:color="000000" w:fill="FFFFFF"/>
            <w:noWrap/>
            <w:vAlign w:val="bottom"/>
            <w:hideMark/>
          </w:tcPr>
          <w:p w:rsidR="0035790C" w:rsidRPr="0035790C" w:rsidRDefault="0035790C" w:rsidP="0035790C">
            <w:pPr>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SUPERAVIT ESPECIFICO</w:t>
            </w:r>
          </w:p>
        </w:tc>
        <w:tc>
          <w:tcPr>
            <w:tcW w:w="1278"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1.294.000.381</w:t>
            </w:r>
          </w:p>
        </w:tc>
        <w:tc>
          <w:tcPr>
            <w:tcW w:w="1283"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1.707.586.514</w:t>
            </w:r>
          </w:p>
        </w:tc>
        <w:tc>
          <w:tcPr>
            <w:tcW w:w="997" w:type="dxa"/>
            <w:tcBorders>
              <w:top w:val="nil"/>
              <w:left w:val="nil"/>
              <w:bottom w:val="nil"/>
              <w:right w:val="single" w:sz="8" w:space="0" w:color="auto"/>
            </w:tcBorders>
            <w:shd w:val="clear" w:color="000000" w:fill="FFFFFF"/>
            <w:noWrap/>
            <w:vAlign w:val="bottom"/>
            <w:hideMark/>
          </w:tcPr>
          <w:p w:rsidR="0035790C" w:rsidRPr="0035790C" w:rsidRDefault="0035790C" w:rsidP="0035790C">
            <w:pPr>
              <w:jc w:val="right"/>
              <w:rPr>
                <w:rFonts w:ascii="Arial" w:eastAsia="Times New Roman" w:hAnsi="Arial" w:cs="Arial"/>
                <w:sz w:val="14"/>
                <w:szCs w:val="14"/>
                <w:lang w:val="es-MX" w:eastAsia="es-MX"/>
              </w:rPr>
            </w:pPr>
            <w:r w:rsidRPr="0035790C">
              <w:rPr>
                <w:rFonts w:ascii="Arial" w:eastAsia="Times New Roman" w:hAnsi="Arial" w:cs="Arial"/>
                <w:sz w:val="14"/>
                <w:szCs w:val="14"/>
                <w:lang w:val="es-MX" w:eastAsia="es-MX"/>
              </w:rPr>
              <w:t>132%</w:t>
            </w:r>
          </w:p>
        </w:tc>
      </w:tr>
      <w:tr w:rsidR="0035790C" w:rsidRPr="00E2643C" w:rsidTr="00E2643C">
        <w:trPr>
          <w:trHeight w:val="257"/>
        </w:trPr>
        <w:tc>
          <w:tcPr>
            <w:tcW w:w="1996"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35790C" w:rsidRPr="0035790C" w:rsidRDefault="0035790C" w:rsidP="0035790C">
            <w:pPr>
              <w:jc w:val="cente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 </w:t>
            </w:r>
          </w:p>
        </w:tc>
        <w:tc>
          <w:tcPr>
            <w:tcW w:w="5564" w:type="dxa"/>
            <w:tcBorders>
              <w:top w:val="single" w:sz="8" w:space="0" w:color="auto"/>
              <w:left w:val="nil"/>
              <w:bottom w:val="single" w:sz="8" w:space="0" w:color="auto"/>
              <w:right w:val="single" w:sz="8" w:space="0" w:color="auto"/>
            </w:tcBorders>
            <w:shd w:val="clear" w:color="000000" w:fill="00B050"/>
            <w:noWrap/>
            <w:vAlign w:val="bottom"/>
            <w:hideMark/>
          </w:tcPr>
          <w:p w:rsidR="0035790C" w:rsidRPr="0035790C" w:rsidRDefault="0035790C" w:rsidP="0035790C">
            <w:pPr>
              <w:jc w:val="center"/>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TOTAL INGRESOS</w:t>
            </w:r>
          </w:p>
        </w:tc>
        <w:tc>
          <w:tcPr>
            <w:tcW w:w="1278" w:type="dxa"/>
            <w:tcBorders>
              <w:top w:val="single" w:sz="8" w:space="0" w:color="auto"/>
              <w:left w:val="nil"/>
              <w:bottom w:val="single" w:sz="8" w:space="0" w:color="auto"/>
              <w:right w:val="single" w:sz="8" w:space="0" w:color="auto"/>
            </w:tcBorders>
            <w:shd w:val="clear" w:color="000000" w:fill="00B050"/>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4.543.578.389</w:t>
            </w:r>
          </w:p>
        </w:tc>
        <w:tc>
          <w:tcPr>
            <w:tcW w:w="1283" w:type="dxa"/>
            <w:tcBorders>
              <w:top w:val="single" w:sz="8" w:space="0" w:color="auto"/>
              <w:left w:val="nil"/>
              <w:bottom w:val="single" w:sz="8" w:space="0" w:color="auto"/>
              <w:right w:val="single" w:sz="8" w:space="0" w:color="auto"/>
            </w:tcBorders>
            <w:shd w:val="clear" w:color="000000" w:fill="00B050"/>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3.405.524.965</w:t>
            </w:r>
          </w:p>
        </w:tc>
        <w:tc>
          <w:tcPr>
            <w:tcW w:w="997" w:type="dxa"/>
            <w:tcBorders>
              <w:top w:val="single" w:sz="8" w:space="0" w:color="auto"/>
              <w:left w:val="nil"/>
              <w:bottom w:val="single" w:sz="8" w:space="0" w:color="auto"/>
              <w:right w:val="single" w:sz="8" w:space="0" w:color="auto"/>
            </w:tcBorders>
            <w:shd w:val="clear" w:color="000000" w:fill="00B050"/>
            <w:noWrap/>
            <w:vAlign w:val="bottom"/>
            <w:hideMark/>
          </w:tcPr>
          <w:p w:rsidR="0035790C" w:rsidRPr="0035790C" w:rsidRDefault="0035790C" w:rsidP="0035790C">
            <w:pPr>
              <w:jc w:val="right"/>
              <w:rPr>
                <w:rFonts w:ascii="Arial" w:eastAsia="Times New Roman" w:hAnsi="Arial" w:cs="Arial"/>
                <w:b/>
                <w:bCs/>
                <w:sz w:val="14"/>
                <w:szCs w:val="14"/>
                <w:lang w:val="es-MX" w:eastAsia="es-MX"/>
              </w:rPr>
            </w:pPr>
            <w:r w:rsidRPr="0035790C">
              <w:rPr>
                <w:rFonts w:ascii="Arial" w:eastAsia="Times New Roman" w:hAnsi="Arial" w:cs="Arial"/>
                <w:b/>
                <w:bCs/>
                <w:sz w:val="14"/>
                <w:szCs w:val="14"/>
                <w:lang w:val="es-MX" w:eastAsia="es-MX"/>
              </w:rPr>
              <w:t>75%</w:t>
            </w:r>
          </w:p>
        </w:tc>
      </w:tr>
    </w:tbl>
    <w:p w:rsidR="00973E73" w:rsidRDefault="00973E73" w:rsidP="00982A07">
      <w:pPr>
        <w:ind w:right="-318"/>
        <w:rPr>
          <w:rFonts w:ascii="Arial" w:hAnsi="Arial" w:cs="Arial"/>
          <w:b/>
          <w:sz w:val="22"/>
          <w:szCs w:val="22"/>
          <w:u w:val="single"/>
        </w:rPr>
      </w:pPr>
    </w:p>
    <w:p w:rsidR="00606808" w:rsidRDefault="00606808" w:rsidP="00982A07">
      <w:pPr>
        <w:ind w:right="-318"/>
        <w:rPr>
          <w:rFonts w:ascii="Arial" w:hAnsi="Arial" w:cs="Arial"/>
          <w:b/>
          <w:sz w:val="22"/>
          <w:szCs w:val="22"/>
          <w:u w:val="single"/>
        </w:rPr>
      </w:pPr>
    </w:p>
    <w:p w:rsidR="00606808" w:rsidRDefault="00606808" w:rsidP="00982A07">
      <w:pPr>
        <w:ind w:right="-318"/>
        <w:rPr>
          <w:rFonts w:ascii="Arial" w:hAnsi="Arial" w:cs="Arial"/>
          <w:b/>
          <w:sz w:val="22"/>
          <w:szCs w:val="22"/>
          <w:u w:val="single"/>
        </w:rPr>
      </w:pPr>
    </w:p>
    <w:p w:rsidR="00973E73" w:rsidRDefault="00973E73" w:rsidP="00982A07">
      <w:pPr>
        <w:ind w:right="-318"/>
        <w:rPr>
          <w:rFonts w:ascii="Arial" w:hAnsi="Arial" w:cs="Arial"/>
          <w:b/>
          <w:sz w:val="22"/>
          <w:szCs w:val="22"/>
          <w:u w:val="single"/>
        </w:rPr>
      </w:pPr>
    </w:p>
    <w:p w:rsidR="00973E73" w:rsidRDefault="00973E73" w:rsidP="00982A07">
      <w:pPr>
        <w:ind w:right="-318"/>
        <w:rPr>
          <w:rFonts w:ascii="Arial" w:hAnsi="Arial" w:cs="Arial"/>
          <w:b/>
          <w:sz w:val="22"/>
          <w:szCs w:val="22"/>
          <w:u w:val="single"/>
        </w:rPr>
      </w:pPr>
    </w:p>
    <w:p w:rsidR="00973E73" w:rsidRPr="00767C7C" w:rsidRDefault="00973E73" w:rsidP="00982A07">
      <w:pPr>
        <w:ind w:right="-318"/>
        <w:rPr>
          <w:rFonts w:ascii="Arial" w:hAnsi="Arial" w:cs="Arial"/>
          <w:b/>
          <w:sz w:val="22"/>
          <w:szCs w:val="22"/>
          <w:u w:val="single"/>
        </w:rPr>
      </w:pPr>
    </w:p>
    <w:p w:rsidR="00982A07" w:rsidRPr="00767C7C" w:rsidRDefault="00982A07" w:rsidP="00113B19">
      <w:pPr>
        <w:pStyle w:val="Subttulo"/>
        <w:outlineLvl w:val="1"/>
      </w:pPr>
      <w:bookmarkStart w:id="1" w:name="_Toc520729571"/>
      <w:r w:rsidRPr="00767C7C">
        <w:t>1. A</w:t>
      </w:r>
      <w:r w:rsidRPr="00767C7C">
        <w:rPr>
          <w:rFonts w:ascii="Arial" w:hAnsi="Arial" w:cs="Arial"/>
          <w:sz w:val="22"/>
          <w:szCs w:val="22"/>
        </w:rPr>
        <w:t>.   Comentarios sobre los Ingresos</w:t>
      </w:r>
      <w:bookmarkEnd w:id="1"/>
      <w:r w:rsidRPr="00767C7C">
        <w:t xml:space="preserve"> </w:t>
      </w:r>
    </w:p>
    <w:p w:rsidR="00982A07" w:rsidRPr="00767C7C" w:rsidRDefault="00982A07" w:rsidP="00233BD6">
      <w:pPr>
        <w:ind w:right="-318"/>
        <w:rPr>
          <w:rFonts w:ascii="Arial" w:hAnsi="Arial" w:cs="Arial"/>
          <w:sz w:val="22"/>
          <w:szCs w:val="22"/>
        </w:rPr>
      </w:pPr>
    </w:p>
    <w:p w:rsidR="00E17486" w:rsidRPr="00E17486" w:rsidRDefault="00E17486" w:rsidP="00E17486">
      <w:pPr>
        <w:jc w:val="both"/>
        <w:rPr>
          <w:rFonts w:eastAsia="Times New Roman" w:cs="Calibri"/>
          <w:color w:val="000000"/>
          <w:sz w:val="22"/>
          <w:szCs w:val="22"/>
          <w:lang w:eastAsia="es-CR"/>
        </w:rPr>
      </w:pPr>
      <w:r w:rsidRPr="00E17486">
        <w:rPr>
          <w:rFonts w:ascii="Arial" w:hAnsi="Arial" w:cs="Arial"/>
          <w:sz w:val="22"/>
          <w:szCs w:val="22"/>
        </w:rPr>
        <w:t xml:space="preserve">La institución presupuestó ingresos por la suma de </w:t>
      </w:r>
      <w:r w:rsidRPr="00E17486">
        <w:rPr>
          <w:rFonts w:ascii="Arial" w:hAnsi="Arial" w:cs="Arial"/>
          <w:b/>
          <w:sz w:val="22"/>
          <w:szCs w:val="22"/>
        </w:rPr>
        <w:t xml:space="preserve">¢4.543.578.389 </w:t>
      </w:r>
      <w:r w:rsidRPr="00E17486">
        <w:rPr>
          <w:rFonts w:ascii="Arial" w:hAnsi="Arial" w:cs="Arial"/>
          <w:sz w:val="22"/>
          <w:szCs w:val="22"/>
        </w:rPr>
        <w:t xml:space="preserve">de los cuales al cierre del periodo 2018 se percibió la suma de </w:t>
      </w:r>
      <w:r w:rsidRPr="00E17486">
        <w:rPr>
          <w:rFonts w:ascii="Arial" w:hAnsi="Arial" w:cs="Arial"/>
          <w:b/>
          <w:sz w:val="22"/>
          <w:szCs w:val="22"/>
        </w:rPr>
        <w:t xml:space="preserve">¢2.991.938.832 </w:t>
      </w:r>
      <w:r w:rsidRPr="00E17486">
        <w:rPr>
          <w:rFonts w:ascii="Arial" w:hAnsi="Arial" w:cs="Arial"/>
          <w:sz w:val="22"/>
          <w:szCs w:val="22"/>
        </w:rPr>
        <w:t xml:space="preserve">(lo cual no incluye los ingresos por superávit acumulado no presupuestado), lo que equivale a una ejecución del </w:t>
      </w:r>
      <w:r w:rsidRPr="00E17486">
        <w:rPr>
          <w:rFonts w:ascii="Arial" w:hAnsi="Arial" w:cs="Arial"/>
          <w:b/>
          <w:sz w:val="22"/>
          <w:szCs w:val="22"/>
        </w:rPr>
        <w:t>66%.</w:t>
      </w:r>
      <w:r w:rsidRPr="00E17486">
        <w:rPr>
          <w:rFonts w:ascii="Arial" w:hAnsi="Arial" w:cs="Arial"/>
          <w:sz w:val="22"/>
          <w:szCs w:val="22"/>
        </w:rPr>
        <w:t xml:space="preserve"> A continuación, se detalla algunos aspectos importantes de los ingresos percibidos.</w:t>
      </w:r>
    </w:p>
    <w:p w:rsidR="007A5100" w:rsidRPr="00767C7C" w:rsidRDefault="007A5100" w:rsidP="00233BD6">
      <w:pPr>
        <w:ind w:right="596"/>
        <w:jc w:val="both"/>
        <w:rPr>
          <w:rFonts w:ascii="Arial" w:hAnsi="Arial" w:cs="Arial"/>
          <w:sz w:val="22"/>
          <w:szCs w:val="22"/>
        </w:rPr>
      </w:pPr>
    </w:p>
    <w:p w:rsidR="007A5100" w:rsidRPr="00767C7C" w:rsidRDefault="007A5100" w:rsidP="00233BD6">
      <w:pPr>
        <w:ind w:right="596"/>
        <w:jc w:val="both"/>
        <w:rPr>
          <w:rFonts w:ascii="Arial" w:hAnsi="Arial" w:cs="Arial"/>
          <w:b/>
          <w:sz w:val="22"/>
          <w:szCs w:val="22"/>
        </w:rPr>
      </w:pPr>
    </w:p>
    <w:p w:rsidR="00A437A8" w:rsidRPr="006661BD" w:rsidRDefault="007A5100" w:rsidP="006661BD">
      <w:pPr>
        <w:ind w:right="596"/>
        <w:jc w:val="both"/>
        <w:rPr>
          <w:rFonts w:ascii="Arial" w:hAnsi="Arial" w:cs="Arial"/>
          <w:b/>
          <w:sz w:val="22"/>
          <w:szCs w:val="22"/>
        </w:rPr>
      </w:pPr>
      <w:r w:rsidRPr="00767C7C">
        <w:rPr>
          <w:rFonts w:ascii="Arial" w:hAnsi="Arial" w:cs="Arial"/>
          <w:b/>
          <w:sz w:val="22"/>
          <w:szCs w:val="22"/>
        </w:rPr>
        <w:t xml:space="preserve">1.3.0.0.00.00.0.0.000 Ingresos no tributarios </w:t>
      </w:r>
    </w:p>
    <w:p w:rsidR="007A5100" w:rsidRDefault="007A5100" w:rsidP="00233BD6">
      <w:pPr>
        <w:ind w:right="596"/>
        <w:jc w:val="both"/>
        <w:rPr>
          <w:rFonts w:ascii="Arial" w:hAnsi="Arial" w:cs="Arial"/>
          <w:b/>
          <w:sz w:val="22"/>
          <w:szCs w:val="22"/>
        </w:rPr>
      </w:pPr>
      <w:r w:rsidRPr="00767C7C">
        <w:rPr>
          <w:rFonts w:ascii="Arial" w:hAnsi="Arial" w:cs="Arial"/>
          <w:b/>
          <w:sz w:val="22"/>
          <w:szCs w:val="22"/>
        </w:rPr>
        <w:t>1.3.1.0.00.00.0.0.000 Venta de Bienes y Servicios</w:t>
      </w:r>
    </w:p>
    <w:p w:rsidR="006661BD" w:rsidRPr="00767C7C" w:rsidRDefault="006661BD" w:rsidP="00233BD6">
      <w:pPr>
        <w:ind w:right="596"/>
        <w:jc w:val="both"/>
        <w:rPr>
          <w:rFonts w:ascii="Arial" w:hAnsi="Arial" w:cs="Arial"/>
          <w:b/>
          <w:sz w:val="22"/>
          <w:szCs w:val="22"/>
        </w:rPr>
      </w:pPr>
    </w:p>
    <w:p w:rsidR="007A5100" w:rsidRPr="003139EE" w:rsidRDefault="003139EE" w:rsidP="003139EE">
      <w:pPr>
        <w:ind w:right="29"/>
        <w:jc w:val="both"/>
        <w:rPr>
          <w:rFonts w:ascii="Arial" w:hAnsi="Arial" w:cs="Arial"/>
          <w:sz w:val="24"/>
          <w:szCs w:val="24"/>
        </w:rPr>
      </w:pPr>
      <w:r w:rsidRPr="003139EE">
        <w:rPr>
          <w:rFonts w:ascii="Arial" w:hAnsi="Arial" w:cs="Arial"/>
          <w:sz w:val="24"/>
          <w:szCs w:val="24"/>
        </w:rPr>
        <w:t>En cumplimiento al contrato de Fideicomiso y a los inciso</w:t>
      </w:r>
      <w:r w:rsidR="007C4757">
        <w:rPr>
          <w:rFonts w:ascii="Arial" w:hAnsi="Arial" w:cs="Arial"/>
          <w:sz w:val="24"/>
          <w:szCs w:val="24"/>
        </w:rPr>
        <w:t>s</w:t>
      </w:r>
      <w:r w:rsidRPr="003139EE">
        <w:rPr>
          <w:rFonts w:ascii="Arial" w:hAnsi="Arial" w:cs="Arial"/>
          <w:sz w:val="24"/>
          <w:szCs w:val="24"/>
        </w:rPr>
        <w:t xml:space="preserve"> d) y i) del artículo 47 de la Ley Forestal 7575, en esta subpartida se presupuestó la suma de </w:t>
      </w:r>
      <w:r w:rsidRPr="003139EE">
        <w:rPr>
          <w:rFonts w:ascii="Arial" w:hAnsi="Arial" w:cs="Arial"/>
          <w:b/>
          <w:sz w:val="24"/>
          <w:szCs w:val="24"/>
        </w:rPr>
        <w:t xml:space="preserve">¢91.233.633, </w:t>
      </w:r>
      <w:r w:rsidRPr="003139EE">
        <w:rPr>
          <w:rFonts w:ascii="Arial" w:hAnsi="Arial" w:cs="Arial"/>
          <w:sz w:val="24"/>
          <w:szCs w:val="24"/>
        </w:rPr>
        <w:t xml:space="preserve">al cierre del periodo 2018 ingresaron recursos por la suma de </w:t>
      </w:r>
      <w:r w:rsidRPr="003139EE">
        <w:rPr>
          <w:rFonts w:ascii="Arial" w:hAnsi="Arial" w:cs="Arial"/>
          <w:b/>
          <w:sz w:val="24"/>
          <w:szCs w:val="24"/>
        </w:rPr>
        <w:t xml:space="preserve">¢66.930.642 </w:t>
      </w:r>
      <w:r w:rsidRPr="003139EE">
        <w:rPr>
          <w:rFonts w:ascii="Arial" w:hAnsi="Arial" w:cs="Arial"/>
          <w:sz w:val="24"/>
          <w:szCs w:val="24"/>
        </w:rPr>
        <w:t xml:space="preserve">equivalentes a un </w:t>
      </w:r>
      <w:r w:rsidRPr="003139EE">
        <w:rPr>
          <w:rFonts w:ascii="Arial" w:hAnsi="Arial" w:cs="Arial"/>
          <w:b/>
          <w:sz w:val="24"/>
          <w:szCs w:val="24"/>
        </w:rPr>
        <w:t>73%</w:t>
      </w:r>
      <w:r w:rsidRPr="003139EE">
        <w:rPr>
          <w:rFonts w:ascii="Arial" w:hAnsi="Arial" w:cs="Arial"/>
          <w:sz w:val="24"/>
          <w:szCs w:val="24"/>
        </w:rPr>
        <w:t xml:space="preserve"> de ejecución</w:t>
      </w:r>
      <w:r w:rsidRPr="003139EE">
        <w:rPr>
          <w:rFonts w:ascii="Arial" w:hAnsi="Arial" w:cs="Arial"/>
          <w:b/>
          <w:sz w:val="24"/>
          <w:szCs w:val="24"/>
        </w:rPr>
        <w:t xml:space="preserve">, </w:t>
      </w:r>
      <w:r w:rsidRPr="003139EE">
        <w:rPr>
          <w:rFonts w:ascii="Arial" w:hAnsi="Arial" w:cs="Arial"/>
          <w:sz w:val="24"/>
          <w:szCs w:val="24"/>
        </w:rPr>
        <w:t xml:space="preserve">de éstos, la suma de </w:t>
      </w:r>
      <w:r w:rsidRPr="003139EE">
        <w:rPr>
          <w:rFonts w:ascii="Arial" w:hAnsi="Arial" w:cs="Arial"/>
          <w:b/>
          <w:sz w:val="24"/>
          <w:szCs w:val="24"/>
        </w:rPr>
        <w:t>¢25.879.952</w:t>
      </w:r>
      <w:r w:rsidRPr="003139EE">
        <w:rPr>
          <w:rFonts w:ascii="Arial" w:hAnsi="Arial" w:cs="Arial"/>
          <w:sz w:val="24"/>
          <w:szCs w:val="24"/>
        </w:rPr>
        <w:t xml:space="preserve"> ingresaron en el segundo semestre. Estos son recursos adicionales provenientes del convenio de compra venta de servicios ambientales suscrito con la Compañía Nacional de Fuerza y Luz y con el Consorcio Nacional de Empresas de Electrificación de Costa Rica R.L (CONELECTRICA), adicionalmente incluye los ingresos provenientes de las afectaciones realizadas a los contratos por pago de servicios ambientales</w:t>
      </w:r>
      <w:r w:rsidR="009C21EC" w:rsidRPr="003139EE">
        <w:rPr>
          <w:rFonts w:ascii="Arial" w:hAnsi="Arial" w:cs="Arial"/>
          <w:sz w:val="24"/>
          <w:szCs w:val="24"/>
        </w:rPr>
        <w:t xml:space="preserve"> </w:t>
      </w:r>
    </w:p>
    <w:p w:rsidR="007A5100" w:rsidRPr="00767C7C" w:rsidRDefault="007A5100" w:rsidP="00233BD6">
      <w:pPr>
        <w:ind w:right="596"/>
        <w:jc w:val="both"/>
        <w:rPr>
          <w:rFonts w:ascii="Arial" w:hAnsi="Arial" w:cs="Arial"/>
          <w:b/>
          <w:sz w:val="22"/>
          <w:szCs w:val="22"/>
          <w:highlight w:val="yellow"/>
        </w:rPr>
      </w:pPr>
    </w:p>
    <w:p w:rsidR="00BA2766" w:rsidRDefault="00BA2766" w:rsidP="006661BD">
      <w:pPr>
        <w:rPr>
          <w:rFonts w:ascii="Arial" w:hAnsi="Arial" w:cs="Arial"/>
          <w:sz w:val="22"/>
          <w:szCs w:val="22"/>
        </w:rPr>
      </w:pPr>
    </w:p>
    <w:p w:rsidR="00BA2766" w:rsidRPr="00BA2766" w:rsidRDefault="00BA2766" w:rsidP="00BA2766">
      <w:pPr>
        <w:rPr>
          <w:rFonts w:ascii="Arial" w:hAnsi="Arial" w:cs="Arial"/>
          <w:b/>
          <w:sz w:val="22"/>
          <w:szCs w:val="22"/>
        </w:rPr>
      </w:pPr>
      <w:r w:rsidRPr="00BA2766">
        <w:rPr>
          <w:rFonts w:ascii="Arial" w:hAnsi="Arial" w:cs="Arial"/>
          <w:b/>
          <w:sz w:val="22"/>
          <w:szCs w:val="22"/>
        </w:rPr>
        <w:t xml:space="preserve">1.3.2.0.00.00.0.0.000 Ingresos de la propiedad </w:t>
      </w:r>
    </w:p>
    <w:p w:rsidR="00BA2766" w:rsidRPr="00BA2766" w:rsidRDefault="00BA2766" w:rsidP="00BA2766">
      <w:pPr>
        <w:rPr>
          <w:rFonts w:ascii="Arial" w:hAnsi="Arial" w:cs="Arial"/>
          <w:b/>
          <w:sz w:val="22"/>
          <w:szCs w:val="22"/>
        </w:rPr>
      </w:pPr>
      <w:r w:rsidRPr="00BA2766">
        <w:rPr>
          <w:rFonts w:ascii="Arial" w:hAnsi="Arial" w:cs="Arial"/>
          <w:b/>
          <w:sz w:val="22"/>
          <w:szCs w:val="22"/>
        </w:rPr>
        <w:t>1.3.2.3.02.07.0.0.000 Intereses y comisiones sobre préstamos al sector privado</w:t>
      </w:r>
    </w:p>
    <w:p w:rsidR="00BA2766" w:rsidRPr="00BA2766" w:rsidRDefault="00BA2766" w:rsidP="00BA2766">
      <w:pPr>
        <w:rPr>
          <w:rFonts w:ascii="Arial" w:hAnsi="Arial" w:cs="Arial"/>
          <w:b/>
          <w:color w:val="FF0000"/>
          <w:sz w:val="22"/>
          <w:szCs w:val="22"/>
        </w:rPr>
      </w:pPr>
    </w:p>
    <w:p w:rsidR="00210DDB" w:rsidRPr="00210DDB" w:rsidRDefault="00210DDB" w:rsidP="00210DDB">
      <w:pPr>
        <w:jc w:val="both"/>
        <w:rPr>
          <w:rFonts w:ascii="Arial" w:hAnsi="Arial" w:cs="Arial"/>
          <w:sz w:val="24"/>
          <w:szCs w:val="24"/>
        </w:rPr>
      </w:pPr>
      <w:r w:rsidRPr="00210DDB">
        <w:rPr>
          <w:rFonts w:ascii="Arial" w:hAnsi="Arial" w:cs="Arial"/>
          <w:sz w:val="24"/>
          <w:szCs w:val="24"/>
        </w:rPr>
        <w:t xml:space="preserve">En esta subpartida se presupuestó la suma de </w:t>
      </w:r>
      <w:r w:rsidRPr="00210DDB">
        <w:rPr>
          <w:rFonts w:ascii="Arial" w:hAnsi="Arial" w:cs="Arial"/>
          <w:b/>
          <w:sz w:val="24"/>
          <w:szCs w:val="24"/>
        </w:rPr>
        <w:t>¢118.923.412</w:t>
      </w:r>
      <w:r w:rsidRPr="00210DDB">
        <w:rPr>
          <w:rFonts w:ascii="Arial" w:hAnsi="Arial" w:cs="Arial"/>
          <w:sz w:val="24"/>
          <w:szCs w:val="24"/>
        </w:rPr>
        <w:t xml:space="preserve">, al cierre del periodo 2018 se percibieron recursos por la suma de </w:t>
      </w:r>
      <w:r w:rsidRPr="00210DDB">
        <w:rPr>
          <w:rFonts w:ascii="Arial" w:hAnsi="Arial" w:cs="Arial"/>
          <w:b/>
          <w:sz w:val="24"/>
          <w:szCs w:val="24"/>
        </w:rPr>
        <w:t>¢135.344.396</w:t>
      </w:r>
      <w:r w:rsidRPr="00210DDB">
        <w:rPr>
          <w:rFonts w:ascii="Arial" w:hAnsi="Arial" w:cs="Arial"/>
          <w:sz w:val="24"/>
          <w:szCs w:val="24"/>
        </w:rPr>
        <w:t xml:space="preserve"> equivalente a un </w:t>
      </w:r>
      <w:r w:rsidRPr="00210DDB">
        <w:rPr>
          <w:rFonts w:ascii="Arial" w:hAnsi="Arial" w:cs="Arial"/>
          <w:b/>
          <w:sz w:val="24"/>
          <w:szCs w:val="24"/>
        </w:rPr>
        <w:t>114%</w:t>
      </w:r>
      <w:r w:rsidRPr="00210DDB">
        <w:rPr>
          <w:rFonts w:ascii="Arial" w:hAnsi="Arial" w:cs="Arial"/>
          <w:sz w:val="24"/>
          <w:szCs w:val="24"/>
        </w:rPr>
        <w:t xml:space="preserve"> de ejecución; del monto total percibido </w:t>
      </w:r>
      <w:r w:rsidRPr="00210DDB">
        <w:rPr>
          <w:rFonts w:ascii="Arial" w:hAnsi="Arial" w:cs="Arial"/>
          <w:b/>
          <w:sz w:val="24"/>
          <w:szCs w:val="24"/>
        </w:rPr>
        <w:t>¢72.413.311</w:t>
      </w:r>
      <w:r w:rsidRPr="00210DDB">
        <w:rPr>
          <w:rFonts w:ascii="Arial" w:hAnsi="Arial" w:cs="Arial"/>
          <w:sz w:val="24"/>
          <w:szCs w:val="24"/>
        </w:rPr>
        <w:t xml:space="preserve"> ingresaron en el segundo semestre. Estos recursos corresponden a intereses por la recuperación de la cartera de crédito.</w:t>
      </w:r>
    </w:p>
    <w:p w:rsidR="00BA2766" w:rsidRPr="00210DDB" w:rsidRDefault="00BA2766" w:rsidP="006661BD">
      <w:pPr>
        <w:rPr>
          <w:rFonts w:ascii="Arial" w:hAnsi="Arial" w:cs="Arial"/>
          <w:sz w:val="24"/>
          <w:szCs w:val="24"/>
        </w:rPr>
      </w:pPr>
    </w:p>
    <w:p w:rsidR="007A5100" w:rsidRPr="00767C7C" w:rsidRDefault="007A5100" w:rsidP="00233BD6">
      <w:pPr>
        <w:ind w:right="596"/>
        <w:jc w:val="both"/>
        <w:rPr>
          <w:rFonts w:ascii="Arial" w:hAnsi="Arial" w:cs="Arial"/>
          <w:sz w:val="22"/>
          <w:szCs w:val="22"/>
        </w:rPr>
      </w:pPr>
    </w:p>
    <w:p w:rsidR="006661BD" w:rsidRPr="00281A36" w:rsidRDefault="006661BD" w:rsidP="006661BD">
      <w:pPr>
        <w:rPr>
          <w:rFonts w:ascii="Arial" w:hAnsi="Arial" w:cs="Arial"/>
          <w:b/>
          <w:sz w:val="22"/>
          <w:szCs w:val="22"/>
        </w:rPr>
      </w:pPr>
      <w:r w:rsidRPr="00281A36">
        <w:rPr>
          <w:rFonts w:ascii="Arial" w:hAnsi="Arial" w:cs="Arial"/>
          <w:b/>
          <w:sz w:val="22"/>
          <w:szCs w:val="22"/>
        </w:rPr>
        <w:t>1.3.2.3.03.00.0.0.000 Otras Rentas de Activos Financieros</w:t>
      </w:r>
    </w:p>
    <w:p w:rsidR="00210DDB" w:rsidRPr="00210DDB" w:rsidRDefault="00210DDB" w:rsidP="00210DDB">
      <w:pPr>
        <w:rPr>
          <w:rFonts w:ascii="Arial" w:hAnsi="Arial" w:cs="Arial"/>
          <w:b/>
          <w:sz w:val="24"/>
          <w:szCs w:val="24"/>
        </w:rPr>
      </w:pPr>
      <w:r w:rsidRPr="00210DDB">
        <w:rPr>
          <w:rFonts w:ascii="Arial" w:hAnsi="Arial" w:cs="Arial"/>
          <w:b/>
          <w:sz w:val="24"/>
          <w:szCs w:val="24"/>
        </w:rPr>
        <w:t>1.3.2.3.03.04.0.0.000 Diferencias por tipo de cambio</w:t>
      </w:r>
    </w:p>
    <w:p w:rsidR="00210DDB" w:rsidRPr="00210DDB" w:rsidRDefault="00210DDB" w:rsidP="00210DDB">
      <w:pPr>
        <w:rPr>
          <w:rFonts w:ascii="Arial" w:hAnsi="Arial" w:cs="Arial"/>
          <w:sz w:val="24"/>
          <w:szCs w:val="24"/>
        </w:rPr>
      </w:pPr>
    </w:p>
    <w:p w:rsidR="00210DDB" w:rsidRPr="00210DDB" w:rsidRDefault="00210DDB" w:rsidP="00210DDB">
      <w:pPr>
        <w:jc w:val="both"/>
        <w:rPr>
          <w:rFonts w:ascii="Arial" w:eastAsia="Times New Roman" w:hAnsi="Arial" w:cs="Arial"/>
          <w:sz w:val="24"/>
          <w:szCs w:val="24"/>
          <w:lang w:eastAsia="es-CR"/>
        </w:rPr>
      </w:pPr>
      <w:r w:rsidRPr="00210DDB">
        <w:rPr>
          <w:rFonts w:ascii="Arial" w:hAnsi="Arial" w:cs="Arial"/>
          <w:sz w:val="24"/>
          <w:szCs w:val="24"/>
        </w:rPr>
        <w:t xml:space="preserve">En esta subpartida se presupuestó la suma de </w:t>
      </w:r>
      <w:r w:rsidRPr="00210DDB">
        <w:rPr>
          <w:rFonts w:ascii="Arial" w:hAnsi="Arial" w:cs="Arial"/>
          <w:b/>
          <w:sz w:val="24"/>
          <w:szCs w:val="24"/>
        </w:rPr>
        <w:t>¢5.250.000</w:t>
      </w:r>
      <w:r w:rsidRPr="00210DDB">
        <w:rPr>
          <w:rFonts w:ascii="Arial" w:hAnsi="Arial" w:cs="Arial"/>
          <w:sz w:val="24"/>
          <w:szCs w:val="24"/>
        </w:rPr>
        <w:t xml:space="preserve">, de los cuales al cierre del periodo 2018 se captaron recursos por la suma de </w:t>
      </w:r>
      <w:r w:rsidRPr="00210DDB">
        <w:rPr>
          <w:rFonts w:ascii="Arial" w:hAnsi="Arial" w:cs="Arial"/>
          <w:b/>
          <w:sz w:val="24"/>
          <w:szCs w:val="24"/>
        </w:rPr>
        <w:t>¢18.066.531</w:t>
      </w:r>
      <w:r w:rsidRPr="00210DDB">
        <w:rPr>
          <w:rFonts w:ascii="Arial" w:hAnsi="Arial" w:cs="Arial"/>
          <w:sz w:val="24"/>
          <w:szCs w:val="24"/>
        </w:rPr>
        <w:t xml:space="preserve">, de éstos la suma de </w:t>
      </w:r>
      <w:r w:rsidRPr="00210DDB">
        <w:rPr>
          <w:rFonts w:ascii="Arial" w:hAnsi="Arial" w:cs="Arial"/>
          <w:b/>
          <w:sz w:val="24"/>
          <w:szCs w:val="24"/>
        </w:rPr>
        <w:t>¢17.032.437</w:t>
      </w:r>
      <w:r w:rsidRPr="00210DDB">
        <w:rPr>
          <w:rFonts w:ascii="Arial" w:hAnsi="Arial" w:cs="Arial"/>
          <w:sz w:val="24"/>
          <w:szCs w:val="24"/>
        </w:rPr>
        <w:t xml:space="preserve"> fue percibida durante el segundo semestre, ingresos se originan a través de las fluctuaciones positivas presentadas durante el período</w:t>
      </w:r>
      <w:r w:rsidRPr="00210DDB">
        <w:rPr>
          <w:rFonts w:ascii="Arial" w:hAnsi="Arial" w:cs="Arial"/>
          <w:b/>
          <w:sz w:val="24"/>
          <w:szCs w:val="24"/>
        </w:rPr>
        <w:t>.</w:t>
      </w:r>
    </w:p>
    <w:p w:rsidR="0034269E" w:rsidRPr="00281A36" w:rsidRDefault="0034269E" w:rsidP="00233BD6">
      <w:pPr>
        <w:ind w:right="596"/>
        <w:jc w:val="both"/>
        <w:rPr>
          <w:rFonts w:ascii="Arial" w:hAnsi="Arial" w:cs="Arial"/>
          <w:sz w:val="24"/>
          <w:szCs w:val="22"/>
          <w:highlight w:val="yellow"/>
        </w:rPr>
      </w:pP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 xml:space="preserve">1.3.3.1.00.00.0.0.000 Multas y sanciones </w:t>
      </w: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1.3.3.1.09.00.0.0.000 Otras multas</w:t>
      </w:r>
    </w:p>
    <w:p w:rsidR="007A5100" w:rsidRPr="00210DDB" w:rsidRDefault="007A5100" w:rsidP="00233BD6">
      <w:pPr>
        <w:ind w:right="596"/>
        <w:jc w:val="both"/>
        <w:rPr>
          <w:rFonts w:ascii="Arial" w:hAnsi="Arial" w:cs="Arial"/>
          <w:sz w:val="24"/>
          <w:szCs w:val="24"/>
        </w:rPr>
      </w:pPr>
    </w:p>
    <w:p w:rsidR="00210DDB" w:rsidRPr="00210DDB" w:rsidRDefault="00210DDB" w:rsidP="00210DDB">
      <w:pPr>
        <w:jc w:val="both"/>
        <w:rPr>
          <w:rFonts w:ascii="Arial" w:hAnsi="Arial" w:cs="Arial"/>
          <w:sz w:val="24"/>
          <w:szCs w:val="24"/>
        </w:rPr>
      </w:pPr>
      <w:r w:rsidRPr="00210DDB">
        <w:rPr>
          <w:rFonts w:ascii="Arial" w:hAnsi="Arial" w:cs="Arial"/>
          <w:sz w:val="24"/>
          <w:szCs w:val="24"/>
        </w:rPr>
        <w:t xml:space="preserve">En esta subpartida se presupuestó la suma de </w:t>
      </w:r>
      <w:r w:rsidRPr="00210DDB">
        <w:rPr>
          <w:rFonts w:ascii="Arial" w:hAnsi="Arial" w:cs="Arial"/>
          <w:b/>
          <w:sz w:val="24"/>
          <w:szCs w:val="24"/>
        </w:rPr>
        <w:t>¢500.000</w:t>
      </w:r>
      <w:r w:rsidRPr="00210DDB">
        <w:rPr>
          <w:rFonts w:ascii="Arial" w:hAnsi="Arial" w:cs="Arial"/>
          <w:sz w:val="24"/>
          <w:szCs w:val="24"/>
        </w:rPr>
        <w:t xml:space="preserve"> de los cuales se obtuvieron ingresos totales por la suma de </w:t>
      </w:r>
      <w:r w:rsidRPr="00210DDB">
        <w:rPr>
          <w:rFonts w:ascii="Arial" w:hAnsi="Arial" w:cs="Arial"/>
          <w:b/>
          <w:sz w:val="24"/>
          <w:szCs w:val="24"/>
        </w:rPr>
        <w:t>¢356.870</w:t>
      </w:r>
      <w:r w:rsidRPr="00210DDB">
        <w:rPr>
          <w:rFonts w:ascii="Arial" w:hAnsi="Arial" w:cs="Arial"/>
          <w:sz w:val="24"/>
          <w:szCs w:val="24"/>
        </w:rPr>
        <w:t xml:space="preserve">, equivalente a un </w:t>
      </w:r>
      <w:r w:rsidRPr="00210DDB">
        <w:rPr>
          <w:rFonts w:ascii="Arial" w:hAnsi="Arial" w:cs="Arial"/>
          <w:b/>
          <w:sz w:val="24"/>
          <w:szCs w:val="24"/>
        </w:rPr>
        <w:t>71%</w:t>
      </w:r>
      <w:r w:rsidRPr="00210DDB">
        <w:rPr>
          <w:rFonts w:ascii="Arial" w:hAnsi="Arial" w:cs="Arial"/>
          <w:sz w:val="24"/>
          <w:szCs w:val="24"/>
        </w:rPr>
        <w:t xml:space="preserve"> de ejecución, de este monto </w:t>
      </w:r>
      <w:r w:rsidRPr="00210DDB">
        <w:rPr>
          <w:rFonts w:ascii="Arial" w:hAnsi="Arial" w:cs="Arial"/>
          <w:b/>
          <w:sz w:val="24"/>
          <w:szCs w:val="24"/>
        </w:rPr>
        <w:t>¢169.578</w:t>
      </w:r>
      <w:r w:rsidRPr="00210DDB">
        <w:rPr>
          <w:rFonts w:ascii="Arial" w:hAnsi="Arial" w:cs="Arial"/>
          <w:sz w:val="24"/>
          <w:szCs w:val="24"/>
        </w:rPr>
        <w:t xml:space="preserve"> fue percibido durante el segundo, estos recursos corresponden a multas originadas en la cartera de crédito.</w:t>
      </w:r>
    </w:p>
    <w:p w:rsidR="007A5100" w:rsidRPr="00767C7C" w:rsidRDefault="007A5100" w:rsidP="00233BD6">
      <w:pPr>
        <w:ind w:right="596"/>
        <w:jc w:val="both"/>
        <w:rPr>
          <w:rFonts w:ascii="Arial" w:hAnsi="Arial" w:cs="Arial"/>
          <w:sz w:val="22"/>
          <w:szCs w:val="22"/>
        </w:rPr>
      </w:pPr>
    </w:p>
    <w:p w:rsidR="00606808" w:rsidRDefault="00606808" w:rsidP="00233BD6">
      <w:pPr>
        <w:ind w:right="596"/>
        <w:jc w:val="both"/>
        <w:rPr>
          <w:rFonts w:ascii="Arial" w:hAnsi="Arial" w:cs="Arial"/>
          <w:b/>
          <w:sz w:val="22"/>
          <w:szCs w:val="22"/>
        </w:rPr>
      </w:pPr>
    </w:p>
    <w:p w:rsidR="00606808" w:rsidRDefault="00606808" w:rsidP="00233BD6">
      <w:pPr>
        <w:ind w:right="596"/>
        <w:jc w:val="both"/>
        <w:rPr>
          <w:rFonts w:ascii="Arial" w:hAnsi="Arial" w:cs="Arial"/>
          <w:b/>
          <w:sz w:val="22"/>
          <w:szCs w:val="22"/>
        </w:rPr>
      </w:pPr>
    </w:p>
    <w:p w:rsidR="007A5100" w:rsidRPr="00281A36" w:rsidRDefault="00CB2FB9" w:rsidP="00233BD6">
      <w:pPr>
        <w:ind w:right="596"/>
        <w:jc w:val="both"/>
        <w:rPr>
          <w:rFonts w:ascii="Arial" w:hAnsi="Arial" w:cs="Arial"/>
          <w:b/>
          <w:sz w:val="22"/>
          <w:szCs w:val="22"/>
        </w:rPr>
      </w:pPr>
      <w:r w:rsidRPr="00281A36">
        <w:rPr>
          <w:rFonts w:ascii="Arial" w:hAnsi="Arial" w:cs="Arial"/>
          <w:b/>
          <w:sz w:val="22"/>
          <w:szCs w:val="22"/>
        </w:rPr>
        <w:t>1.3.4.0.00.00.0.0.000 Intereses</w:t>
      </w:r>
      <w:r w:rsidR="007A5100" w:rsidRPr="00281A36">
        <w:rPr>
          <w:rFonts w:ascii="Arial" w:hAnsi="Arial" w:cs="Arial"/>
          <w:b/>
          <w:sz w:val="22"/>
          <w:szCs w:val="22"/>
        </w:rPr>
        <w:t xml:space="preserve"> Moratorios</w:t>
      </w: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1.3.4.9.00.00.0.0.000 Otros Intereses Moratorios</w:t>
      </w:r>
    </w:p>
    <w:p w:rsidR="007A5100" w:rsidRPr="00281A36" w:rsidRDefault="007A5100" w:rsidP="00233BD6">
      <w:pPr>
        <w:ind w:right="596"/>
        <w:jc w:val="both"/>
        <w:rPr>
          <w:rFonts w:ascii="Arial" w:hAnsi="Arial" w:cs="Arial"/>
          <w:b/>
          <w:sz w:val="22"/>
          <w:szCs w:val="22"/>
        </w:rPr>
      </w:pPr>
    </w:p>
    <w:p w:rsidR="00210DDB" w:rsidRPr="00210DDB" w:rsidRDefault="00210DDB" w:rsidP="00210DDB">
      <w:pPr>
        <w:jc w:val="both"/>
        <w:rPr>
          <w:rFonts w:ascii="Arial" w:eastAsia="Times New Roman" w:hAnsi="Arial" w:cs="Arial"/>
          <w:color w:val="FF0000"/>
          <w:sz w:val="24"/>
          <w:szCs w:val="24"/>
          <w:lang w:eastAsia="es-CR"/>
        </w:rPr>
      </w:pPr>
      <w:r w:rsidRPr="00210DDB">
        <w:rPr>
          <w:rFonts w:ascii="Arial" w:hAnsi="Arial" w:cs="Arial"/>
          <w:sz w:val="24"/>
          <w:szCs w:val="24"/>
        </w:rPr>
        <w:t xml:space="preserve">En esta subpartida se presupuestó la suma de </w:t>
      </w:r>
      <w:r w:rsidRPr="00210DDB">
        <w:rPr>
          <w:rFonts w:ascii="Arial" w:hAnsi="Arial" w:cs="Arial"/>
          <w:b/>
          <w:sz w:val="24"/>
          <w:szCs w:val="24"/>
        </w:rPr>
        <w:t>¢500.000</w:t>
      </w:r>
      <w:r w:rsidRPr="00210DDB">
        <w:rPr>
          <w:rFonts w:ascii="Arial" w:hAnsi="Arial" w:cs="Arial"/>
          <w:sz w:val="24"/>
          <w:szCs w:val="24"/>
        </w:rPr>
        <w:t xml:space="preserve"> de los cuales se obtuvieron ingresos totales por la suma de </w:t>
      </w:r>
      <w:r w:rsidRPr="00210DDB">
        <w:rPr>
          <w:rFonts w:ascii="Arial" w:hAnsi="Arial" w:cs="Arial"/>
          <w:b/>
          <w:sz w:val="24"/>
          <w:szCs w:val="24"/>
        </w:rPr>
        <w:t>¢469.372</w:t>
      </w:r>
      <w:r w:rsidRPr="00210DDB">
        <w:rPr>
          <w:rFonts w:ascii="Arial" w:hAnsi="Arial" w:cs="Arial"/>
          <w:sz w:val="24"/>
          <w:szCs w:val="24"/>
        </w:rPr>
        <w:t xml:space="preserve">, equivalente a un </w:t>
      </w:r>
      <w:r w:rsidRPr="00210DDB">
        <w:rPr>
          <w:rFonts w:ascii="Arial" w:hAnsi="Arial" w:cs="Arial"/>
          <w:b/>
          <w:sz w:val="24"/>
          <w:szCs w:val="24"/>
        </w:rPr>
        <w:t>94%</w:t>
      </w:r>
      <w:r w:rsidRPr="00210DDB">
        <w:rPr>
          <w:rFonts w:ascii="Arial" w:hAnsi="Arial" w:cs="Arial"/>
          <w:sz w:val="24"/>
          <w:szCs w:val="24"/>
        </w:rPr>
        <w:t xml:space="preserve"> de ejecución, de este monto </w:t>
      </w:r>
      <w:r w:rsidRPr="00210DDB">
        <w:rPr>
          <w:rFonts w:ascii="Arial" w:hAnsi="Arial" w:cs="Arial"/>
          <w:b/>
          <w:sz w:val="24"/>
          <w:szCs w:val="24"/>
        </w:rPr>
        <w:t>¢309.188</w:t>
      </w:r>
      <w:r w:rsidRPr="00210DDB">
        <w:rPr>
          <w:rFonts w:ascii="Arial" w:hAnsi="Arial" w:cs="Arial"/>
          <w:sz w:val="24"/>
          <w:szCs w:val="24"/>
        </w:rPr>
        <w:t xml:space="preserve"> fue percibido durante el segundo, estos recursos se originan a través del cobro de intereses moratorios en la cartera de crédito.</w:t>
      </w:r>
    </w:p>
    <w:p w:rsidR="00281A36" w:rsidRPr="00210DDB" w:rsidRDefault="00281A36" w:rsidP="006661BD">
      <w:pPr>
        <w:jc w:val="both"/>
        <w:rPr>
          <w:rFonts w:ascii="Arial" w:hAnsi="Arial" w:cs="Arial"/>
          <w:sz w:val="24"/>
          <w:szCs w:val="24"/>
        </w:rPr>
      </w:pP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 xml:space="preserve">1.3.9.0.00.00.0.0.000 Otros ingresos no tributarios </w:t>
      </w: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1.3.9.1.00.00.0.0.000 Reintegro en efectivo</w:t>
      </w:r>
    </w:p>
    <w:p w:rsidR="007A5100" w:rsidRPr="00281A36" w:rsidRDefault="007A5100" w:rsidP="00233BD6">
      <w:pPr>
        <w:ind w:right="596"/>
        <w:jc w:val="both"/>
        <w:rPr>
          <w:rFonts w:ascii="Arial" w:hAnsi="Arial" w:cs="Arial"/>
          <w:sz w:val="22"/>
          <w:szCs w:val="22"/>
        </w:rPr>
      </w:pPr>
    </w:p>
    <w:p w:rsidR="00210DDB" w:rsidRPr="00210DDB" w:rsidRDefault="00210DDB" w:rsidP="00210DDB">
      <w:pPr>
        <w:jc w:val="both"/>
        <w:rPr>
          <w:rFonts w:ascii="Arial" w:eastAsia="Times New Roman" w:hAnsi="Arial" w:cs="Arial"/>
          <w:sz w:val="24"/>
          <w:szCs w:val="24"/>
          <w:lang w:eastAsia="es-CR"/>
        </w:rPr>
      </w:pPr>
      <w:r w:rsidRPr="00210DDB">
        <w:rPr>
          <w:rFonts w:ascii="Arial" w:hAnsi="Arial" w:cs="Arial"/>
          <w:sz w:val="24"/>
          <w:szCs w:val="24"/>
        </w:rPr>
        <w:t xml:space="preserve">En esta subpartida se presupuestó la suma de </w:t>
      </w:r>
      <w:r w:rsidRPr="00210DDB">
        <w:rPr>
          <w:rFonts w:ascii="Arial" w:hAnsi="Arial" w:cs="Arial"/>
          <w:b/>
          <w:sz w:val="24"/>
          <w:szCs w:val="24"/>
        </w:rPr>
        <w:t>¢5.000.000</w:t>
      </w:r>
      <w:r w:rsidRPr="00210DDB">
        <w:rPr>
          <w:rFonts w:ascii="Arial" w:hAnsi="Arial" w:cs="Arial"/>
          <w:sz w:val="24"/>
          <w:szCs w:val="24"/>
        </w:rPr>
        <w:t xml:space="preserve">, al cierre del periodo 2018 se percibió la suma de </w:t>
      </w:r>
      <w:r w:rsidRPr="00210DDB">
        <w:rPr>
          <w:rFonts w:ascii="Arial" w:hAnsi="Arial" w:cs="Arial"/>
          <w:b/>
          <w:sz w:val="24"/>
          <w:szCs w:val="24"/>
        </w:rPr>
        <w:t>¢6.627.877</w:t>
      </w:r>
      <w:r w:rsidRPr="00210DDB">
        <w:rPr>
          <w:rFonts w:ascii="Arial" w:hAnsi="Arial" w:cs="Arial"/>
          <w:sz w:val="24"/>
          <w:szCs w:val="24"/>
        </w:rPr>
        <w:t xml:space="preserve"> equivalentes a un </w:t>
      </w:r>
      <w:r w:rsidRPr="00210DDB">
        <w:rPr>
          <w:rFonts w:ascii="Arial" w:hAnsi="Arial" w:cs="Arial"/>
          <w:b/>
          <w:sz w:val="24"/>
          <w:szCs w:val="24"/>
        </w:rPr>
        <w:t>133%</w:t>
      </w:r>
      <w:r w:rsidRPr="00210DDB">
        <w:rPr>
          <w:rFonts w:ascii="Arial" w:hAnsi="Arial" w:cs="Arial"/>
          <w:sz w:val="24"/>
          <w:szCs w:val="24"/>
        </w:rPr>
        <w:t xml:space="preserve"> de ejecución</w:t>
      </w:r>
      <w:r w:rsidRPr="00210DDB">
        <w:rPr>
          <w:rFonts w:ascii="Arial" w:hAnsi="Arial" w:cs="Arial"/>
          <w:b/>
          <w:sz w:val="24"/>
          <w:szCs w:val="24"/>
        </w:rPr>
        <w:t xml:space="preserve">, </w:t>
      </w:r>
      <w:r w:rsidRPr="00210DDB">
        <w:rPr>
          <w:rFonts w:ascii="Arial" w:hAnsi="Arial" w:cs="Arial"/>
          <w:sz w:val="24"/>
          <w:szCs w:val="24"/>
        </w:rPr>
        <w:t>estos ingresos se originan en las</w:t>
      </w:r>
      <w:r w:rsidRPr="00210DDB">
        <w:rPr>
          <w:rFonts w:ascii="Arial" w:hAnsi="Arial" w:cs="Arial"/>
          <w:b/>
          <w:sz w:val="24"/>
          <w:szCs w:val="24"/>
        </w:rPr>
        <w:t xml:space="preserve"> </w:t>
      </w:r>
      <w:r w:rsidRPr="00210DDB">
        <w:rPr>
          <w:rFonts w:ascii="Arial" w:hAnsi="Arial" w:cs="Arial"/>
          <w:sz w:val="24"/>
          <w:szCs w:val="24"/>
        </w:rPr>
        <w:t>devoluciones en efectivo por pagos realizados por el Fideicomiso en gestiones de cobro judicial.</w:t>
      </w:r>
    </w:p>
    <w:p w:rsidR="00973E73" w:rsidRPr="00210DDB" w:rsidRDefault="00973E73" w:rsidP="006661BD">
      <w:pPr>
        <w:jc w:val="both"/>
        <w:rPr>
          <w:rFonts w:ascii="Arial" w:hAnsi="Arial" w:cs="Arial"/>
          <w:sz w:val="24"/>
          <w:szCs w:val="24"/>
        </w:rPr>
      </w:pPr>
    </w:p>
    <w:p w:rsidR="00973E73" w:rsidRDefault="00973E73" w:rsidP="006661BD">
      <w:pPr>
        <w:jc w:val="both"/>
        <w:rPr>
          <w:rFonts w:ascii="Arial" w:hAnsi="Arial" w:cs="Arial"/>
          <w:sz w:val="22"/>
          <w:szCs w:val="22"/>
        </w:rPr>
      </w:pPr>
    </w:p>
    <w:p w:rsidR="00CC6AF9" w:rsidRPr="00767C7C" w:rsidRDefault="00CC6AF9" w:rsidP="00233BD6">
      <w:pPr>
        <w:ind w:right="596"/>
        <w:jc w:val="both"/>
        <w:rPr>
          <w:rFonts w:ascii="Arial" w:hAnsi="Arial" w:cs="Arial"/>
          <w:b/>
          <w:sz w:val="22"/>
          <w:szCs w:val="22"/>
        </w:rPr>
      </w:pPr>
    </w:p>
    <w:p w:rsidR="007A5100" w:rsidRPr="00767C7C" w:rsidRDefault="007A5100" w:rsidP="00233BD6">
      <w:pPr>
        <w:ind w:right="596"/>
        <w:jc w:val="both"/>
        <w:rPr>
          <w:rFonts w:ascii="Arial" w:hAnsi="Arial" w:cs="Arial"/>
          <w:b/>
          <w:sz w:val="22"/>
          <w:szCs w:val="22"/>
        </w:rPr>
      </w:pPr>
      <w:r w:rsidRPr="00767C7C">
        <w:rPr>
          <w:rFonts w:ascii="Arial" w:hAnsi="Arial" w:cs="Arial"/>
          <w:b/>
          <w:sz w:val="22"/>
          <w:szCs w:val="22"/>
        </w:rPr>
        <w:t xml:space="preserve">1.4.0.0.00.00.0.0.000 Transferencias Corrientes </w:t>
      </w:r>
    </w:p>
    <w:p w:rsidR="007A5100" w:rsidRPr="00767C7C" w:rsidRDefault="007A5100" w:rsidP="00233BD6">
      <w:pPr>
        <w:ind w:right="596"/>
        <w:jc w:val="both"/>
        <w:rPr>
          <w:rFonts w:ascii="Arial" w:hAnsi="Arial" w:cs="Arial"/>
          <w:b/>
          <w:sz w:val="22"/>
          <w:szCs w:val="22"/>
        </w:rPr>
      </w:pPr>
      <w:r w:rsidRPr="00767C7C">
        <w:rPr>
          <w:rFonts w:ascii="Arial" w:hAnsi="Arial" w:cs="Arial"/>
          <w:b/>
          <w:sz w:val="22"/>
          <w:szCs w:val="22"/>
        </w:rPr>
        <w:t>1.4.1.0.00.00.0.0.000 Transferencias Corrientes del Sector Público</w:t>
      </w:r>
    </w:p>
    <w:p w:rsidR="007A5100" w:rsidRPr="00767C7C" w:rsidRDefault="007A5100" w:rsidP="00233BD6">
      <w:pPr>
        <w:ind w:right="596"/>
        <w:jc w:val="both"/>
        <w:rPr>
          <w:rFonts w:ascii="Arial" w:hAnsi="Arial" w:cs="Arial"/>
          <w:sz w:val="22"/>
          <w:szCs w:val="22"/>
          <w:lang w:eastAsia="es-CR"/>
        </w:rPr>
      </w:pPr>
    </w:p>
    <w:p w:rsidR="00210DDB" w:rsidRDefault="00210DDB" w:rsidP="00210DDB">
      <w:pPr>
        <w:rPr>
          <w:rFonts w:ascii="Arial" w:hAnsi="Arial" w:cs="Arial"/>
          <w:b/>
        </w:rPr>
      </w:pPr>
    </w:p>
    <w:p w:rsidR="00210DDB" w:rsidRPr="00210DDB" w:rsidRDefault="00210DDB" w:rsidP="00210DDB">
      <w:pPr>
        <w:jc w:val="both"/>
        <w:rPr>
          <w:rFonts w:ascii="Arial" w:hAnsi="Arial" w:cs="Arial"/>
          <w:sz w:val="24"/>
          <w:szCs w:val="24"/>
        </w:rPr>
      </w:pPr>
      <w:r w:rsidRPr="00210DDB">
        <w:rPr>
          <w:rFonts w:ascii="Arial" w:hAnsi="Arial" w:cs="Arial"/>
          <w:sz w:val="24"/>
          <w:szCs w:val="24"/>
        </w:rPr>
        <w:t xml:space="preserve">En esta subpartida se presupuestó la suma de </w:t>
      </w:r>
      <w:r w:rsidRPr="00210DDB">
        <w:rPr>
          <w:rFonts w:ascii="Arial" w:hAnsi="Arial" w:cs="Arial"/>
          <w:b/>
          <w:sz w:val="24"/>
          <w:szCs w:val="24"/>
        </w:rPr>
        <w:t>¢300.840.000</w:t>
      </w:r>
      <w:r w:rsidRPr="00210DDB">
        <w:rPr>
          <w:rFonts w:ascii="Arial" w:hAnsi="Arial" w:cs="Arial"/>
          <w:sz w:val="24"/>
          <w:szCs w:val="24"/>
        </w:rPr>
        <w:t xml:space="preserve">, de los cuales se logró percibir la suma de </w:t>
      </w:r>
      <w:r w:rsidRPr="00210DDB">
        <w:rPr>
          <w:rFonts w:ascii="Arial" w:hAnsi="Arial" w:cs="Arial"/>
          <w:b/>
          <w:sz w:val="24"/>
          <w:szCs w:val="24"/>
        </w:rPr>
        <w:t>¢250.630.000</w:t>
      </w:r>
      <w:r w:rsidRPr="00210DDB">
        <w:rPr>
          <w:rFonts w:ascii="Arial" w:hAnsi="Arial" w:cs="Arial"/>
          <w:sz w:val="24"/>
          <w:szCs w:val="24"/>
        </w:rPr>
        <w:t xml:space="preserve"> equivalente a una ejecución del </w:t>
      </w:r>
      <w:r w:rsidRPr="00210DDB">
        <w:rPr>
          <w:rFonts w:ascii="Arial" w:hAnsi="Arial" w:cs="Arial"/>
          <w:b/>
          <w:sz w:val="24"/>
          <w:szCs w:val="24"/>
        </w:rPr>
        <w:t>83%,</w:t>
      </w:r>
      <w:r w:rsidRPr="00210DDB">
        <w:rPr>
          <w:rFonts w:ascii="Arial" w:hAnsi="Arial" w:cs="Arial"/>
          <w:sz w:val="24"/>
          <w:szCs w:val="24"/>
        </w:rPr>
        <w:t xml:space="preserve"> del monto antes indicado la suma de </w:t>
      </w:r>
      <w:r w:rsidRPr="00210DDB">
        <w:rPr>
          <w:rFonts w:ascii="Arial" w:hAnsi="Arial" w:cs="Arial"/>
          <w:b/>
          <w:sz w:val="24"/>
          <w:szCs w:val="24"/>
        </w:rPr>
        <w:t>¢176.844.899</w:t>
      </w:r>
      <w:r w:rsidRPr="00210DDB">
        <w:rPr>
          <w:rFonts w:ascii="Arial" w:hAnsi="Arial" w:cs="Arial"/>
          <w:sz w:val="24"/>
          <w:szCs w:val="24"/>
        </w:rPr>
        <w:t xml:space="preserve"> fue percibida durante el segundo semestre del año. Estos recursos corresponden a la transferencia por impuesto a la madera, según la Ley Nº 7575 “Ley Forestal”, inciso g) del artículo Nº47 y el inciso 7 de la segunda cláusula del contrato del Fideicomiso 544 FONAFIFO/BNCR, que recibe el FONAFIFO y que posteriormente se transfiere al Fideicomiso, de estos recursos han ingresaron ¢150.630.000, adicionalmente los restantes ¢100.000.000 corresponden a la transferencia del FONAFIFO al Fideicomiso 544-3 originados en el reintegro de pagos por servicios ambientales</w:t>
      </w:r>
      <w:r w:rsidRPr="00210DDB">
        <w:rPr>
          <w:rFonts w:ascii="Arial" w:hAnsi="Arial" w:cs="Arial"/>
          <w:b/>
          <w:sz w:val="24"/>
          <w:szCs w:val="24"/>
        </w:rPr>
        <w:t>.</w:t>
      </w:r>
      <w:r w:rsidRPr="00210DDB">
        <w:rPr>
          <w:rFonts w:ascii="Arial" w:hAnsi="Arial" w:cs="Arial"/>
          <w:sz w:val="24"/>
          <w:szCs w:val="24"/>
        </w:rPr>
        <w:t xml:space="preserve"> </w:t>
      </w:r>
    </w:p>
    <w:p w:rsidR="0040716A" w:rsidRPr="009368FC" w:rsidRDefault="0040716A" w:rsidP="0040716A">
      <w:pPr>
        <w:jc w:val="both"/>
        <w:rPr>
          <w:rFonts w:ascii="Arial" w:hAnsi="Arial" w:cs="Arial"/>
        </w:rPr>
      </w:pPr>
    </w:p>
    <w:p w:rsidR="00316B34" w:rsidRPr="00316B34" w:rsidRDefault="00316B34" w:rsidP="00316B34">
      <w:pPr>
        <w:jc w:val="both"/>
        <w:rPr>
          <w:rFonts w:ascii="Arial" w:hAnsi="Arial" w:cs="Arial"/>
          <w:b/>
          <w:sz w:val="22"/>
          <w:szCs w:val="22"/>
        </w:rPr>
      </w:pPr>
      <w:r w:rsidRPr="00316B34">
        <w:rPr>
          <w:rFonts w:ascii="Arial" w:hAnsi="Arial" w:cs="Arial"/>
          <w:b/>
          <w:sz w:val="22"/>
          <w:szCs w:val="22"/>
        </w:rPr>
        <w:t>1.4.3.0.00.00.0.0.000 Transferencias corrientes del sector externo</w:t>
      </w:r>
    </w:p>
    <w:p w:rsidR="00316B34" w:rsidRDefault="00316B34" w:rsidP="00316B34">
      <w:pPr>
        <w:jc w:val="both"/>
        <w:rPr>
          <w:rFonts w:ascii="Arial" w:hAnsi="Arial" w:cs="Arial"/>
          <w:b/>
          <w:sz w:val="22"/>
          <w:szCs w:val="22"/>
        </w:rPr>
      </w:pPr>
      <w:r w:rsidRPr="00316B34">
        <w:rPr>
          <w:rFonts w:ascii="Arial" w:hAnsi="Arial" w:cs="Arial"/>
          <w:b/>
          <w:sz w:val="22"/>
          <w:szCs w:val="22"/>
        </w:rPr>
        <w:t>1.4.3.1.00.00.0.0.000 Transferencias corrientes de órganos internacionales</w:t>
      </w:r>
    </w:p>
    <w:p w:rsidR="00B22D4F" w:rsidRDefault="00B22D4F" w:rsidP="00316B34">
      <w:pPr>
        <w:jc w:val="both"/>
        <w:rPr>
          <w:rFonts w:ascii="Arial" w:hAnsi="Arial" w:cs="Arial"/>
          <w:b/>
          <w:sz w:val="22"/>
          <w:szCs w:val="22"/>
        </w:rPr>
      </w:pPr>
    </w:p>
    <w:p w:rsidR="00147006" w:rsidRPr="00147006" w:rsidRDefault="00147006" w:rsidP="00147006">
      <w:pPr>
        <w:jc w:val="both"/>
        <w:rPr>
          <w:rFonts w:ascii="Arial" w:hAnsi="Arial" w:cs="Arial"/>
          <w:sz w:val="24"/>
          <w:szCs w:val="24"/>
        </w:rPr>
      </w:pPr>
      <w:r w:rsidRPr="00147006">
        <w:rPr>
          <w:rFonts w:ascii="Arial" w:hAnsi="Arial" w:cs="Arial"/>
          <w:sz w:val="24"/>
          <w:szCs w:val="24"/>
        </w:rPr>
        <w:t xml:space="preserve">En esta subpartida se presupuestó la suma de </w:t>
      </w:r>
      <w:r w:rsidRPr="00147006">
        <w:rPr>
          <w:rFonts w:ascii="Arial" w:hAnsi="Arial" w:cs="Arial"/>
          <w:b/>
          <w:sz w:val="24"/>
          <w:szCs w:val="24"/>
        </w:rPr>
        <w:t>¢2.495.928.030</w:t>
      </w:r>
      <w:r w:rsidRPr="00147006">
        <w:rPr>
          <w:rFonts w:ascii="Arial" w:hAnsi="Arial" w:cs="Arial"/>
          <w:sz w:val="24"/>
          <w:szCs w:val="24"/>
        </w:rPr>
        <w:t xml:space="preserve">, de los cuales ingresó la suma total de </w:t>
      </w:r>
      <w:r w:rsidRPr="00147006">
        <w:rPr>
          <w:rFonts w:ascii="Arial" w:hAnsi="Arial" w:cs="Arial"/>
          <w:b/>
          <w:sz w:val="24"/>
          <w:szCs w:val="24"/>
        </w:rPr>
        <w:t>¢664.761.312</w:t>
      </w:r>
      <w:r w:rsidRPr="00147006">
        <w:rPr>
          <w:rFonts w:ascii="Arial" w:hAnsi="Arial" w:cs="Arial"/>
          <w:sz w:val="24"/>
          <w:szCs w:val="24"/>
        </w:rPr>
        <w:t xml:space="preserve"> lo que equivale a un</w:t>
      </w:r>
      <w:r w:rsidRPr="00147006">
        <w:rPr>
          <w:rFonts w:ascii="Arial" w:hAnsi="Arial" w:cs="Arial"/>
          <w:b/>
          <w:sz w:val="24"/>
          <w:szCs w:val="24"/>
        </w:rPr>
        <w:t xml:space="preserve"> 27% </w:t>
      </w:r>
      <w:r w:rsidRPr="00147006">
        <w:rPr>
          <w:rFonts w:ascii="Arial" w:hAnsi="Arial" w:cs="Arial"/>
          <w:sz w:val="24"/>
          <w:szCs w:val="24"/>
        </w:rPr>
        <w:t>de ejecución, estos ingresos provienen de la transferencia del tercer acuerdo de Donación entre el Fondo Nacional de Financiamiento Forestal y el Banco Internacional de Reconstrucción y Fomento.</w:t>
      </w:r>
    </w:p>
    <w:p w:rsidR="00B22D4F" w:rsidRDefault="00B22D4F" w:rsidP="00316B34">
      <w:pPr>
        <w:jc w:val="both"/>
        <w:rPr>
          <w:rFonts w:ascii="Arial" w:hAnsi="Arial" w:cs="Arial"/>
          <w:b/>
          <w:sz w:val="22"/>
          <w:szCs w:val="22"/>
        </w:rPr>
      </w:pPr>
    </w:p>
    <w:p w:rsidR="004456FA" w:rsidRDefault="004456FA" w:rsidP="00316B34">
      <w:pPr>
        <w:jc w:val="both"/>
        <w:rPr>
          <w:rFonts w:ascii="Arial" w:hAnsi="Arial" w:cs="Arial"/>
          <w:b/>
          <w:sz w:val="22"/>
          <w:szCs w:val="22"/>
        </w:rPr>
      </w:pPr>
    </w:p>
    <w:p w:rsidR="004456FA" w:rsidRDefault="004456FA" w:rsidP="00316B34">
      <w:pPr>
        <w:jc w:val="both"/>
        <w:rPr>
          <w:rFonts w:ascii="Arial" w:hAnsi="Arial" w:cs="Arial"/>
          <w:b/>
          <w:sz w:val="22"/>
          <w:szCs w:val="22"/>
        </w:rPr>
      </w:pPr>
    </w:p>
    <w:p w:rsidR="004456FA" w:rsidRDefault="004456FA" w:rsidP="00316B34">
      <w:pPr>
        <w:jc w:val="both"/>
        <w:rPr>
          <w:rFonts w:ascii="Arial" w:hAnsi="Arial" w:cs="Arial"/>
          <w:b/>
          <w:sz w:val="22"/>
          <w:szCs w:val="22"/>
        </w:rPr>
      </w:pPr>
    </w:p>
    <w:p w:rsidR="004456FA" w:rsidRDefault="004456FA" w:rsidP="00316B34">
      <w:pPr>
        <w:jc w:val="both"/>
        <w:rPr>
          <w:rFonts w:ascii="Arial" w:hAnsi="Arial" w:cs="Arial"/>
          <w:b/>
          <w:sz w:val="22"/>
          <w:szCs w:val="22"/>
        </w:rPr>
      </w:pPr>
    </w:p>
    <w:p w:rsidR="004456FA" w:rsidRPr="00316B34" w:rsidRDefault="004456FA" w:rsidP="00316B34">
      <w:pPr>
        <w:jc w:val="both"/>
        <w:rPr>
          <w:rFonts w:ascii="Arial" w:hAnsi="Arial" w:cs="Arial"/>
          <w:b/>
          <w:sz w:val="22"/>
          <w:szCs w:val="22"/>
        </w:rPr>
      </w:pPr>
    </w:p>
    <w:p w:rsidR="00316B34" w:rsidRPr="00316B34" w:rsidRDefault="00316B34" w:rsidP="00316B34">
      <w:pPr>
        <w:jc w:val="both"/>
        <w:rPr>
          <w:rFonts w:ascii="Arial" w:hAnsi="Arial" w:cs="Arial"/>
          <w:b/>
        </w:rPr>
      </w:pPr>
    </w:p>
    <w:p w:rsidR="007A5100" w:rsidRPr="00281A36" w:rsidRDefault="007A5100" w:rsidP="007A5100">
      <w:pPr>
        <w:ind w:right="596"/>
        <w:jc w:val="both"/>
        <w:rPr>
          <w:rFonts w:ascii="Arial" w:hAnsi="Arial" w:cs="Arial"/>
          <w:b/>
          <w:sz w:val="22"/>
          <w:szCs w:val="22"/>
        </w:rPr>
      </w:pPr>
      <w:r w:rsidRPr="00281A36">
        <w:rPr>
          <w:rFonts w:ascii="Arial" w:hAnsi="Arial" w:cs="Arial"/>
          <w:b/>
          <w:sz w:val="22"/>
          <w:szCs w:val="22"/>
        </w:rPr>
        <w:t xml:space="preserve">2.0.0.0.00.00.0.0.000 </w:t>
      </w:r>
      <w:r w:rsidR="00316B34" w:rsidRPr="00281A36">
        <w:rPr>
          <w:rFonts w:ascii="Arial" w:hAnsi="Arial" w:cs="Arial"/>
          <w:b/>
          <w:sz w:val="22"/>
          <w:szCs w:val="22"/>
        </w:rPr>
        <w:t>Ingresos de</w:t>
      </w:r>
      <w:r w:rsidRPr="00281A36">
        <w:rPr>
          <w:rFonts w:ascii="Arial" w:hAnsi="Arial" w:cs="Arial"/>
          <w:b/>
          <w:sz w:val="22"/>
          <w:szCs w:val="22"/>
        </w:rPr>
        <w:t xml:space="preserve"> Capital</w:t>
      </w:r>
    </w:p>
    <w:p w:rsidR="007A5100" w:rsidRPr="00281A36" w:rsidRDefault="007A5100" w:rsidP="007A5100">
      <w:pPr>
        <w:ind w:right="596"/>
        <w:jc w:val="both"/>
        <w:rPr>
          <w:rFonts w:ascii="Arial" w:hAnsi="Arial" w:cs="Arial"/>
          <w:b/>
          <w:sz w:val="22"/>
          <w:szCs w:val="22"/>
        </w:rPr>
      </w:pPr>
      <w:r w:rsidRPr="00281A36">
        <w:rPr>
          <w:rFonts w:ascii="Arial" w:hAnsi="Arial" w:cs="Arial"/>
          <w:b/>
          <w:sz w:val="22"/>
          <w:szCs w:val="22"/>
        </w:rPr>
        <w:t>2.3.2.0.00.00.0.0.000 Recuperación de Préstamos al Sector Privado</w:t>
      </w:r>
    </w:p>
    <w:p w:rsidR="007A5100" w:rsidRPr="00B22D4F" w:rsidRDefault="007A5100" w:rsidP="007A5100">
      <w:pPr>
        <w:ind w:right="596"/>
        <w:jc w:val="both"/>
        <w:rPr>
          <w:rFonts w:ascii="Arial" w:hAnsi="Arial" w:cs="Arial"/>
          <w:b/>
          <w:sz w:val="22"/>
          <w:szCs w:val="22"/>
        </w:rPr>
      </w:pPr>
    </w:p>
    <w:p w:rsidR="004456FA" w:rsidRPr="004456FA" w:rsidRDefault="004456FA" w:rsidP="004456FA">
      <w:pPr>
        <w:jc w:val="both"/>
        <w:rPr>
          <w:rFonts w:ascii="Arial" w:hAnsi="Arial" w:cs="Arial"/>
          <w:sz w:val="24"/>
          <w:szCs w:val="24"/>
        </w:rPr>
      </w:pPr>
      <w:r w:rsidRPr="004456FA">
        <w:rPr>
          <w:rFonts w:ascii="Arial" w:hAnsi="Arial" w:cs="Arial"/>
          <w:sz w:val="24"/>
          <w:szCs w:val="24"/>
        </w:rPr>
        <w:t xml:space="preserve">En esta subpartida se presupuestó la suma de </w:t>
      </w:r>
      <w:r w:rsidRPr="004456FA">
        <w:rPr>
          <w:rFonts w:ascii="Arial" w:hAnsi="Arial" w:cs="Arial"/>
          <w:b/>
          <w:sz w:val="24"/>
          <w:szCs w:val="24"/>
        </w:rPr>
        <w:t>¢231.402.933</w:t>
      </w:r>
      <w:r w:rsidRPr="004456FA">
        <w:rPr>
          <w:rFonts w:ascii="Arial" w:hAnsi="Arial" w:cs="Arial"/>
          <w:sz w:val="24"/>
          <w:szCs w:val="24"/>
        </w:rPr>
        <w:t xml:space="preserve"> de los cuales se recibió la suma total de </w:t>
      </w:r>
      <w:r w:rsidRPr="004456FA">
        <w:rPr>
          <w:rFonts w:ascii="Arial" w:hAnsi="Arial" w:cs="Arial"/>
          <w:b/>
          <w:sz w:val="24"/>
          <w:szCs w:val="24"/>
        </w:rPr>
        <w:t>¢554.750.825</w:t>
      </w:r>
      <w:r w:rsidRPr="004456FA">
        <w:rPr>
          <w:rFonts w:ascii="Arial" w:hAnsi="Arial" w:cs="Arial"/>
          <w:sz w:val="24"/>
          <w:szCs w:val="24"/>
        </w:rPr>
        <w:t xml:space="preserve"> equivalentes a un </w:t>
      </w:r>
      <w:r w:rsidRPr="004456FA">
        <w:rPr>
          <w:rFonts w:ascii="Arial" w:hAnsi="Arial" w:cs="Arial"/>
          <w:b/>
          <w:sz w:val="24"/>
          <w:szCs w:val="24"/>
        </w:rPr>
        <w:t>240%</w:t>
      </w:r>
      <w:r w:rsidRPr="004456FA">
        <w:rPr>
          <w:rFonts w:ascii="Arial" w:hAnsi="Arial" w:cs="Arial"/>
          <w:sz w:val="24"/>
          <w:szCs w:val="24"/>
        </w:rPr>
        <w:t xml:space="preserve"> de ejecución, de éste monto la suma de ¢358.073.361 fue captada durante del segundo semestre. Estos ingresos corresponden a la recuperación del capital de la cartera de crédito vigente.</w:t>
      </w:r>
    </w:p>
    <w:p w:rsidR="007A5100" w:rsidRPr="00281A36" w:rsidRDefault="007A5100" w:rsidP="007A5100">
      <w:pPr>
        <w:ind w:right="596"/>
        <w:jc w:val="both"/>
        <w:rPr>
          <w:rFonts w:ascii="Arial" w:hAnsi="Arial" w:cs="Arial"/>
          <w:b/>
          <w:sz w:val="22"/>
          <w:szCs w:val="22"/>
        </w:rPr>
      </w:pPr>
    </w:p>
    <w:p w:rsidR="003C4767" w:rsidRPr="00767C7C" w:rsidRDefault="003C4767" w:rsidP="007A5100">
      <w:pPr>
        <w:ind w:right="596"/>
        <w:jc w:val="both"/>
        <w:rPr>
          <w:rFonts w:ascii="Arial" w:hAnsi="Arial" w:cs="Arial"/>
          <w:b/>
          <w:sz w:val="24"/>
          <w:szCs w:val="24"/>
        </w:rPr>
      </w:pPr>
    </w:p>
    <w:p w:rsidR="007A5100" w:rsidRPr="00281A36" w:rsidRDefault="007A5100" w:rsidP="007A5100">
      <w:pPr>
        <w:ind w:right="596"/>
        <w:jc w:val="both"/>
        <w:rPr>
          <w:rFonts w:ascii="Arial" w:hAnsi="Arial" w:cs="Arial"/>
          <w:b/>
          <w:sz w:val="22"/>
          <w:szCs w:val="22"/>
        </w:rPr>
      </w:pPr>
      <w:r w:rsidRPr="00281A36">
        <w:rPr>
          <w:rFonts w:ascii="Arial" w:hAnsi="Arial" w:cs="Arial"/>
          <w:b/>
          <w:sz w:val="22"/>
          <w:szCs w:val="22"/>
        </w:rPr>
        <w:t xml:space="preserve">3.0.0.0.00.00.0.0.000 Financiamiento </w:t>
      </w:r>
    </w:p>
    <w:p w:rsidR="007A5100" w:rsidRPr="00281A36" w:rsidRDefault="007A5100" w:rsidP="007A5100">
      <w:pPr>
        <w:ind w:right="596"/>
        <w:jc w:val="both"/>
        <w:rPr>
          <w:rFonts w:ascii="Arial" w:hAnsi="Arial" w:cs="Arial"/>
          <w:b/>
          <w:sz w:val="22"/>
          <w:szCs w:val="22"/>
        </w:rPr>
      </w:pPr>
      <w:r w:rsidRPr="00281A36">
        <w:rPr>
          <w:rFonts w:ascii="Arial" w:hAnsi="Arial" w:cs="Arial"/>
          <w:b/>
          <w:sz w:val="22"/>
          <w:szCs w:val="22"/>
        </w:rPr>
        <w:t>3.3.0.0.00.00.0.0.000 Recursos de vigencias anteriores</w:t>
      </w:r>
    </w:p>
    <w:p w:rsidR="007A5100" w:rsidRPr="00281A36" w:rsidRDefault="007A5100" w:rsidP="007A5100">
      <w:pPr>
        <w:ind w:right="596"/>
        <w:jc w:val="both"/>
        <w:rPr>
          <w:rFonts w:ascii="Arial" w:hAnsi="Arial" w:cs="Arial"/>
          <w:sz w:val="22"/>
          <w:szCs w:val="22"/>
        </w:rPr>
      </w:pPr>
    </w:p>
    <w:p w:rsidR="00B22D4F" w:rsidRDefault="00B22D4F" w:rsidP="00B22D4F">
      <w:pPr>
        <w:jc w:val="both"/>
        <w:rPr>
          <w:rFonts w:ascii="Arial" w:hAnsi="Arial" w:cs="Arial"/>
          <w:sz w:val="22"/>
          <w:szCs w:val="22"/>
        </w:rPr>
      </w:pPr>
      <w:r w:rsidRPr="00B22D4F">
        <w:rPr>
          <w:rFonts w:ascii="Arial" w:hAnsi="Arial" w:cs="Arial"/>
          <w:sz w:val="22"/>
          <w:szCs w:val="22"/>
        </w:rPr>
        <w:t xml:space="preserve">Al cierre del ejercicio económico del periodo 2017 el Fideicomiso 544 FONAFIFO/Banco Nacional presentó recursos de superávit </w:t>
      </w:r>
      <w:r w:rsidR="000C07FB" w:rsidRPr="00B22D4F">
        <w:rPr>
          <w:rFonts w:ascii="Arial" w:hAnsi="Arial" w:cs="Arial"/>
          <w:sz w:val="22"/>
          <w:szCs w:val="22"/>
        </w:rPr>
        <w:t>específico acumulado por la suma de ¢ 1.707.586.514</w:t>
      </w:r>
      <w:r w:rsidRPr="00B22D4F">
        <w:rPr>
          <w:rFonts w:ascii="Arial" w:hAnsi="Arial" w:cs="Arial"/>
          <w:sz w:val="22"/>
          <w:szCs w:val="22"/>
        </w:rPr>
        <w:t>.</w:t>
      </w:r>
    </w:p>
    <w:p w:rsidR="000C07FB" w:rsidRPr="00B22D4F" w:rsidRDefault="000C07FB" w:rsidP="00B22D4F">
      <w:pPr>
        <w:jc w:val="both"/>
        <w:rPr>
          <w:rFonts w:ascii="Arial" w:hAnsi="Arial" w:cs="Arial"/>
          <w:sz w:val="22"/>
          <w:szCs w:val="22"/>
        </w:rPr>
      </w:pPr>
    </w:p>
    <w:p w:rsidR="00B22D4F" w:rsidRPr="00B22D4F" w:rsidRDefault="00B22D4F" w:rsidP="00B22D4F">
      <w:pPr>
        <w:jc w:val="both"/>
        <w:rPr>
          <w:rFonts w:ascii="Arial" w:hAnsi="Arial" w:cs="Arial"/>
          <w:sz w:val="22"/>
          <w:szCs w:val="22"/>
        </w:rPr>
      </w:pPr>
      <w:r w:rsidRPr="00B22D4F">
        <w:rPr>
          <w:rFonts w:ascii="Arial" w:hAnsi="Arial" w:cs="Arial"/>
          <w:sz w:val="22"/>
          <w:szCs w:val="22"/>
        </w:rPr>
        <w:t>De los recursos antes citados, la suma de ¢1.294.000.381 fue presupuestada para el financiamiento del presente presupuesto.</w:t>
      </w:r>
    </w:p>
    <w:p w:rsidR="001B75F5" w:rsidRPr="006661BD" w:rsidRDefault="001B75F5" w:rsidP="007A5100">
      <w:pPr>
        <w:ind w:right="596"/>
        <w:jc w:val="both"/>
        <w:rPr>
          <w:rFonts w:ascii="Arial" w:hAnsi="Arial" w:cs="Arial"/>
          <w:sz w:val="22"/>
          <w:szCs w:val="22"/>
        </w:rPr>
      </w:pPr>
    </w:p>
    <w:p w:rsidR="00982A07" w:rsidRDefault="00982A07" w:rsidP="00D929CB">
      <w:pPr>
        <w:pStyle w:val="Subttulo"/>
        <w:numPr>
          <w:ilvl w:val="0"/>
          <w:numId w:val="44"/>
        </w:numPr>
        <w:outlineLvl w:val="1"/>
      </w:pPr>
      <w:bookmarkStart w:id="2" w:name="_Toc520729572"/>
      <w:r w:rsidRPr="000D2F9E">
        <w:t>B Limitaciones</w:t>
      </w:r>
      <w:bookmarkEnd w:id="2"/>
      <w:r w:rsidRPr="000D2F9E">
        <w:t xml:space="preserve"> </w:t>
      </w:r>
    </w:p>
    <w:p w:rsidR="00D929CB" w:rsidRPr="000D2F9E" w:rsidRDefault="00D929CB" w:rsidP="00D929CB">
      <w:pPr>
        <w:pStyle w:val="Subttulo"/>
        <w:ind w:left="371" w:firstLine="0"/>
        <w:outlineLvl w:val="1"/>
      </w:pPr>
    </w:p>
    <w:p w:rsidR="00D929CB" w:rsidRPr="000D2F9E" w:rsidRDefault="00D929CB" w:rsidP="00D929CB">
      <w:pPr>
        <w:jc w:val="both"/>
        <w:rPr>
          <w:rFonts w:ascii="Arial" w:hAnsi="Arial" w:cs="Arial"/>
          <w:sz w:val="22"/>
          <w:szCs w:val="22"/>
        </w:rPr>
      </w:pPr>
      <w:r w:rsidRPr="000D2F9E">
        <w:rPr>
          <w:rFonts w:ascii="Arial" w:hAnsi="Arial" w:cs="Arial"/>
          <w:sz w:val="22"/>
          <w:szCs w:val="22"/>
        </w:rPr>
        <w:t>Con respecto a los ingresos provenientes de la donación TF 0A2303 que financia las actividades adicionales de preparación de la Estrategia REDD+, únicamente se recibi</w:t>
      </w:r>
      <w:r>
        <w:rPr>
          <w:rFonts w:ascii="Arial" w:hAnsi="Arial" w:cs="Arial"/>
          <w:sz w:val="22"/>
          <w:szCs w:val="22"/>
        </w:rPr>
        <w:t>ó</w:t>
      </w:r>
      <w:r w:rsidRPr="000D2F9E">
        <w:rPr>
          <w:rFonts w:ascii="Arial" w:hAnsi="Arial" w:cs="Arial"/>
          <w:sz w:val="22"/>
          <w:szCs w:val="22"/>
        </w:rPr>
        <w:t xml:space="preserve"> el </w:t>
      </w:r>
      <w:r>
        <w:rPr>
          <w:rFonts w:ascii="Arial" w:hAnsi="Arial" w:cs="Arial"/>
          <w:sz w:val="22"/>
          <w:szCs w:val="22"/>
        </w:rPr>
        <w:t>27%</w:t>
      </w:r>
      <w:r w:rsidRPr="000D2F9E">
        <w:rPr>
          <w:rFonts w:ascii="Arial" w:hAnsi="Arial" w:cs="Arial"/>
          <w:sz w:val="22"/>
          <w:szCs w:val="22"/>
        </w:rPr>
        <w:t xml:space="preserve"> del total presupuestado, esto se debe que la ejecución de egresos sufri</w:t>
      </w:r>
      <w:r>
        <w:rPr>
          <w:rFonts w:ascii="Arial" w:hAnsi="Arial" w:cs="Arial"/>
          <w:sz w:val="22"/>
          <w:szCs w:val="22"/>
        </w:rPr>
        <w:t>ó</w:t>
      </w:r>
      <w:r w:rsidRPr="000D2F9E">
        <w:rPr>
          <w:rFonts w:ascii="Arial" w:hAnsi="Arial" w:cs="Arial"/>
          <w:sz w:val="22"/>
          <w:szCs w:val="22"/>
        </w:rPr>
        <w:t xml:space="preserve"> retrasos, lo que afecta la solicitud de recursos ya que están supeditados a la ejecución y liquidación de los egresos. </w:t>
      </w:r>
    </w:p>
    <w:p w:rsidR="00982A07" w:rsidRPr="000D2F9E" w:rsidRDefault="00D929CB" w:rsidP="00D929CB">
      <w:pPr>
        <w:ind w:right="-113"/>
        <w:contextualSpacing/>
        <w:jc w:val="both"/>
        <w:rPr>
          <w:rFonts w:ascii="Arial" w:hAnsi="Arial" w:cs="Arial"/>
          <w:sz w:val="22"/>
          <w:szCs w:val="22"/>
        </w:rPr>
      </w:pPr>
      <w:r>
        <w:rPr>
          <w:rFonts w:ascii="Arial" w:hAnsi="Arial" w:cs="Arial"/>
          <w:sz w:val="22"/>
          <w:szCs w:val="22"/>
        </w:rPr>
        <w:t xml:space="preserve"> </w:t>
      </w:r>
    </w:p>
    <w:p w:rsidR="00651433" w:rsidRPr="000D2F9E" w:rsidRDefault="008E29E0" w:rsidP="00657822">
      <w:pPr>
        <w:ind w:right="-113"/>
        <w:contextualSpacing/>
        <w:jc w:val="both"/>
        <w:rPr>
          <w:rFonts w:ascii="Arial" w:hAnsi="Arial" w:cs="Arial"/>
          <w:sz w:val="22"/>
          <w:szCs w:val="22"/>
        </w:rPr>
      </w:pPr>
      <w:r>
        <w:rPr>
          <w:rFonts w:ascii="Arial" w:hAnsi="Arial" w:cs="Arial"/>
          <w:sz w:val="22"/>
          <w:szCs w:val="22"/>
        </w:rPr>
        <w:t xml:space="preserve">Sobre los ingresos provenientes del </w:t>
      </w:r>
      <w:r w:rsidR="00973E73" w:rsidRPr="000D2F9E">
        <w:rPr>
          <w:rFonts w:ascii="Arial" w:hAnsi="Arial" w:cs="Arial"/>
          <w:sz w:val="22"/>
          <w:szCs w:val="22"/>
        </w:rPr>
        <w:t>impuesto a la madera</w:t>
      </w:r>
      <w:r>
        <w:rPr>
          <w:rFonts w:ascii="Arial" w:hAnsi="Arial" w:cs="Arial"/>
          <w:sz w:val="22"/>
          <w:szCs w:val="22"/>
        </w:rPr>
        <w:t xml:space="preserve">, al cierre del periodo 2018 se recibió el </w:t>
      </w:r>
      <w:r w:rsidR="00606808" w:rsidRPr="000D2F9E">
        <w:rPr>
          <w:rFonts w:ascii="Arial" w:hAnsi="Arial" w:cs="Arial"/>
          <w:sz w:val="22"/>
          <w:szCs w:val="22"/>
        </w:rPr>
        <w:t xml:space="preserve"> </w:t>
      </w:r>
      <w:r>
        <w:rPr>
          <w:rFonts w:ascii="Arial" w:hAnsi="Arial" w:cs="Arial"/>
          <w:sz w:val="22"/>
          <w:szCs w:val="22"/>
        </w:rPr>
        <w:t>7</w:t>
      </w:r>
      <w:r w:rsidR="00606808" w:rsidRPr="000D2F9E">
        <w:rPr>
          <w:rFonts w:ascii="Arial" w:hAnsi="Arial" w:cs="Arial"/>
          <w:sz w:val="22"/>
          <w:szCs w:val="22"/>
        </w:rPr>
        <w:t xml:space="preserve">5% </w:t>
      </w:r>
      <w:r>
        <w:rPr>
          <w:rFonts w:ascii="Arial" w:hAnsi="Arial" w:cs="Arial"/>
          <w:sz w:val="22"/>
          <w:szCs w:val="22"/>
        </w:rPr>
        <w:t xml:space="preserve">de </w:t>
      </w:r>
      <w:r w:rsidR="00606808" w:rsidRPr="000D2F9E">
        <w:rPr>
          <w:rFonts w:ascii="Arial" w:hAnsi="Arial" w:cs="Arial"/>
          <w:sz w:val="22"/>
          <w:szCs w:val="22"/>
        </w:rPr>
        <w:t>lo</w:t>
      </w:r>
      <w:r>
        <w:rPr>
          <w:rFonts w:ascii="Arial" w:hAnsi="Arial" w:cs="Arial"/>
          <w:sz w:val="22"/>
          <w:szCs w:val="22"/>
        </w:rPr>
        <w:t xml:space="preserve"> presupuestado, esto se debió a que </w:t>
      </w:r>
      <w:r w:rsidR="00F432F8">
        <w:rPr>
          <w:rFonts w:ascii="Arial" w:hAnsi="Arial" w:cs="Arial"/>
          <w:sz w:val="22"/>
          <w:szCs w:val="22"/>
        </w:rPr>
        <w:t xml:space="preserve">la última transferencia de </w:t>
      </w:r>
      <w:r>
        <w:rPr>
          <w:rFonts w:ascii="Arial" w:hAnsi="Arial" w:cs="Arial"/>
          <w:sz w:val="22"/>
          <w:szCs w:val="22"/>
        </w:rPr>
        <w:t xml:space="preserve">recursos fue </w:t>
      </w:r>
      <w:r w:rsidR="00F432F8">
        <w:rPr>
          <w:rFonts w:ascii="Arial" w:hAnsi="Arial" w:cs="Arial"/>
          <w:sz w:val="22"/>
          <w:szCs w:val="22"/>
        </w:rPr>
        <w:t xml:space="preserve">recibida en </w:t>
      </w:r>
      <w:r>
        <w:rPr>
          <w:rFonts w:ascii="Arial" w:hAnsi="Arial" w:cs="Arial"/>
          <w:sz w:val="22"/>
          <w:szCs w:val="22"/>
        </w:rPr>
        <w:t>FONAFIFO</w:t>
      </w:r>
      <w:r w:rsidR="00F432F8">
        <w:rPr>
          <w:rFonts w:ascii="Arial" w:hAnsi="Arial" w:cs="Arial"/>
          <w:sz w:val="22"/>
          <w:szCs w:val="22"/>
        </w:rPr>
        <w:t xml:space="preserve"> posterior al cierre de la institución por vacaciones de fin de año, lo cual imposibilitó realizar la transferencia al Fideicomiso.</w:t>
      </w:r>
    </w:p>
    <w:p w:rsidR="009B7AF5" w:rsidRPr="000D2F9E" w:rsidRDefault="009B7AF5" w:rsidP="009B7AF5">
      <w:pPr>
        <w:ind w:right="-113"/>
        <w:contextualSpacing/>
        <w:jc w:val="both"/>
        <w:rPr>
          <w:rFonts w:ascii="Arial" w:hAnsi="Arial" w:cs="Arial"/>
          <w:sz w:val="22"/>
          <w:szCs w:val="22"/>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973E73" w:rsidRPr="00FC2809" w:rsidRDefault="00973E73" w:rsidP="00FC2809"/>
    <w:p w:rsidR="00982A07" w:rsidRPr="009B4919" w:rsidRDefault="00982A07" w:rsidP="009B4919">
      <w:pPr>
        <w:pStyle w:val="Ttulo1"/>
        <w:numPr>
          <w:ilvl w:val="0"/>
          <w:numId w:val="42"/>
        </w:numPr>
        <w:rPr>
          <w:rFonts w:ascii="Arial" w:hAnsi="Arial" w:cs="Arial"/>
          <w:b/>
          <w:szCs w:val="24"/>
        </w:rPr>
      </w:pPr>
      <w:bookmarkStart w:id="3" w:name="_Toc520729573"/>
      <w:r w:rsidRPr="009B4919">
        <w:rPr>
          <w:rFonts w:ascii="Arial" w:hAnsi="Arial" w:cs="Arial"/>
          <w:b/>
          <w:szCs w:val="24"/>
        </w:rPr>
        <w:t>Análisis del comportamiento de la ejecución de los Egresos</w:t>
      </w:r>
      <w:bookmarkEnd w:id="3"/>
    </w:p>
    <w:p w:rsidR="00175AC1" w:rsidRPr="0092503A" w:rsidRDefault="00175AC1" w:rsidP="0092503A">
      <w:pPr>
        <w:contextualSpacing/>
        <w:jc w:val="both"/>
        <w:rPr>
          <w:rFonts w:ascii="Arial" w:hAnsi="Arial" w:cs="Arial"/>
          <w:b/>
        </w:rPr>
      </w:pPr>
    </w:p>
    <w:p w:rsidR="00982A07" w:rsidRPr="00767C7C" w:rsidRDefault="00982A07" w:rsidP="00982A07">
      <w:pPr>
        <w:jc w:val="center"/>
        <w:rPr>
          <w:rFonts w:ascii="Arial" w:hAnsi="Arial" w:cs="Arial"/>
          <w:b/>
          <w:sz w:val="22"/>
          <w:szCs w:val="22"/>
        </w:rPr>
      </w:pPr>
      <w:r w:rsidRPr="00767C7C">
        <w:rPr>
          <w:rFonts w:ascii="Arial" w:hAnsi="Arial" w:cs="Arial"/>
          <w:b/>
          <w:sz w:val="22"/>
          <w:szCs w:val="22"/>
        </w:rPr>
        <w:t>FIDEICOMISO 544 FONAFIFO/BNCR</w:t>
      </w:r>
    </w:p>
    <w:p w:rsidR="00982A07" w:rsidRPr="00767C7C" w:rsidRDefault="00982A07" w:rsidP="00982A07">
      <w:pPr>
        <w:jc w:val="center"/>
        <w:rPr>
          <w:rFonts w:ascii="Arial" w:hAnsi="Arial" w:cs="Arial"/>
          <w:b/>
          <w:sz w:val="22"/>
          <w:szCs w:val="22"/>
        </w:rPr>
      </w:pPr>
      <w:r w:rsidRPr="00767C7C">
        <w:rPr>
          <w:rFonts w:ascii="Arial" w:hAnsi="Arial" w:cs="Arial"/>
          <w:b/>
          <w:sz w:val="22"/>
          <w:szCs w:val="22"/>
        </w:rPr>
        <w:t xml:space="preserve">Ejecución Presupuestaria de Egresos </w:t>
      </w:r>
    </w:p>
    <w:p w:rsidR="00973E73" w:rsidRDefault="00982A07" w:rsidP="00377EA2">
      <w:pPr>
        <w:jc w:val="center"/>
      </w:pPr>
      <w:r w:rsidRPr="00767C7C">
        <w:rPr>
          <w:rFonts w:ascii="Arial" w:hAnsi="Arial" w:cs="Arial"/>
          <w:b/>
          <w:sz w:val="22"/>
          <w:szCs w:val="22"/>
        </w:rPr>
        <w:t xml:space="preserve">Al </w:t>
      </w:r>
      <w:r w:rsidR="00315DD2">
        <w:rPr>
          <w:rFonts w:ascii="Arial" w:hAnsi="Arial" w:cs="Arial"/>
          <w:b/>
          <w:sz w:val="22"/>
          <w:szCs w:val="22"/>
        </w:rPr>
        <w:t>3</w:t>
      </w:r>
      <w:r w:rsidR="005A2FEC">
        <w:rPr>
          <w:rFonts w:ascii="Arial" w:hAnsi="Arial" w:cs="Arial"/>
          <w:b/>
          <w:sz w:val="22"/>
          <w:szCs w:val="22"/>
        </w:rPr>
        <w:t>1</w:t>
      </w:r>
      <w:r w:rsidR="00315DD2">
        <w:rPr>
          <w:rFonts w:ascii="Arial" w:hAnsi="Arial" w:cs="Arial"/>
          <w:b/>
          <w:sz w:val="22"/>
          <w:szCs w:val="22"/>
        </w:rPr>
        <w:t xml:space="preserve"> de </w:t>
      </w:r>
      <w:r w:rsidR="005A2FEC">
        <w:rPr>
          <w:rFonts w:ascii="Arial" w:hAnsi="Arial" w:cs="Arial"/>
          <w:b/>
          <w:sz w:val="22"/>
          <w:szCs w:val="22"/>
        </w:rPr>
        <w:t>diciembre</w:t>
      </w:r>
      <w:r w:rsidR="004C166E">
        <w:rPr>
          <w:rFonts w:ascii="Arial" w:hAnsi="Arial" w:cs="Arial"/>
          <w:b/>
          <w:sz w:val="22"/>
          <w:szCs w:val="22"/>
        </w:rPr>
        <w:t xml:space="preserve"> </w:t>
      </w:r>
      <w:r w:rsidR="00A13C3D">
        <w:rPr>
          <w:rFonts w:ascii="Arial" w:hAnsi="Arial" w:cs="Arial"/>
          <w:b/>
          <w:sz w:val="22"/>
          <w:szCs w:val="22"/>
        </w:rPr>
        <w:t>de</w:t>
      </w:r>
      <w:r w:rsidR="004B5E93">
        <w:rPr>
          <w:rFonts w:ascii="Arial" w:hAnsi="Arial" w:cs="Arial"/>
          <w:b/>
          <w:sz w:val="22"/>
          <w:szCs w:val="22"/>
        </w:rPr>
        <w:t>l</w:t>
      </w:r>
      <w:r w:rsidR="00A13C3D">
        <w:rPr>
          <w:rFonts w:ascii="Arial" w:hAnsi="Arial" w:cs="Arial"/>
          <w:b/>
          <w:sz w:val="22"/>
          <w:szCs w:val="22"/>
        </w:rPr>
        <w:t xml:space="preserve"> 201</w:t>
      </w:r>
      <w:r w:rsidR="004B5E93">
        <w:rPr>
          <w:rFonts w:ascii="Arial" w:hAnsi="Arial" w:cs="Arial"/>
          <w:b/>
          <w:sz w:val="22"/>
          <w:szCs w:val="22"/>
        </w:rPr>
        <w:t>8</w:t>
      </w:r>
    </w:p>
    <w:tbl>
      <w:tblPr>
        <w:tblW w:w="10632" w:type="dxa"/>
        <w:tblInd w:w="-289" w:type="dxa"/>
        <w:tblLayout w:type="fixed"/>
        <w:tblCellMar>
          <w:left w:w="70" w:type="dxa"/>
          <w:right w:w="70" w:type="dxa"/>
        </w:tblCellMar>
        <w:tblLook w:val="04A0" w:firstRow="1" w:lastRow="0" w:firstColumn="1" w:lastColumn="0" w:noHBand="0" w:noVBand="1"/>
      </w:tblPr>
      <w:tblGrid>
        <w:gridCol w:w="1257"/>
        <w:gridCol w:w="5690"/>
        <w:gridCol w:w="1417"/>
        <w:gridCol w:w="1134"/>
        <w:gridCol w:w="1134"/>
      </w:tblGrid>
      <w:tr w:rsidR="00377EA2" w:rsidRPr="00377EA2" w:rsidTr="00377EA2">
        <w:trPr>
          <w:trHeight w:val="258"/>
        </w:trPr>
        <w:tc>
          <w:tcPr>
            <w:tcW w:w="1257"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SUBPARTIDA</w:t>
            </w:r>
          </w:p>
        </w:tc>
        <w:tc>
          <w:tcPr>
            <w:tcW w:w="5690" w:type="dxa"/>
            <w:tcBorders>
              <w:top w:val="single" w:sz="4" w:space="0" w:color="auto"/>
              <w:left w:val="nil"/>
              <w:bottom w:val="single" w:sz="4" w:space="0" w:color="auto"/>
              <w:right w:val="single" w:sz="4" w:space="0" w:color="auto"/>
            </w:tcBorders>
            <w:shd w:val="clear" w:color="auto" w:fill="00B050"/>
            <w:noWrap/>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NOMBRE SUBPARTIDA</w:t>
            </w:r>
          </w:p>
        </w:tc>
        <w:tc>
          <w:tcPr>
            <w:tcW w:w="1417" w:type="dxa"/>
            <w:tcBorders>
              <w:top w:val="nil"/>
              <w:left w:val="nil"/>
              <w:bottom w:val="single" w:sz="4" w:space="0" w:color="auto"/>
              <w:right w:val="single" w:sz="4" w:space="0" w:color="auto"/>
            </w:tcBorders>
            <w:shd w:val="clear" w:color="auto" w:fill="00B050"/>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PRESUPUESTO APROBADO</w:t>
            </w:r>
          </w:p>
        </w:tc>
        <w:tc>
          <w:tcPr>
            <w:tcW w:w="1134" w:type="dxa"/>
            <w:tcBorders>
              <w:top w:val="nil"/>
              <w:left w:val="nil"/>
              <w:bottom w:val="single" w:sz="4" w:space="0" w:color="auto"/>
              <w:right w:val="single" w:sz="4" w:space="0" w:color="auto"/>
            </w:tcBorders>
            <w:shd w:val="clear" w:color="auto" w:fill="00B050"/>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EGRESOS REALES</w:t>
            </w:r>
          </w:p>
        </w:tc>
        <w:tc>
          <w:tcPr>
            <w:tcW w:w="1134" w:type="dxa"/>
            <w:tcBorders>
              <w:top w:val="nil"/>
              <w:left w:val="nil"/>
              <w:bottom w:val="single" w:sz="4" w:space="0" w:color="auto"/>
              <w:right w:val="single" w:sz="4" w:space="0" w:color="auto"/>
            </w:tcBorders>
            <w:shd w:val="clear" w:color="auto" w:fill="00B050"/>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 EJECUCIÓN</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0</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Remuneraciones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320.236.529</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293.384.413</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92%</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0.01.01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Sueldos para cargos fijos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227.695.746</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213.623.879</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94%</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0.01.05</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Suplencias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4.553.914</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0.03.03</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Décimotercer mes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18.928.075</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18.388.821</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97%</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0.04.01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Contribución patronal al Seguro de Salud de la Caja Costarricense del Seguro Social</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21.061.716</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19.933.701</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0.04.02</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Contribución patronal al Instituto Mixto de Ayuda Social</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1.138.326</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1.077.496</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0.04.03</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Contribución patronal al Instituto Nacional de Aprendizaje</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3.415.284</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3.232.489</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0.04.04</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Contribución patronal al Fondo de Desarrollo Social y Asignaciones Familiares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11.384.640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10.774.963</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0.04.05</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Contribución patronal al Banco Popular y Desarrollo Comunal</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1.138.326</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1.077.509</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0.05.01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Contribución Patronal al Seguro de Pensiones de la Caja Costarricense del Seguro Social</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11.566.800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10.947.362</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0.05.02</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Aporte Patronal al Régimen obligatorio de pensiones complementarias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3.415.284</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3.232.487</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0.05.03</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Aporte Patronal al Fondo de Capitalización Laboral</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6.830.724</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6.464.982</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0.05.05</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Contribución patronal a fondos administrados por entes privados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9.107.694</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4.630.725</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51%</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Servicios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2.844.164.957</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794.341.961</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28%</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1.01.01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Alquiler de edificios, locales y terrenos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40.456.420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22.318.335</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1.01.04</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Alquiler y derechos para telecomunicaciones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3.666.600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1.01.99</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Otros alquileres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8.671.800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298.075</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1.02.01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Servicio de agua y alcantarillado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853.722</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815.591</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96%</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1.02.02</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Servicio de energía eléctrica</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3.959.667</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3.616.327</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91%</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1.02.03</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Servicio de correo</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400.000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205.867</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51%</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1.02.04</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Servicio de telecomunicaciones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380.000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176.700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47%</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1.02.99</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Otros servicios básicos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1.190.710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815.550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68%</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1.03.01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Información</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10.720.000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7.856.215</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73%</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1.03.02</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Publicidad y propaganda</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32.890.400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8.012.231</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24%</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1.03.03</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Impresión, encuadernación y otros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36.392.200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1.776.898</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1.03.06</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Comisiones y gastos por servicios financieros y comerciales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135.891.390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135.891.390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100%</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1.03.07</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Servicios de transferencia electrónica de información</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30.974.000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359.250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1.04.02</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Servicios Jurídicos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51.156.000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19.136.150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37%</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1.04.03</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Servicios de Ingeniería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1.616.728.949</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328.153.322</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1.04.04</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Servicios de ciencias económicas y sociales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263.610.538</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78.408.446</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30%</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1.04.05</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Servicios de desarrollo de sistemas informáticos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66.930.000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1.04.06</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Servicios Generales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41.410.000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30.581.967</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74%</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1.04.99</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Otros servicios de gestión y apoyo</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392.021.400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107.135.520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27%</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1.05.01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Transporte dentro del país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23.280.000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4.065.201</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17%</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1.05.02</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Viáticos dentro del país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15.931.200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7.097.851</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45%</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1.05.03</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Transporte en el exterior</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8.613.600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3.516.616</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41%</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1.05.04</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Viáticos en el exterior</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11.640.000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5.928.246</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51%</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1.06.01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Seguros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8.392.000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7.221.837</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86%</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1.07.01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Actividades de capacitación</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4.656.000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1.08.01</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Mantenimiento de edificios, locales y terrenos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11.160.000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3.215.662</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29%</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1.08.05</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Mantenimiento y reparación de equipo de transporte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11.611.029</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97%</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1.08.07</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Mantenimiento y reparación de equipo y mobiliario de oficina</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2.300.000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2.260.652</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98%</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1.08.08</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Mantenimiento y reparación de equipo de cómputo y sistemas de información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3.711.600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1.338.450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36%</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1.09.02</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Impuestos sobre bienes inmuebles </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2.274.760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1.537.144</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68%</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1.09.99</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Otros impuestos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1.102.000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975.145</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88%</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1.99.02</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Intereses moratorios y multas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16.295</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33%</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1.99.05</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Deducibles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r w:rsidR="00377EA2" w:rsidRPr="00377EA2" w:rsidTr="00377EA2">
        <w:trPr>
          <w:trHeight w:val="153"/>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1.99.99</w:t>
            </w:r>
          </w:p>
        </w:tc>
        <w:tc>
          <w:tcPr>
            <w:tcW w:w="569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Otros servicios no especificados</w:t>
            </w:r>
          </w:p>
        </w:tc>
        <w:tc>
          <w:tcPr>
            <w:tcW w:w="1417"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250.000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1134"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bl>
    <w:p w:rsidR="00973E73" w:rsidRDefault="00973E73"/>
    <w:p w:rsidR="00A420C5" w:rsidRDefault="00A420C5"/>
    <w:p w:rsidR="00A420C5" w:rsidRDefault="00A420C5"/>
    <w:p w:rsidR="00A420C5" w:rsidRDefault="00A420C5"/>
    <w:p w:rsidR="00A420C5" w:rsidRDefault="00A420C5"/>
    <w:tbl>
      <w:tblPr>
        <w:tblW w:w="10323" w:type="dxa"/>
        <w:tblInd w:w="-289" w:type="dxa"/>
        <w:tblCellMar>
          <w:left w:w="70" w:type="dxa"/>
          <w:right w:w="70" w:type="dxa"/>
        </w:tblCellMar>
        <w:tblLook w:val="04A0" w:firstRow="1" w:lastRow="0" w:firstColumn="1" w:lastColumn="0" w:noHBand="0" w:noVBand="1"/>
      </w:tblPr>
      <w:tblGrid>
        <w:gridCol w:w="1189"/>
        <w:gridCol w:w="5800"/>
        <w:gridCol w:w="1350"/>
        <w:gridCol w:w="1164"/>
        <w:gridCol w:w="1074"/>
      </w:tblGrid>
      <w:tr w:rsidR="00377EA2" w:rsidRPr="00377EA2" w:rsidTr="00377EA2">
        <w:trPr>
          <w:trHeight w:val="386"/>
        </w:trPr>
        <w:tc>
          <w:tcPr>
            <w:tcW w:w="1187"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SUBPARTIDA</w:t>
            </w:r>
          </w:p>
        </w:tc>
        <w:tc>
          <w:tcPr>
            <w:tcW w:w="5800" w:type="dxa"/>
            <w:tcBorders>
              <w:top w:val="single" w:sz="4" w:space="0" w:color="auto"/>
              <w:left w:val="nil"/>
              <w:bottom w:val="single" w:sz="4" w:space="0" w:color="auto"/>
              <w:right w:val="single" w:sz="4" w:space="0" w:color="auto"/>
            </w:tcBorders>
            <w:shd w:val="clear" w:color="auto" w:fill="00B050"/>
            <w:noWrap/>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NOMBRE SUBPARTIDA</w:t>
            </w:r>
          </w:p>
        </w:tc>
        <w:tc>
          <w:tcPr>
            <w:tcW w:w="1255" w:type="dxa"/>
            <w:tcBorders>
              <w:top w:val="nil"/>
              <w:left w:val="nil"/>
              <w:bottom w:val="single" w:sz="4" w:space="0" w:color="auto"/>
              <w:right w:val="single" w:sz="4" w:space="0" w:color="auto"/>
            </w:tcBorders>
            <w:shd w:val="clear" w:color="auto" w:fill="00B050"/>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PRESUPUESTO APROBADO</w:t>
            </w:r>
          </w:p>
        </w:tc>
        <w:tc>
          <w:tcPr>
            <w:tcW w:w="1082" w:type="dxa"/>
            <w:tcBorders>
              <w:top w:val="nil"/>
              <w:left w:val="nil"/>
              <w:bottom w:val="single" w:sz="4" w:space="0" w:color="auto"/>
              <w:right w:val="single" w:sz="4" w:space="0" w:color="auto"/>
            </w:tcBorders>
            <w:shd w:val="clear" w:color="auto" w:fill="00B050"/>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EGRESOS REALES</w:t>
            </w:r>
          </w:p>
        </w:tc>
        <w:tc>
          <w:tcPr>
            <w:tcW w:w="998" w:type="dxa"/>
            <w:tcBorders>
              <w:top w:val="nil"/>
              <w:left w:val="nil"/>
              <w:bottom w:val="single" w:sz="4" w:space="0" w:color="auto"/>
              <w:right w:val="single" w:sz="4" w:space="0" w:color="auto"/>
            </w:tcBorders>
            <w:shd w:val="clear" w:color="auto" w:fill="00B050"/>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 EJECUCIÓN</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2</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Materiales y Suministros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105.110.059</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34.020.484</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32%</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2.01.04</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Tintas, pinturas y diluyentes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15.000.000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10.989.890</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73%</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2.02.03</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Alimentos y bebidas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76.570.270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17.684.426</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23%</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2.03.01</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Materiales y productos metálicos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762.750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762.750</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2.03.04</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Materiales y productos eléctricos, telefónicos y cómputo </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1.920.600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2.03.05</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Materiales y productos de vidrio</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82.644</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79.601</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96%</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2.04.01</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Herramientas e instrumentos </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121.308</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121.308</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2.04.02</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Repuestos y accesorios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1.900.000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172.550</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2.99.01</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Útiles y materiales de oficina y cómputo</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2.910.000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425.007</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15%</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2.99.03</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Productos de papel, cartón e impresos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3.399.000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2.534.649</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75%</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2.99.04</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Textiles y vestuario </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943.487</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943.487</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2.99.05</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Útiles y materiales de limpieza</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1.500.000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306.816</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3</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Intereses y comisiones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5.250.000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3.403.624</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65%</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3.04.05</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Diferencias por tipo de cambio</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5.250.000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3.403.624</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65%</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4</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Activos Financieros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991.000.000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923.373.132</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93%</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4.01.07</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Préstamos al Sector Privado </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991.000.000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923.373.132</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93%</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5</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Bienes Duraderos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169.814.511</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101.437.983</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60%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5.01.02</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Equipo de transporte</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57.036.000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25.492.044</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45%</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5.01.03</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Equipo de comunicación</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1.369.446</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5.01.04</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 xml:space="preserve">Equipo y mobiliario de oficina </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3.891.380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2.931.358</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75%</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5.01.05</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Equipo y programas de cómputo</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83.917.585</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54.232.051</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65%</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5.01.99</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Maquinaria, equipo y mobiliario diverso</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8.730.000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8.677.245</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99%</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5.99.03</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Bienes intangibles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14.870.100</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10.105.285</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68%</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6</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Transferencias Corrientes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57.244.446</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13.545.576</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24%</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6.02.99</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Otras transferencias a personas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2.852.766</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2.215.914</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78%</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6.03.01</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Prestaciones Legales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52.686.942</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10.696.252</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20%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6.03.99</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Otras prestaciones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1.704.738</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633.410</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37%</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9</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Cuentas Especiales</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50.757.888</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0</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b/>
                <w:bCs/>
                <w:color w:val="000000"/>
                <w:sz w:val="16"/>
                <w:szCs w:val="16"/>
                <w:lang w:val="es-MX" w:eastAsia="es-MX"/>
              </w:rPr>
            </w:pPr>
            <w:r w:rsidRPr="00377EA2">
              <w:rPr>
                <w:rFonts w:ascii="Arial" w:eastAsia="Times New Roman" w:hAnsi="Arial" w:cs="Arial"/>
                <w:b/>
                <w:bCs/>
                <w:color w:val="000000"/>
                <w:sz w:val="16"/>
                <w:szCs w:val="16"/>
                <w:lang w:val="es-MX" w:eastAsia="es-MX"/>
              </w:rPr>
              <w:t>0%</w:t>
            </w:r>
          </w:p>
        </w:tc>
      </w:tr>
      <w:tr w:rsidR="00377EA2" w:rsidRPr="00377EA2" w:rsidTr="00377EA2">
        <w:trPr>
          <w:trHeight w:val="251"/>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9.02.02</w:t>
            </w:r>
          </w:p>
        </w:tc>
        <w:tc>
          <w:tcPr>
            <w:tcW w:w="5800"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Sumas con destino específico sin asignación presupuestaria</w:t>
            </w:r>
          </w:p>
        </w:tc>
        <w:tc>
          <w:tcPr>
            <w:tcW w:w="1255"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50.757.888</w:t>
            </w:r>
          </w:p>
        </w:tc>
        <w:tc>
          <w:tcPr>
            <w:tcW w:w="1082"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c>
          <w:tcPr>
            <w:tcW w:w="998" w:type="dxa"/>
            <w:tcBorders>
              <w:top w:val="nil"/>
              <w:left w:val="nil"/>
              <w:bottom w:val="single" w:sz="4" w:space="0" w:color="auto"/>
              <w:right w:val="single" w:sz="4" w:space="0" w:color="auto"/>
            </w:tcBorders>
            <w:shd w:val="clear" w:color="auto" w:fill="auto"/>
            <w:noWrap/>
            <w:vAlign w:val="bottom"/>
            <w:hideMark/>
          </w:tcPr>
          <w:p w:rsidR="00377EA2" w:rsidRPr="00377EA2" w:rsidRDefault="00377EA2" w:rsidP="00377EA2">
            <w:pPr>
              <w:jc w:val="right"/>
              <w:rPr>
                <w:rFonts w:ascii="Arial" w:eastAsia="Times New Roman" w:hAnsi="Arial" w:cs="Arial"/>
                <w:color w:val="000000"/>
                <w:sz w:val="16"/>
                <w:szCs w:val="16"/>
                <w:lang w:val="es-MX" w:eastAsia="es-MX"/>
              </w:rPr>
            </w:pPr>
            <w:r w:rsidRPr="00377EA2">
              <w:rPr>
                <w:rFonts w:ascii="Arial" w:eastAsia="Times New Roman" w:hAnsi="Arial" w:cs="Arial"/>
                <w:color w:val="000000"/>
                <w:sz w:val="16"/>
                <w:szCs w:val="16"/>
                <w:lang w:val="es-MX" w:eastAsia="es-MX"/>
              </w:rPr>
              <w:t>0%</w:t>
            </w:r>
          </w:p>
        </w:tc>
      </w:tr>
      <w:tr w:rsidR="00377EA2" w:rsidRPr="00377EA2" w:rsidTr="00377EA2">
        <w:trPr>
          <w:trHeight w:val="231"/>
        </w:trPr>
        <w:tc>
          <w:tcPr>
            <w:tcW w:w="6988" w:type="dxa"/>
            <w:gridSpan w:val="2"/>
            <w:tcBorders>
              <w:top w:val="single" w:sz="4" w:space="0" w:color="auto"/>
              <w:left w:val="single" w:sz="4" w:space="0" w:color="auto"/>
              <w:bottom w:val="nil"/>
              <w:right w:val="single" w:sz="4" w:space="0" w:color="000000"/>
            </w:tcBorders>
            <w:shd w:val="clear" w:color="auto" w:fill="00B050"/>
            <w:noWrap/>
            <w:vAlign w:val="center"/>
            <w:hideMark/>
          </w:tcPr>
          <w:p w:rsidR="00377EA2" w:rsidRPr="00377EA2" w:rsidRDefault="00377EA2" w:rsidP="00377EA2">
            <w:pPr>
              <w:jc w:val="center"/>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TOTALES</w:t>
            </w:r>
          </w:p>
        </w:tc>
        <w:tc>
          <w:tcPr>
            <w:tcW w:w="1255" w:type="dxa"/>
            <w:tcBorders>
              <w:top w:val="nil"/>
              <w:left w:val="nil"/>
              <w:bottom w:val="nil"/>
              <w:right w:val="single" w:sz="4" w:space="0" w:color="auto"/>
            </w:tcBorders>
            <w:shd w:val="clear" w:color="auto" w:fill="00B050"/>
            <w:noWrap/>
            <w:vAlign w:val="center"/>
            <w:hideMark/>
          </w:tcPr>
          <w:p w:rsidR="00377EA2" w:rsidRPr="00377EA2" w:rsidRDefault="00377EA2" w:rsidP="00377EA2">
            <w:pPr>
              <w:jc w:val="right"/>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4.543.578.389</w:t>
            </w:r>
          </w:p>
        </w:tc>
        <w:tc>
          <w:tcPr>
            <w:tcW w:w="1082" w:type="dxa"/>
            <w:tcBorders>
              <w:top w:val="nil"/>
              <w:left w:val="nil"/>
              <w:bottom w:val="nil"/>
              <w:right w:val="single" w:sz="4" w:space="0" w:color="auto"/>
            </w:tcBorders>
            <w:shd w:val="clear" w:color="auto" w:fill="00B050"/>
            <w:noWrap/>
            <w:vAlign w:val="center"/>
            <w:hideMark/>
          </w:tcPr>
          <w:p w:rsidR="00377EA2" w:rsidRPr="00377EA2" w:rsidRDefault="00377EA2" w:rsidP="00377EA2">
            <w:pPr>
              <w:jc w:val="right"/>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2.163.507.174</w:t>
            </w:r>
          </w:p>
        </w:tc>
        <w:tc>
          <w:tcPr>
            <w:tcW w:w="998" w:type="dxa"/>
            <w:tcBorders>
              <w:top w:val="nil"/>
              <w:left w:val="nil"/>
              <w:bottom w:val="nil"/>
              <w:right w:val="single" w:sz="4" w:space="0" w:color="auto"/>
            </w:tcBorders>
            <w:shd w:val="clear" w:color="auto" w:fill="00B050"/>
            <w:noWrap/>
            <w:vAlign w:val="center"/>
            <w:hideMark/>
          </w:tcPr>
          <w:p w:rsidR="00377EA2" w:rsidRPr="00377EA2" w:rsidRDefault="00377EA2" w:rsidP="00377EA2">
            <w:pPr>
              <w:jc w:val="right"/>
              <w:rPr>
                <w:rFonts w:ascii="Arial" w:eastAsia="Times New Roman" w:hAnsi="Arial" w:cs="Arial"/>
                <w:b/>
                <w:bCs/>
                <w:sz w:val="16"/>
                <w:szCs w:val="16"/>
                <w:lang w:val="es-MX" w:eastAsia="es-MX"/>
              </w:rPr>
            </w:pPr>
            <w:r w:rsidRPr="00377EA2">
              <w:rPr>
                <w:rFonts w:ascii="Arial" w:eastAsia="Times New Roman" w:hAnsi="Arial" w:cs="Arial"/>
                <w:b/>
                <w:bCs/>
                <w:sz w:val="16"/>
                <w:szCs w:val="16"/>
                <w:lang w:val="es-MX" w:eastAsia="es-MX"/>
              </w:rPr>
              <w:t>48%</w:t>
            </w:r>
          </w:p>
        </w:tc>
      </w:tr>
    </w:tbl>
    <w:p w:rsidR="00A420C5" w:rsidRDefault="00A420C5"/>
    <w:p w:rsidR="00A420C5" w:rsidRDefault="00A420C5"/>
    <w:p w:rsidR="00A420C5" w:rsidRDefault="00A420C5"/>
    <w:p w:rsidR="00A420C5" w:rsidRDefault="00A420C5"/>
    <w:p w:rsidR="00A420C5" w:rsidRDefault="00A420C5"/>
    <w:p w:rsidR="00A420C5" w:rsidRDefault="00A420C5"/>
    <w:p w:rsidR="00A420C5" w:rsidRDefault="00A420C5"/>
    <w:p w:rsidR="00A420C5" w:rsidRDefault="00A420C5"/>
    <w:p w:rsidR="00A420C5" w:rsidRDefault="00A420C5"/>
    <w:p w:rsidR="00A420C5" w:rsidRDefault="00A420C5"/>
    <w:p w:rsidR="00E1734D" w:rsidRDefault="00E1734D"/>
    <w:p w:rsidR="00E1734D" w:rsidRDefault="00E1734D"/>
    <w:p w:rsidR="00E1734D" w:rsidRDefault="00E1734D"/>
    <w:p w:rsidR="000266BF" w:rsidRPr="00767C7C" w:rsidRDefault="000266BF" w:rsidP="00982A07">
      <w:pPr>
        <w:tabs>
          <w:tab w:val="left" w:pos="9072"/>
          <w:tab w:val="left" w:pos="9498"/>
          <w:tab w:val="left" w:pos="9781"/>
        </w:tabs>
        <w:ind w:right="567"/>
        <w:rPr>
          <w:rFonts w:ascii="Arial" w:hAnsi="Arial" w:cs="Arial"/>
          <w:b/>
          <w:sz w:val="22"/>
          <w:szCs w:val="22"/>
          <w:u w:val="single"/>
        </w:rPr>
      </w:pPr>
    </w:p>
    <w:p w:rsidR="000266BF" w:rsidRPr="00767C7C" w:rsidRDefault="000266BF" w:rsidP="00982A07">
      <w:pPr>
        <w:tabs>
          <w:tab w:val="left" w:pos="9072"/>
          <w:tab w:val="left" w:pos="9498"/>
          <w:tab w:val="left" w:pos="9781"/>
        </w:tabs>
        <w:ind w:right="567"/>
        <w:rPr>
          <w:rFonts w:ascii="Arial" w:hAnsi="Arial" w:cs="Arial"/>
          <w:b/>
          <w:sz w:val="22"/>
          <w:szCs w:val="22"/>
          <w:u w:val="single"/>
        </w:rPr>
      </w:pPr>
    </w:p>
    <w:p w:rsidR="000266BF" w:rsidRDefault="000266BF" w:rsidP="00982A07">
      <w:pPr>
        <w:tabs>
          <w:tab w:val="left" w:pos="9072"/>
          <w:tab w:val="left" w:pos="9498"/>
          <w:tab w:val="left" w:pos="9781"/>
        </w:tabs>
        <w:ind w:right="567"/>
        <w:rPr>
          <w:rFonts w:ascii="Arial" w:hAnsi="Arial" w:cs="Arial"/>
          <w:b/>
          <w:sz w:val="22"/>
          <w:szCs w:val="22"/>
          <w:u w:val="single"/>
        </w:rPr>
      </w:pPr>
    </w:p>
    <w:p w:rsidR="00613951" w:rsidRDefault="00613951" w:rsidP="00982A07">
      <w:pPr>
        <w:tabs>
          <w:tab w:val="left" w:pos="9072"/>
          <w:tab w:val="left" w:pos="9498"/>
          <w:tab w:val="left" w:pos="9781"/>
        </w:tabs>
        <w:ind w:right="567"/>
        <w:rPr>
          <w:rFonts w:ascii="Arial" w:hAnsi="Arial" w:cs="Arial"/>
          <w:b/>
          <w:sz w:val="22"/>
          <w:szCs w:val="22"/>
          <w:u w:val="single"/>
        </w:rPr>
      </w:pPr>
    </w:p>
    <w:p w:rsidR="00613951" w:rsidRPr="00767C7C" w:rsidRDefault="00613951" w:rsidP="00982A07">
      <w:pPr>
        <w:tabs>
          <w:tab w:val="left" w:pos="9072"/>
          <w:tab w:val="left" w:pos="9498"/>
          <w:tab w:val="left" w:pos="9781"/>
        </w:tabs>
        <w:ind w:right="567"/>
        <w:rPr>
          <w:rFonts w:ascii="Arial" w:hAnsi="Arial" w:cs="Arial"/>
          <w:b/>
          <w:sz w:val="22"/>
          <w:szCs w:val="22"/>
          <w:u w:val="single"/>
        </w:rPr>
      </w:pPr>
    </w:p>
    <w:p w:rsidR="000266BF" w:rsidRPr="00767C7C" w:rsidRDefault="000266BF" w:rsidP="00982A07">
      <w:pPr>
        <w:tabs>
          <w:tab w:val="left" w:pos="9072"/>
          <w:tab w:val="left" w:pos="9498"/>
          <w:tab w:val="left" w:pos="9781"/>
        </w:tabs>
        <w:ind w:right="567"/>
        <w:rPr>
          <w:rFonts w:ascii="Arial" w:hAnsi="Arial" w:cs="Arial"/>
          <w:b/>
          <w:sz w:val="22"/>
          <w:szCs w:val="22"/>
          <w:u w:val="single"/>
        </w:rPr>
      </w:pPr>
    </w:p>
    <w:p w:rsidR="00982A07" w:rsidRPr="009B4919" w:rsidRDefault="00982A07" w:rsidP="009B4919">
      <w:pPr>
        <w:pStyle w:val="Ttulo2"/>
        <w:jc w:val="left"/>
        <w:rPr>
          <w:rFonts w:cs="Arial"/>
          <w:sz w:val="22"/>
          <w:szCs w:val="22"/>
        </w:rPr>
      </w:pPr>
      <w:bookmarkStart w:id="4" w:name="_Toc520729574"/>
      <w:r w:rsidRPr="009B4919">
        <w:rPr>
          <w:rFonts w:cs="Arial"/>
          <w:sz w:val="22"/>
          <w:szCs w:val="22"/>
        </w:rPr>
        <w:t>2. A. Comentarios sobre la Ejecución de los Egresos</w:t>
      </w:r>
      <w:bookmarkEnd w:id="4"/>
    </w:p>
    <w:p w:rsidR="00982A07" w:rsidRPr="00767C7C" w:rsidRDefault="00982A07" w:rsidP="00FD2291">
      <w:pPr>
        <w:tabs>
          <w:tab w:val="left" w:pos="9072"/>
          <w:tab w:val="left" w:pos="9498"/>
          <w:tab w:val="left" w:pos="9639"/>
          <w:tab w:val="left" w:pos="9781"/>
        </w:tabs>
        <w:ind w:left="720" w:right="567"/>
        <w:jc w:val="both"/>
        <w:rPr>
          <w:rFonts w:ascii="Arial" w:hAnsi="Arial" w:cs="Arial"/>
          <w:b/>
        </w:rPr>
      </w:pPr>
    </w:p>
    <w:p w:rsidR="00FD2291" w:rsidRPr="00767C7C" w:rsidRDefault="00FD2291" w:rsidP="00982A07">
      <w:pPr>
        <w:tabs>
          <w:tab w:val="left" w:pos="9072"/>
          <w:tab w:val="left" w:pos="9498"/>
          <w:tab w:val="left" w:pos="9639"/>
          <w:tab w:val="left" w:pos="9781"/>
        </w:tabs>
        <w:ind w:left="720" w:right="567"/>
        <w:jc w:val="center"/>
        <w:rPr>
          <w:rFonts w:ascii="Arial" w:hAnsi="Arial" w:cs="Arial"/>
          <w:b/>
          <w:sz w:val="22"/>
          <w:szCs w:val="22"/>
        </w:rPr>
      </w:pPr>
    </w:p>
    <w:p w:rsidR="005633A4" w:rsidRPr="005633A4" w:rsidRDefault="005633A4" w:rsidP="005633A4">
      <w:pPr>
        <w:jc w:val="both"/>
        <w:rPr>
          <w:rFonts w:ascii="Century Gothic" w:eastAsia="Times New Roman" w:hAnsi="Century Gothic" w:cs="Calibri"/>
          <w:b/>
          <w:bCs/>
          <w:color w:val="FFFFFF"/>
          <w:sz w:val="24"/>
          <w:szCs w:val="24"/>
          <w:lang w:eastAsia="es-CR"/>
        </w:rPr>
      </w:pPr>
      <w:r w:rsidRPr="005633A4">
        <w:rPr>
          <w:rFonts w:ascii="Arial" w:hAnsi="Arial" w:cs="Arial"/>
          <w:sz w:val="24"/>
          <w:szCs w:val="24"/>
        </w:rPr>
        <w:t xml:space="preserve">La institución presupuestó egresos por la suma de </w:t>
      </w:r>
      <w:r w:rsidRPr="005633A4">
        <w:rPr>
          <w:rFonts w:ascii="Arial" w:hAnsi="Arial" w:cs="Arial"/>
          <w:b/>
          <w:sz w:val="24"/>
          <w:szCs w:val="24"/>
        </w:rPr>
        <w:t>¢4.543.578.389,</w:t>
      </w:r>
      <w:r w:rsidRPr="005633A4">
        <w:rPr>
          <w:rFonts w:ascii="Arial" w:hAnsi="Arial" w:cs="Arial"/>
          <w:sz w:val="24"/>
          <w:szCs w:val="24"/>
        </w:rPr>
        <w:t xml:space="preserve"> de los cuales, al cierre del primer semestre, se ejecutó un total </w:t>
      </w:r>
      <w:r w:rsidRPr="005633A4">
        <w:rPr>
          <w:rFonts w:ascii="Arial" w:hAnsi="Arial" w:cs="Arial"/>
          <w:b/>
          <w:sz w:val="24"/>
          <w:szCs w:val="24"/>
        </w:rPr>
        <w:t xml:space="preserve">¢785.087.166, </w:t>
      </w:r>
      <w:r w:rsidRPr="005633A4">
        <w:rPr>
          <w:rFonts w:ascii="Arial" w:hAnsi="Arial" w:cs="Arial"/>
          <w:sz w:val="24"/>
          <w:szCs w:val="24"/>
        </w:rPr>
        <w:t xml:space="preserve">lo que equivale a una ejecución del </w:t>
      </w:r>
      <w:r w:rsidRPr="005633A4">
        <w:rPr>
          <w:rFonts w:ascii="Arial" w:hAnsi="Arial" w:cs="Arial"/>
          <w:b/>
          <w:sz w:val="24"/>
          <w:szCs w:val="24"/>
        </w:rPr>
        <w:t>17%.</w:t>
      </w:r>
      <w:r w:rsidRPr="005633A4">
        <w:rPr>
          <w:rFonts w:ascii="Arial" w:hAnsi="Arial" w:cs="Arial"/>
          <w:sz w:val="24"/>
          <w:szCs w:val="24"/>
        </w:rPr>
        <w:t xml:space="preserve"> A continuación, se detallan algunos aspectos relevantes en los diferentes grupos de egresos.</w:t>
      </w:r>
    </w:p>
    <w:p w:rsidR="004E2A26" w:rsidRPr="005633A4" w:rsidRDefault="004E2A26" w:rsidP="00B35EE5">
      <w:pPr>
        <w:ind w:right="596"/>
        <w:jc w:val="both"/>
        <w:rPr>
          <w:rFonts w:ascii="Arial" w:hAnsi="Arial" w:cs="Arial"/>
          <w:sz w:val="24"/>
          <w:szCs w:val="24"/>
          <w:lang w:val="es-MX"/>
        </w:rPr>
      </w:pPr>
    </w:p>
    <w:p w:rsidR="00F2113C" w:rsidRPr="00442942" w:rsidRDefault="00442942" w:rsidP="00665D3C">
      <w:pPr>
        <w:pStyle w:val="Prrafodelista"/>
        <w:numPr>
          <w:ilvl w:val="0"/>
          <w:numId w:val="45"/>
        </w:numPr>
        <w:ind w:right="596"/>
        <w:jc w:val="both"/>
        <w:rPr>
          <w:rFonts w:ascii="Arial" w:hAnsi="Arial" w:cs="Arial"/>
          <w:sz w:val="24"/>
          <w:szCs w:val="24"/>
          <w:lang w:val="es-MX"/>
        </w:rPr>
      </w:pPr>
      <w:r w:rsidRPr="00442942">
        <w:rPr>
          <w:rFonts w:ascii="Arial" w:hAnsi="Arial" w:cs="Arial"/>
          <w:b/>
        </w:rPr>
        <w:t>REMUNERACIONES</w:t>
      </w:r>
    </w:p>
    <w:p w:rsidR="0092503A" w:rsidRPr="00442942" w:rsidRDefault="00442942" w:rsidP="00442942">
      <w:pPr>
        <w:ind w:left="360" w:right="432"/>
        <w:jc w:val="both"/>
        <w:rPr>
          <w:rFonts w:ascii="Arial" w:hAnsi="Arial" w:cs="Arial"/>
          <w:sz w:val="24"/>
          <w:szCs w:val="24"/>
        </w:rPr>
      </w:pPr>
      <w:r w:rsidRPr="00442942">
        <w:rPr>
          <w:rFonts w:ascii="Arial" w:hAnsi="Arial" w:cs="Arial"/>
          <w:sz w:val="24"/>
          <w:szCs w:val="24"/>
        </w:rPr>
        <w:t xml:space="preserve">En esta partida se presupuestó la suma de </w:t>
      </w:r>
      <w:r w:rsidRPr="00442942">
        <w:rPr>
          <w:rFonts w:ascii="Arial" w:hAnsi="Arial" w:cs="Arial"/>
          <w:b/>
          <w:sz w:val="24"/>
          <w:szCs w:val="24"/>
        </w:rPr>
        <w:t>¢320.236.529</w:t>
      </w:r>
      <w:r w:rsidRPr="00442942">
        <w:rPr>
          <w:rFonts w:ascii="Arial" w:hAnsi="Arial" w:cs="Arial"/>
          <w:sz w:val="24"/>
          <w:szCs w:val="24"/>
        </w:rPr>
        <w:t xml:space="preserve">, y se logró ejecutar un monto de </w:t>
      </w:r>
      <w:r w:rsidRPr="00442942">
        <w:rPr>
          <w:rFonts w:ascii="Arial" w:hAnsi="Arial" w:cs="Arial"/>
          <w:b/>
          <w:sz w:val="24"/>
          <w:szCs w:val="24"/>
        </w:rPr>
        <w:t>¢293.384.413</w:t>
      </w:r>
      <w:r w:rsidRPr="00442942">
        <w:rPr>
          <w:rFonts w:ascii="Arial" w:hAnsi="Arial" w:cs="Arial"/>
          <w:sz w:val="24"/>
          <w:szCs w:val="24"/>
        </w:rPr>
        <w:t xml:space="preserve"> equivalente a un </w:t>
      </w:r>
      <w:r w:rsidRPr="00442942">
        <w:rPr>
          <w:rFonts w:ascii="Arial" w:hAnsi="Arial" w:cs="Arial"/>
          <w:b/>
          <w:sz w:val="24"/>
          <w:szCs w:val="24"/>
        </w:rPr>
        <w:t>92%</w:t>
      </w:r>
      <w:r w:rsidRPr="00442942">
        <w:rPr>
          <w:rFonts w:ascii="Arial" w:hAnsi="Arial" w:cs="Arial"/>
          <w:sz w:val="24"/>
          <w:szCs w:val="24"/>
        </w:rPr>
        <w:t xml:space="preserve">, del monto indicado durante el segundo semestre se dieron egresos por la suma de </w:t>
      </w:r>
      <w:r w:rsidRPr="00442942">
        <w:rPr>
          <w:rFonts w:ascii="Arial" w:hAnsi="Arial" w:cs="Arial"/>
          <w:b/>
          <w:sz w:val="24"/>
          <w:szCs w:val="24"/>
        </w:rPr>
        <w:t>¢154.728.203</w:t>
      </w:r>
      <w:r w:rsidRPr="00442942">
        <w:rPr>
          <w:rFonts w:ascii="Arial" w:hAnsi="Arial" w:cs="Arial"/>
          <w:sz w:val="24"/>
          <w:szCs w:val="24"/>
        </w:rPr>
        <w:t>. Con estos recursos se realizó el pago de 26 plazas que incluye personal contratado por medio del Proyecto Ecomercados II. Su base legal se sustenta en la aprobación del contrato de préstamo No. 7388-CR y sus anexos entre la República de Costa Rica y el Banco Internacional de Reconstrucción y Fomento (BIRF).</w:t>
      </w:r>
    </w:p>
    <w:p w:rsidR="00374598" w:rsidRPr="0087717F" w:rsidRDefault="00374598" w:rsidP="00B35EE5">
      <w:pPr>
        <w:ind w:left="708" w:right="596"/>
        <w:jc w:val="both"/>
        <w:rPr>
          <w:rFonts w:ascii="Arial" w:hAnsi="Arial" w:cs="Arial"/>
          <w:sz w:val="22"/>
          <w:szCs w:val="22"/>
        </w:rPr>
      </w:pPr>
    </w:p>
    <w:p w:rsidR="005216C3" w:rsidRPr="0087717F" w:rsidRDefault="005216C3" w:rsidP="00B35EE5">
      <w:pPr>
        <w:numPr>
          <w:ilvl w:val="0"/>
          <w:numId w:val="1"/>
        </w:numPr>
        <w:ind w:right="596"/>
        <w:jc w:val="both"/>
        <w:rPr>
          <w:rFonts w:ascii="Arial" w:hAnsi="Arial" w:cs="Arial"/>
          <w:b/>
          <w:bCs/>
          <w:sz w:val="22"/>
          <w:szCs w:val="22"/>
          <w:lang w:val="es-MX"/>
        </w:rPr>
      </w:pPr>
      <w:r w:rsidRPr="0087717F">
        <w:rPr>
          <w:rFonts w:ascii="Arial" w:hAnsi="Arial" w:cs="Arial"/>
          <w:b/>
          <w:bCs/>
          <w:sz w:val="22"/>
          <w:szCs w:val="22"/>
          <w:lang w:val="es-MX"/>
        </w:rPr>
        <w:t>S</w:t>
      </w:r>
      <w:r w:rsidR="00442942">
        <w:rPr>
          <w:rFonts w:ascii="Arial" w:hAnsi="Arial" w:cs="Arial"/>
          <w:b/>
          <w:bCs/>
          <w:sz w:val="22"/>
          <w:szCs w:val="22"/>
          <w:lang w:val="es-MX"/>
        </w:rPr>
        <w:t>ERVICIOS</w:t>
      </w:r>
    </w:p>
    <w:p w:rsidR="00B35EE5" w:rsidRPr="0087717F" w:rsidRDefault="00B35EE5" w:rsidP="00B35EE5">
      <w:pPr>
        <w:ind w:left="720" w:right="596"/>
        <w:jc w:val="both"/>
        <w:rPr>
          <w:rFonts w:ascii="Arial" w:hAnsi="Arial" w:cs="Arial"/>
          <w:b/>
          <w:bCs/>
          <w:sz w:val="22"/>
          <w:szCs w:val="22"/>
          <w:lang w:val="es-MX"/>
        </w:rPr>
      </w:pPr>
    </w:p>
    <w:p w:rsidR="00524FC8" w:rsidRDefault="00442942" w:rsidP="00442942">
      <w:pPr>
        <w:ind w:left="284" w:right="596"/>
        <w:jc w:val="both"/>
        <w:rPr>
          <w:rFonts w:ascii="Arial" w:hAnsi="Arial" w:cs="Arial"/>
          <w:sz w:val="24"/>
          <w:szCs w:val="24"/>
        </w:rPr>
      </w:pPr>
      <w:r w:rsidRPr="00442942">
        <w:rPr>
          <w:rFonts w:ascii="Arial" w:hAnsi="Arial" w:cs="Arial"/>
          <w:sz w:val="24"/>
          <w:szCs w:val="24"/>
        </w:rPr>
        <w:t xml:space="preserve">En esta partida se presupuestó la suma </w:t>
      </w:r>
      <w:r w:rsidRPr="00442942">
        <w:rPr>
          <w:rFonts w:ascii="Arial" w:hAnsi="Arial" w:cs="Arial"/>
          <w:b/>
          <w:sz w:val="24"/>
          <w:szCs w:val="24"/>
        </w:rPr>
        <w:t>de ¢2.844.164.957</w:t>
      </w:r>
      <w:r w:rsidRPr="00442942">
        <w:rPr>
          <w:rFonts w:ascii="Arial" w:hAnsi="Arial" w:cs="Arial"/>
          <w:sz w:val="24"/>
          <w:szCs w:val="24"/>
        </w:rPr>
        <w:t xml:space="preserve">, de los cuales al cierre del periodo 2018 se ejecutó la suma de </w:t>
      </w:r>
      <w:r w:rsidRPr="00442942">
        <w:rPr>
          <w:rFonts w:ascii="Arial" w:hAnsi="Arial" w:cs="Arial"/>
          <w:b/>
          <w:sz w:val="24"/>
          <w:szCs w:val="24"/>
        </w:rPr>
        <w:t>¢794.341.961</w:t>
      </w:r>
      <w:r w:rsidRPr="00442942">
        <w:rPr>
          <w:rFonts w:ascii="Arial" w:hAnsi="Arial" w:cs="Arial"/>
          <w:sz w:val="24"/>
          <w:szCs w:val="24"/>
        </w:rPr>
        <w:t xml:space="preserve">, lo que equivale al </w:t>
      </w:r>
      <w:r w:rsidRPr="00442942">
        <w:rPr>
          <w:rFonts w:ascii="Arial" w:hAnsi="Arial" w:cs="Arial"/>
          <w:b/>
          <w:sz w:val="24"/>
          <w:szCs w:val="24"/>
        </w:rPr>
        <w:t>28%</w:t>
      </w:r>
      <w:r w:rsidRPr="00442942">
        <w:rPr>
          <w:rFonts w:ascii="Arial" w:hAnsi="Arial" w:cs="Arial"/>
          <w:sz w:val="24"/>
          <w:szCs w:val="24"/>
        </w:rPr>
        <w:t xml:space="preserve">, del monto indicado, durante el segundo semestre se realizaron pagos por la suma de </w:t>
      </w:r>
      <w:r w:rsidRPr="00442942">
        <w:rPr>
          <w:rFonts w:ascii="Arial" w:hAnsi="Arial" w:cs="Arial"/>
          <w:b/>
          <w:sz w:val="24"/>
          <w:szCs w:val="24"/>
        </w:rPr>
        <w:t>¢546.296.946</w:t>
      </w:r>
      <w:r w:rsidRPr="00442942">
        <w:rPr>
          <w:rFonts w:ascii="Arial" w:hAnsi="Arial" w:cs="Arial"/>
          <w:sz w:val="24"/>
          <w:szCs w:val="24"/>
        </w:rPr>
        <w:t>. Con estos recursos se realiza principalmente contrataciones de gastos operativos del Fideicomiso, tales como alquileres, servicios públicos, comisión del fiduciario, gastos de viajes y transporte, mantenimiento y reparación de instalaciones de equipo de transporte y equipo de cómputo, entre otros.</w:t>
      </w:r>
    </w:p>
    <w:p w:rsidR="00442942" w:rsidRPr="00442942" w:rsidRDefault="00442942" w:rsidP="00442942">
      <w:pPr>
        <w:ind w:left="284" w:right="596"/>
        <w:jc w:val="both"/>
        <w:rPr>
          <w:rFonts w:ascii="Arial" w:hAnsi="Arial" w:cs="Arial"/>
          <w:sz w:val="24"/>
          <w:szCs w:val="24"/>
        </w:rPr>
      </w:pPr>
    </w:p>
    <w:p w:rsidR="005216C3" w:rsidRPr="00767C7C" w:rsidRDefault="00442942" w:rsidP="00B35EE5">
      <w:pPr>
        <w:numPr>
          <w:ilvl w:val="0"/>
          <w:numId w:val="1"/>
        </w:numPr>
        <w:ind w:right="596"/>
        <w:jc w:val="both"/>
        <w:rPr>
          <w:rFonts w:ascii="Arial" w:hAnsi="Arial" w:cs="Arial"/>
          <w:b/>
          <w:bCs/>
          <w:sz w:val="22"/>
          <w:szCs w:val="22"/>
          <w:lang w:val="es-MX"/>
        </w:rPr>
      </w:pPr>
      <w:r>
        <w:rPr>
          <w:rFonts w:ascii="Arial" w:hAnsi="Arial" w:cs="Arial"/>
          <w:b/>
          <w:bCs/>
          <w:sz w:val="22"/>
          <w:szCs w:val="22"/>
          <w:lang w:val="es-MX"/>
        </w:rPr>
        <w:t>MATERIALES Y SUMINISTROS</w:t>
      </w:r>
    </w:p>
    <w:p w:rsidR="005216C3" w:rsidRPr="00767C7C" w:rsidRDefault="005216C3" w:rsidP="00B35EE5">
      <w:pPr>
        <w:ind w:left="708" w:right="596"/>
        <w:jc w:val="both"/>
        <w:rPr>
          <w:rFonts w:ascii="Arial" w:hAnsi="Arial" w:cs="Arial"/>
          <w:sz w:val="22"/>
          <w:szCs w:val="22"/>
          <w:lang w:val="es-MX"/>
        </w:rPr>
      </w:pPr>
    </w:p>
    <w:p w:rsidR="005216C3" w:rsidRDefault="00442942" w:rsidP="00442942">
      <w:pPr>
        <w:ind w:left="284" w:right="290"/>
        <w:jc w:val="both"/>
        <w:rPr>
          <w:rFonts w:ascii="Arial" w:hAnsi="Arial" w:cs="Arial"/>
          <w:b/>
          <w:bCs/>
          <w:sz w:val="22"/>
          <w:szCs w:val="22"/>
          <w:lang w:val="es-MX"/>
        </w:rPr>
      </w:pPr>
      <w:r w:rsidRPr="00442942">
        <w:rPr>
          <w:rFonts w:ascii="Arial" w:hAnsi="Arial" w:cs="Arial"/>
          <w:sz w:val="24"/>
          <w:szCs w:val="24"/>
        </w:rPr>
        <w:t xml:space="preserve">En este grupo se presupuestó la suma de </w:t>
      </w:r>
      <w:r w:rsidRPr="00442942">
        <w:rPr>
          <w:rFonts w:ascii="Arial" w:hAnsi="Arial" w:cs="Arial"/>
          <w:b/>
          <w:sz w:val="24"/>
          <w:szCs w:val="24"/>
        </w:rPr>
        <w:t xml:space="preserve">¢105.110.059 </w:t>
      </w:r>
      <w:r w:rsidRPr="00442942">
        <w:rPr>
          <w:rFonts w:ascii="Arial" w:hAnsi="Arial" w:cs="Arial"/>
          <w:sz w:val="24"/>
          <w:szCs w:val="24"/>
        </w:rPr>
        <w:t xml:space="preserve">de los cuales se ejecutó monto total de </w:t>
      </w:r>
      <w:r w:rsidRPr="00442942">
        <w:rPr>
          <w:rFonts w:ascii="Arial" w:hAnsi="Arial" w:cs="Arial"/>
          <w:b/>
          <w:sz w:val="24"/>
          <w:szCs w:val="24"/>
        </w:rPr>
        <w:t>¢34.020.484</w:t>
      </w:r>
      <w:r w:rsidRPr="00442942">
        <w:rPr>
          <w:rFonts w:ascii="Arial" w:hAnsi="Arial" w:cs="Arial"/>
          <w:sz w:val="24"/>
          <w:szCs w:val="24"/>
        </w:rPr>
        <w:t xml:space="preserve"> equivalente a un </w:t>
      </w:r>
      <w:r w:rsidRPr="00442942">
        <w:rPr>
          <w:rFonts w:ascii="Arial" w:hAnsi="Arial" w:cs="Arial"/>
          <w:b/>
          <w:sz w:val="24"/>
          <w:szCs w:val="24"/>
        </w:rPr>
        <w:t>32%,</w:t>
      </w:r>
      <w:r w:rsidRPr="00442942">
        <w:rPr>
          <w:rFonts w:ascii="Arial" w:hAnsi="Arial" w:cs="Arial"/>
          <w:sz w:val="24"/>
          <w:szCs w:val="24"/>
        </w:rPr>
        <w:t xml:space="preserve"> del monto indicado, la suma de </w:t>
      </w:r>
      <w:r w:rsidRPr="00442942">
        <w:rPr>
          <w:rFonts w:ascii="Arial" w:hAnsi="Arial" w:cs="Arial"/>
          <w:b/>
          <w:sz w:val="24"/>
          <w:szCs w:val="24"/>
        </w:rPr>
        <w:t xml:space="preserve">¢17.091.761 </w:t>
      </w:r>
      <w:r w:rsidRPr="00442942">
        <w:rPr>
          <w:rFonts w:ascii="Arial" w:hAnsi="Arial" w:cs="Arial"/>
          <w:sz w:val="24"/>
          <w:szCs w:val="24"/>
        </w:rPr>
        <w:t>fue ejecutada durante el segundo semestre. Con dichos recursos se dio la atención a diversas necesidades institucionales, que comprende la compra de materiales, artículos y suministros requeridos en el desarrollo de las actividades habituales del Fideicomiso</w:t>
      </w:r>
      <w:r>
        <w:rPr>
          <w:rFonts w:ascii="Arial" w:hAnsi="Arial" w:cs="Arial"/>
          <w:sz w:val="24"/>
          <w:szCs w:val="24"/>
        </w:rPr>
        <w:t>.</w:t>
      </w:r>
    </w:p>
    <w:p w:rsidR="00973E73" w:rsidRPr="00767C7C" w:rsidRDefault="00973E73" w:rsidP="00440162">
      <w:pPr>
        <w:ind w:right="290"/>
        <w:jc w:val="both"/>
        <w:rPr>
          <w:rFonts w:ascii="Arial" w:hAnsi="Arial" w:cs="Arial"/>
          <w:b/>
          <w:bCs/>
          <w:sz w:val="22"/>
          <w:szCs w:val="22"/>
          <w:lang w:val="es-MX"/>
        </w:rPr>
      </w:pPr>
    </w:p>
    <w:p w:rsidR="005216C3" w:rsidRPr="004D739D" w:rsidRDefault="005216C3" w:rsidP="00B35EE5">
      <w:pPr>
        <w:pStyle w:val="Prrafodelista"/>
        <w:numPr>
          <w:ilvl w:val="0"/>
          <w:numId w:val="1"/>
        </w:numPr>
        <w:ind w:right="596"/>
        <w:jc w:val="both"/>
        <w:rPr>
          <w:rFonts w:ascii="Arial" w:eastAsia="SimSun" w:hAnsi="Arial" w:cs="Arial"/>
          <w:b/>
          <w:bCs/>
          <w:sz w:val="24"/>
          <w:szCs w:val="24"/>
          <w:lang w:val="es-MX" w:eastAsia="es-ES"/>
        </w:rPr>
      </w:pPr>
      <w:r w:rsidRPr="004D739D">
        <w:rPr>
          <w:rFonts w:ascii="Arial" w:eastAsia="SimSun" w:hAnsi="Arial" w:cs="Arial"/>
          <w:b/>
          <w:bCs/>
          <w:sz w:val="24"/>
          <w:szCs w:val="24"/>
          <w:lang w:val="es-MX" w:eastAsia="es-ES"/>
        </w:rPr>
        <w:t>A</w:t>
      </w:r>
      <w:r w:rsidR="00442942">
        <w:rPr>
          <w:rFonts w:ascii="Arial" w:eastAsia="SimSun" w:hAnsi="Arial" w:cs="Arial"/>
          <w:b/>
          <w:bCs/>
          <w:sz w:val="24"/>
          <w:szCs w:val="24"/>
          <w:lang w:val="es-MX" w:eastAsia="es-ES"/>
        </w:rPr>
        <w:t xml:space="preserve">CTIVOS </w:t>
      </w:r>
      <w:r w:rsidRPr="004D739D">
        <w:rPr>
          <w:rFonts w:ascii="Arial" w:eastAsia="SimSun" w:hAnsi="Arial" w:cs="Arial"/>
          <w:b/>
          <w:bCs/>
          <w:sz w:val="24"/>
          <w:szCs w:val="24"/>
          <w:lang w:val="es-MX" w:eastAsia="es-ES"/>
        </w:rPr>
        <w:t>F</w:t>
      </w:r>
      <w:r w:rsidR="00442942">
        <w:rPr>
          <w:rFonts w:ascii="Arial" w:eastAsia="SimSun" w:hAnsi="Arial" w:cs="Arial"/>
          <w:b/>
          <w:bCs/>
          <w:sz w:val="24"/>
          <w:szCs w:val="24"/>
          <w:lang w:val="es-MX" w:eastAsia="es-ES"/>
        </w:rPr>
        <w:t>INANCIEROS</w:t>
      </w:r>
    </w:p>
    <w:p w:rsidR="00442942" w:rsidRDefault="00442942" w:rsidP="00442942">
      <w:pPr>
        <w:ind w:left="360"/>
        <w:jc w:val="both"/>
        <w:rPr>
          <w:rFonts w:ascii="Arial" w:hAnsi="Arial" w:cs="Arial"/>
          <w:sz w:val="24"/>
          <w:szCs w:val="24"/>
        </w:rPr>
      </w:pPr>
      <w:r w:rsidRPr="00442942">
        <w:rPr>
          <w:rFonts w:ascii="Arial" w:hAnsi="Arial" w:cs="Arial"/>
          <w:sz w:val="24"/>
          <w:szCs w:val="24"/>
        </w:rPr>
        <w:t xml:space="preserve">En esta partida se presupuestó la suma de </w:t>
      </w:r>
      <w:r w:rsidRPr="00442942">
        <w:rPr>
          <w:rFonts w:ascii="Arial" w:hAnsi="Arial" w:cs="Arial"/>
          <w:b/>
          <w:sz w:val="24"/>
          <w:szCs w:val="24"/>
        </w:rPr>
        <w:t>¢991.000.000</w:t>
      </w:r>
      <w:r w:rsidRPr="00442942">
        <w:rPr>
          <w:rFonts w:ascii="Arial" w:hAnsi="Arial" w:cs="Arial"/>
          <w:sz w:val="24"/>
          <w:szCs w:val="24"/>
        </w:rPr>
        <w:t xml:space="preserve"> de los cuales al cierre del periodo 2018 se ejecutó la suma de </w:t>
      </w:r>
      <w:r w:rsidRPr="00442942">
        <w:rPr>
          <w:rFonts w:ascii="Arial" w:hAnsi="Arial" w:cs="Arial"/>
          <w:b/>
          <w:sz w:val="24"/>
          <w:szCs w:val="24"/>
        </w:rPr>
        <w:t>¢923.373.132,</w:t>
      </w:r>
      <w:r w:rsidRPr="00442942">
        <w:rPr>
          <w:rFonts w:ascii="Arial" w:hAnsi="Arial" w:cs="Arial"/>
          <w:sz w:val="24"/>
          <w:szCs w:val="24"/>
        </w:rPr>
        <w:t xml:space="preserve"> lo que equivale al </w:t>
      </w:r>
      <w:r w:rsidRPr="00442942">
        <w:rPr>
          <w:rFonts w:ascii="Arial" w:hAnsi="Arial" w:cs="Arial"/>
          <w:b/>
          <w:sz w:val="24"/>
          <w:szCs w:val="24"/>
        </w:rPr>
        <w:t>93%,</w:t>
      </w:r>
      <w:r w:rsidRPr="00442942">
        <w:rPr>
          <w:rFonts w:ascii="Arial" w:hAnsi="Arial" w:cs="Arial"/>
          <w:sz w:val="24"/>
          <w:szCs w:val="24"/>
        </w:rPr>
        <w:t xml:space="preserve"> del monto total ejecutado la suma de ¢601.911.453 corresponde a créditos otorgados en el segundo semestre. Estos recursos se destinan al otorgamiento de créditos en el Sector Forestal, principalmente para atender las necesidades de financiamiento tales como capital de trabajo, viveros forestales, reforestación, industria forestal, crédito puente, </w:t>
      </w:r>
    </w:p>
    <w:p w:rsidR="00442942" w:rsidRDefault="00442942" w:rsidP="00442942">
      <w:pPr>
        <w:ind w:left="360"/>
        <w:jc w:val="both"/>
        <w:rPr>
          <w:rFonts w:ascii="Arial" w:hAnsi="Arial" w:cs="Arial"/>
          <w:sz w:val="24"/>
          <w:szCs w:val="24"/>
        </w:rPr>
      </w:pPr>
    </w:p>
    <w:p w:rsidR="00442942" w:rsidRPr="00442942" w:rsidRDefault="00442942" w:rsidP="00442942">
      <w:pPr>
        <w:ind w:left="360"/>
        <w:jc w:val="both"/>
        <w:rPr>
          <w:rFonts w:ascii="Century Gothic" w:eastAsia="Times New Roman" w:hAnsi="Century Gothic" w:cs="Calibri"/>
          <w:b/>
          <w:bCs/>
          <w:color w:val="000000"/>
          <w:sz w:val="24"/>
          <w:szCs w:val="24"/>
          <w:lang w:eastAsia="es-CR"/>
        </w:rPr>
      </w:pPr>
      <w:r w:rsidRPr="00442942">
        <w:rPr>
          <w:rFonts w:ascii="Arial" w:hAnsi="Arial" w:cs="Arial"/>
          <w:sz w:val="24"/>
          <w:szCs w:val="24"/>
        </w:rPr>
        <w:t xml:space="preserve">estudios técnicos, de acuerdo al reglamento de crédito del fideicomiso y el programa crediticio.  </w:t>
      </w:r>
    </w:p>
    <w:p w:rsidR="004E2A26" w:rsidRPr="00767C7C" w:rsidRDefault="0092503A" w:rsidP="00971B7C">
      <w:pPr>
        <w:pStyle w:val="Prrafodelista"/>
        <w:jc w:val="both"/>
        <w:rPr>
          <w:rFonts w:ascii="Arial" w:hAnsi="Arial" w:cs="Arial"/>
        </w:rPr>
      </w:pPr>
      <w:r w:rsidRPr="0092503A">
        <w:rPr>
          <w:rFonts w:ascii="Arial" w:hAnsi="Arial" w:cs="Arial"/>
        </w:rPr>
        <w:t xml:space="preserve"> </w:t>
      </w:r>
    </w:p>
    <w:p w:rsidR="005216C3" w:rsidRPr="004D739D" w:rsidRDefault="005216C3" w:rsidP="00B35EE5">
      <w:pPr>
        <w:numPr>
          <w:ilvl w:val="0"/>
          <w:numId w:val="1"/>
        </w:numPr>
        <w:ind w:left="714" w:right="596" w:hanging="357"/>
        <w:jc w:val="both"/>
        <w:rPr>
          <w:rFonts w:ascii="Arial" w:hAnsi="Arial" w:cs="Arial"/>
          <w:b/>
          <w:bCs/>
          <w:sz w:val="24"/>
          <w:szCs w:val="24"/>
          <w:lang w:val="es-MX"/>
        </w:rPr>
      </w:pPr>
      <w:r w:rsidRPr="004D739D">
        <w:rPr>
          <w:rFonts w:ascii="Arial" w:hAnsi="Arial" w:cs="Arial"/>
          <w:b/>
          <w:bCs/>
          <w:sz w:val="24"/>
          <w:szCs w:val="24"/>
          <w:lang w:val="es-MX"/>
        </w:rPr>
        <w:t>B</w:t>
      </w:r>
      <w:r w:rsidR="0010083F">
        <w:rPr>
          <w:rFonts w:ascii="Arial" w:hAnsi="Arial" w:cs="Arial"/>
          <w:b/>
          <w:bCs/>
          <w:sz w:val="24"/>
          <w:szCs w:val="24"/>
          <w:lang w:val="es-MX"/>
        </w:rPr>
        <w:t>IENES</w:t>
      </w:r>
      <w:r w:rsidRPr="004D739D">
        <w:rPr>
          <w:rFonts w:ascii="Arial" w:hAnsi="Arial" w:cs="Arial"/>
          <w:b/>
          <w:bCs/>
          <w:sz w:val="24"/>
          <w:szCs w:val="24"/>
          <w:lang w:val="es-MX"/>
        </w:rPr>
        <w:t xml:space="preserve"> D</w:t>
      </w:r>
      <w:r w:rsidR="0010083F">
        <w:rPr>
          <w:rFonts w:ascii="Arial" w:hAnsi="Arial" w:cs="Arial"/>
          <w:b/>
          <w:bCs/>
          <w:sz w:val="24"/>
          <w:szCs w:val="24"/>
          <w:lang w:val="es-MX"/>
        </w:rPr>
        <w:t>URADEROS</w:t>
      </w:r>
    </w:p>
    <w:p w:rsidR="004A7B25" w:rsidRPr="00971B7C" w:rsidRDefault="004A7B25" w:rsidP="00971B7C">
      <w:pPr>
        <w:ind w:left="709" w:right="596" w:firstLine="11"/>
        <w:jc w:val="both"/>
        <w:rPr>
          <w:rFonts w:ascii="Arial" w:hAnsi="Arial" w:cs="Arial"/>
          <w:b/>
          <w:bCs/>
          <w:sz w:val="24"/>
          <w:szCs w:val="24"/>
          <w:lang w:val="es-MX"/>
        </w:rPr>
      </w:pPr>
    </w:p>
    <w:p w:rsidR="00237859" w:rsidRPr="0010083F" w:rsidRDefault="0010083F" w:rsidP="0010083F">
      <w:pPr>
        <w:ind w:left="284"/>
        <w:jc w:val="both"/>
        <w:rPr>
          <w:rFonts w:ascii="Arial" w:hAnsi="Arial" w:cs="Arial"/>
          <w:sz w:val="24"/>
          <w:szCs w:val="24"/>
        </w:rPr>
      </w:pPr>
      <w:r w:rsidRPr="0010083F">
        <w:rPr>
          <w:rFonts w:ascii="Arial" w:hAnsi="Arial" w:cs="Arial"/>
          <w:sz w:val="24"/>
          <w:szCs w:val="24"/>
        </w:rPr>
        <w:t xml:space="preserve">En este grupo se presupuestó la suma de </w:t>
      </w:r>
      <w:r w:rsidRPr="0010083F">
        <w:rPr>
          <w:rFonts w:ascii="Arial" w:hAnsi="Arial" w:cs="Arial"/>
          <w:b/>
          <w:sz w:val="24"/>
          <w:szCs w:val="24"/>
        </w:rPr>
        <w:t>169.814.511 de los cuales al cierre del periodo 2018 se logró ejecutar la suma de ¢101.437.983 equivalente a</w:t>
      </w:r>
      <w:r w:rsidRPr="0010083F">
        <w:rPr>
          <w:rFonts w:ascii="Arial" w:hAnsi="Arial" w:cs="Arial"/>
          <w:sz w:val="24"/>
          <w:szCs w:val="24"/>
        </w:rPr>
        <w:t xml:space="preserve"> un</w:t>
      </w:r>
      <w:r w:rsidRPr="0010083F">
        <w:rPr>
          <w:rFonts w:ascii="Arial" w:hAnsi="Arial" w:cs="Arial"/>
          <w:b/>
          <w:sz w:val="24"/>
          <w:szCs w:val="24"/>
        </w:rPr>
        <w:t xml:space="preserve"> 60% </w:t>
      </w:r>
      <w:r w:rsidRPr="0010083F">
        <w:rPr>
          <w:rFonts w:ascii="Arial" w:hAnsi="Arial" w:cs="Arial"/>
          <w:sz w:val="24"/>
          <w:szCs w:val="24"/>
        </w:rPr>
        <w:t>del total de recursos presupuestados. Estos recursos en su totalidad son para la compra de bienes tales como equipo de transporte, equipo de comunicación, equipo y programas de cómputo, entre otros, por medio del proyecto REDD+.</w:t>
      </w:r>
    </w:p>
    <w:p w:rsidR="00971B7C" w:rsidRDefault="00971B7C" w:rsidP="00237859">
      <w:pPr>
        <w:ind w:left="708"/>
        <w:jc w:val="both"/>
        <w:rPr>
          <w:rFonts w:ascii="Arial" w:eastAsia="Times New Roman" w:hAnsi="Arial" w:cs="Arial"/>
          <w:sz w:val="22"/>
          <w:szCs w:val="22"/>
          <w:lang w:eastAsia="en-US"/>
        </w:rPr>
      </w:pPr>
    </w:p>
    <w:p w:rsidR="005216C3" w:rsidRPr="004D739D" w:rsidRDefault="005216C3" w:rsidP="00DA6249">
      <w:pPr>
        <w:pStyle w:val="Prrafodelista"/>
        <w:numPr>
          <w:ilvl w:val="0"/>
          <w:numId w:val="29"/>
        </w:numPr>
        <w:ind w:rightChars="595" w:right="1190"/>
        <w:jc w:val="both"/>
        <w:rPr>
          <w:rFonts w:ascii="Arial" w:hAnsi="Arial" w:cs="Arial"/>
          <w:b/>
          <w:bCs/>
          <w:sz w:val="24"/>
          <w:szCs w:val="24"/>
          <w:lang w:val="es-MX"/>
        </w:rPr>
      </w:pPr>
      <w:r w:rsidRPr="004D739D">
        <w:rPr>
          <w:rFonts w:ascii="Arial" w:hAnsi="Arial" w:cs="Arial"/>
          <w:b/>
          <w:bCs/>
          <w:sz w:val="24"/>
          <w:szCs w:val="24"/>
          <w:lang w:val="es-MX"/>
        </w:rPr>
        <w:t>Transferencias Corrientes</w:t>
      </w:r>
    </w:p>
    <w:p w:rsidR="004D739D" w:rsidRPr="004D739D" w:rsidRDefault="00665D3C" w:rsidP="00D71660">
      <w:pPr>
        <w:ind w:left="284"/>
        <w:jc w:val="both"/>
        <w:rPr>
          <w:rFonts w:ascii="Arial" w:hAnsi="Arial" w:cs="Arial"/>
          <w:sz w:val="24"/>
          <w:szCs w:val="24"/>
        </w:rPr>
      </w:pPr>
      <w:r w:rsidRPr="00665D3C">
        <w:rPr>
          <w:rFonts w:ascii="Arial" w:hAnsi="Arial" w:cs="Arial"/>
          <w:sz w:val="24"/>
          <w:szCs w:val="24"/>
        </w:rPr>
        <w:t xml:space="preserve">En este grupo se presupuestó la suma de </w:t>
      </w:r>
      <w:r w:rsidRPr="00665D3C">
        <w:rPr>
          <w:rFonts w:ascii="Arial" w:hAnsi="Arial" w:cs="Arial"/>
          <w:b/>
          <w:sz w:val="24"/>
          <w:szCs w:val="24"/>
        </w:rPr>
        <w:t xml:space="preserve">¢57.244.446 </w:t>
      </w:r>
      <w:r w:rsidRPr="00665D3C">
        <w:rPr>
          <w:rFonts w:ascii="Arial" w:hAnsi="Arial" w:cs="Arial"/>
          <w:sz w:val="24"/>
          <w:szCs w:val="24"/>
        </w:rPr>
        <w:t xml:space="preserve">de los cuales se ejecutó la suma de </w:t>
      </w:r>
      <w:r w:rsidRPr="00665D3C">
        <w:rPr>
          <w:rFonts w:ascii="Arial" w:hAnsi="Arial" w:cs="Arial"/>
          <w:b/>
          <w:sz w:val="24"/>
          <w:szCs w:val="24"/>
        </w:rPr>
        <w:t>¢13.545.576</w:t>
      </w:r>
      <w:r w:rsidRPr="00665D3C">
        <w:rPr>
          <w:rFonts w:ascii="Arial" w:hAnsi="Arial" w:cs="Arial"/>
          <w:sz w:val="24"/>
          <w:szCs w:val="24"/>
        </w:rPr>
        <w:t xml:space="preserve"> equivalente a una ejecución del </w:t>
      </w:r>
      <w:r w:rsidRPr="00665D3C">
        <w:rPr>
          <w:rFonts w:ascii="Arial" w:hAnsi="Arial" w:cs="Arial"/>
          <w:b/>
          <w:sz w:val="24"/>
          <w:szCs w:val="24"/>
        </w:rPr>
        <w:t>24%</w:t>
      </w:r>
      <w:r w:rsidR="004D739D" w:rsidRPr="004D739D">
        <w:rPr>
          <w:rFonts w:ascii="Arial" w:hAnsi="Arial" w:cs="Arial"/>
          <w:sz w:val="24"/>
          <w:szCs w:val="24"/>
        </w:rPr>
        <w:t xml:space="preserve">, </w:t>
      </w:r>
      <w:r>
        <w:rPr>
          <w:rFonts w:ascii="Arial" w:hAnsi="Arial" w:cs="Arial"/>
          <w:sz w:val="24"/>
          <w:szCs w:val="24"/>
        </w:rPr>
        <w:t xml:space="preserve">durante el segundo semestre </w:t>
      </w:r>
      <w:r w:rsidR="004D739D" w:rsidRPr="004D739D">
        <w:rPr>
          <w:rFonts w:ascii="Arial" w:hAnsi="Arial" w:cs="Arial"/>
          <w:sz w:val="24"/>
          <w:szCs w:val="24"/>
        </w:rPr>
        <w:t xml:space="preserve">se realizaron las siguientes transferencias: </w:t>
      </w:r>
    </w:p>
    <w:p w:rsidR="004D739D" w:rsidRPr="00665D3C" w:rsidRDefault="004D739D" w:rsidP="004D739D">
      <w:pPr>
        <w:jc w:val="both"/>
        <w:rPr>
          <w:rFonts w:ascii="Arial" w:hAnsi="Arial" w:cs="Arial"/>
          <w:sz w:val="24"/>
          <w:szCs w:val="24"/>
        </w:rPr>
      </w:pPr>
    </w:p>
    <w:p w:rsidR="00665D3C" w:rsidRPr="00665D3C" w:rsidRDefault="00665D3C" w:rsidP="00665D3C">
      <w:pPr>
        <w:numPr>
          <w:ilvl w:val="0"/>
          <w:numId w:val="13"/>
        </w:numPr>
        <w:jc w:val="both"/>
        <w:rPr>
          <w:rFonts w:ascii="Arial" w:hAnsi="Arial" w:cs="Arial"/>
          <w:sz w:val="24"/>
          <w:szCs w:val="24"/>
        </w:rPr>
      </w:pPr>
      <w:r w:rsidRPr="00665D3C">
        <w:rPr>
          <w:rFonts w:ascii="Arial" w:hAnsi="Arial" w:cs="Arial"/>
          <w:b/>
          <w:sz w:val="24"/>
          <w:szCs w:val="24"/>
        </w:rPr>
        <w:t>¢9.811.199</w:t>
      </w:r>
      <w:r w:rsidRPr="00665D3C">
        <w:rPr>
          <w:rFonts w:ascii="Arial" w:hAnsi="Arial" w:cs="Arial"/>
          <w:sz w:val="24"/>
          <w:szCs w:val="24"/>
        </w:rPr>
        <w:t xml:space="preserve"> correspondiente al pago de prestaciones legales.</w:t>
      </w:r>
    </w:p>
    <w:p w:rsidR="00665D3C" w:rsidRPr="00665D3C" w:rsidRDefault="00665D3C" w:rsidP="00665D3C">
      <w:pPr>
        <w:ind w:left="1440"/>
        <w:jc w:val="both"/>
        <w:rPr>
          <w:rFonts w:ascii="Arial" w:hAnsi="Arial" w:cs="Arial"/>
          <w:sz w:val="24"/>
          <w:szCs w:val="24"/>
        </w:rPr>
      </w:pPr>
    </w:p>
    <w:p w:rsidR="00665D3C" w:rsidRPr="00665D3C" w:rsidRDefault="00665D3C" w:rsidP="00665D3C">
      <w:pPr>
        <w:numPr>
          <w:ilvl w:val="0"/>
          <w:numId w:val="13"/>
        </w:numPr>
        <w:jc w:val="both"/>
        <w:rPr>
          <w:rFonts w:ascii="Arial" w:hAnsi="Arial" w:cs="Arial"/>
          <w:sz w:val="24"/>
          <w:szCs w:val="24"/>
        </w:rPr>
      </w:pPr>
      <w:r w:rsidRPr="00665D3C">
        <w:rPr>
          <w:rFonts w:ascii="Arial" w:hAnsi="Arial" w:cs="Arial"/>
          <w:b/>
          <w:sz w:val="24"/>
          <w:szCs w:val="24"/>
        </w:rPr>
        <w:t>223.308</w:t>
      </w:r>
      <w:r w:rsidRPr="00665D3C">
        <w:rPr>
          <w:rFonts w:ascii="Arial" w:hAnsi="Arial" w:cs="Arial"/>
          <w:sz w:val="24"/>
          <w:szCs w:val="24"/>
        </w:rPr>
        <w:t xml:space="preserve"> correspondientes al pago de incapacidades</w:t>
      </w:r>
    </w:p>
    <w:p w:rsidR="00665D3C" w:rsidRPr="00665D3C" w:rsidRDefault="00665D3C" w:rsidP="00665D3C">
      <w:pPr>
        <w:ind w:left="1440"/>
        <w:jc w:val="both"/>
        <w:rPr>
          <w:rFonts w:ascii="Arial" w:hAnsi="Arial" w:cs="Arial"/>
          <w:sz w:val="24"/>
          <w:szCs w:val="24"/>
        </w:rPr>
      </w:pPr>
    </w:p>
    <w:p w:rsidR="00665D3C" w:rsidRPr="00665D3C" w:rsidRDefault="00665D3C" w:rsidP="00665D3C">
      <w:pPr>
        <w:pStyle w:val="Prrafodelista"/>
        <w:numPr>
          <w:ilvl w:val="0"/>
          <w:numId w:val="14"/>
        </w:numPr>
        <w:contextualSpacing/>
        <w:jc w:val="both"/>
        <w:rPr>
          <w:rFonts w:ascii="Arial" w:hAnsi="Arial" w:cs="Arial"/>
          <w:sz w:val="24"/>
          <w:szCs w:val="24"/>
        </w:rPr>
      </w:pPr>
      <w:r w:rsidRPr="00665D3C">
        <w:rPr>
          <w:rFonts w:ascii="Arial" w:hAnsi="Arial" w:cs="Arial"/>
          <w:b/>
          <w:sz w:val="24"/>
          <w:szCs w:val="24"/>
        </w:rPr>
        <w:t>¢657.834</w:t>
      </w:r>
      <w:r w:rsidRPr="00665D3C">
        <w:rPr>
          <w:rFonts w:ascii="Arial" w:hAnsi="Arial" w:cs="Arial"/>
          <w:sz w:val="24"/>
          <w:szCs w:val="24"/>
        </w:rPr>
        <w:t xml:space="preserve"> correspondiente a la actividad sustantiva del FONAFIFO en donde se transfiere recursos a los propietarios (as) de bosque y plantaciones forestales por pago de servicios ambientales</w:t>
      </w:r>
      <w:r w:rsidRPr="00665D3C">
        <w:rPr>
          <w:rFonts w:ascii="Arial" w:hAnsi="Arial" w:cs="Arial"/>
          <w:b/>
          <w:sz w:val="24"/>
          <w:szCs w:val="24"/>
        </w:rPr>
        <w:t xml:space="preserve">, </w:t>
      </w:r>
      <w:r w:rsidRPr="00665D3C">
        <w:rPr>
          <w:rFonts w:ascii="Arial" w:hAnsi="Arial" w:cs="Arial"/>
          <w:sz w:val="24"/>
          <w:szCs w:val="24"/>
        </w:rPr>
        <w:t>de acuerdo a lo establecido en el Manual de Procedimiento para el Pago de Servicios Ambientales y los Decretos Ejecutivos respectivos.</w:t>
      </w:r>
    </w:p>
    <w:p w:rsidR="00C91A29" w:rsidRPr="00A91106" w:rsidRDefault="00C91A29" w:rsidP="00A91106">
      <w:pPr>
        <w:ind w:right="432"/>
        <w:contextualSpacing/>
        <w:jc w:val="both"/>
        <w:rPr>
          <w:rFonts w:ascii="Arial" w:hAnsi="Arial" w:cs="Arial"/>
          <w:b/>
        </w:rPr>
      </w:pPr>
    </w:p>
    <w:p w:rsidR="007062DB" w:rsidRPr="009B4919" w:rsidRDefault="007062DB" w:rsidP="009B4919">
      <w:pPr>
        <w:pStyle w:val="Ttulo2"/>
        <w:jc w:val="left"/>
        <w:rPr>
          <w:rFonts w:cs="Arial"/>
          <w:sz w:val="22"/>
          <w:szCs w:val="22"/>
          <w:u w:val="single"/>
        </w:rPr>
      </w:pPr>
      <w:bookmarkStart w:id="5" w:name="_Toc520729575"/>
      <w:r w:rsidRPr="009B4919">
        <w:rPr>
          <w:rFonts w:cs="Arial"/>
          <w:sz w:val="22"/>
          <w:szCs w:val="22"/>
          <w:u w:val="single"/>
        </w:rPr>
        <w:t>2. B Limitaciones</w:t>
      </w:r>
      <w:bookmarkEnd w:id="5"/>
      <w:r w:rsidRPr="009B4919">
        <w:rPr>
          <w:rFonts w:cs="Arial"/>
          <w:sz w:val="22"/>
          <w:szCs w:val="22"/>
          <w:u w:val="single"/>
        </w:rPr>
        <w:t xml:space="preserve"> </w:t>
      </w:r>
      <w:r w:rsidRPr="009B4919">
        <w:rPr>
          <w:rFonts w:cs="Arial"/>
          <w:sz w:val="22"/>
          <w:szCs w:val="22"/>
        </w:rPr>
        <w:tab/>
      </w:r>
    </w:p>
    <w:p w:rsidR="007062DB" w:rsidRPr="00F8270D" w:rsidRDefault="007062DB" w:rsidP="007062DB">
      <w:pPr>
        <w:tabs>
          <w:tab w:val="left" w:pos="9498"/>
          <w:tab w:val="left" w:pos="9639"/>
          <w:tab w:val="left" w:pos="9781"/>
        </w:tabs>
        <w:ind w:right="567"/>
        <w:rPr>
          <w:rFonts w:ascii="Arial" w:hAnsi="Arial" w:cs="Arial"/>
          <w:b/>
          <w:sz w:val="22"/>
          <w:szCs w:val="22"/>
          <w:u w:val="single"/>
        </w:rPr>
      </w:pPr>
    </w:p>
    <w:p w:rsidR="007062DB" w:rsidRPr="006217E5" w:rsidRDefault="007062DB" w:rsidP="007062DB">
      <w:pPr>
        <w:autoSpaceDE w:val="0"/>
        <w:autoSpaceDN w:val="0"/>
        <w:jc w:val="both"/>
        <w:rPr>
          <w:rFonts w:ascii="Arial" w:hAnsi="Arial" w:cs="Arial"/>
          <w:sz w:val="24"/>
          <w:szCs w:val="24"/>
        </w:rPr>
      </w:pPr>
      <w:r w:rsidRPr="006217E5">
        <w:rPr>
          <w:rFonts w:ascii="Arial" w:hAnsi="Arial" w:cs="Arial"/>
          <w:sz w:val="24"/>
          <w:szCs w:val="24"/>
        </w:rPr>
        <w:t>Durante el periodo se identific</w:t>
      </w:r>
      <w:r w:rsidR="00C269E2" w:rsidRPr="006217E5">
        <w:rPr>
          <w:rFonts w:ascii="Arial" w:hAnsi="Arial" w:cs="Arial"/>
          <w:sz w:val="24"/>
          <w:szCs w:val="24"/>
        </w:rPr>
        <w:t>ó</w:t>
      </w:r>
      <w:r w:rsidRPr="006217E5">
        <w:rPr>
          <w:rFonts w:ascii="Arial" w:hAnsi="Arial" w:cs="Arial"/>
          <w:sz w:val="24"/>
          <w:szCs w:val="24"/>
        </w:rPr>
        <w:t xml:space="preserve"> la siguiente limitaci</w:t>
      </w:r>
      <w:r w:rsidR="00C269E2" w:rsidRPr="006217E5">
        <w:rPr>
          <w:rFonts w:ascii="Arial" w:hAnsi="Arial" w:cs="Arial"/>
          <w:sz w:val="24"/>
          <w:szCs w:val="24"/>
        </w:rPr>
        <w:t>ón</w:t>
      </w:r>
      <w:r w:rsidRPr="006217E5">
        <w:rPr>
          <w:rFonts w:ascii="Arial" w:hAnsi="Arial" w:cs="Arial"/>
          <w:sz w:val="24"/>
          <w:szCs w:val="24"/>
        </w:rPr>
        <w:t xml:space="preserve"> </w:t>
      </w:r>
      <w:r w:rsidR="001E2999" w:rsidRPr="006217E5">
        <w:rPr>
          <w:rFonts w:ascii="Arial" w:hAnsi="Arial" w:cs="Arial"/>
          <w:sz w:val="24"/>
          <w:szCs w:val="24"/>
        </w:rPr>
        <w:t>en</w:t>
      </w:r>
      <w:r w:rsidRPr="006217E5">
        <w:rPr>
          <w:rFonts w:ascii="Arial" w:hAnsi="Arial" w:cs="Arial"/>
          <w:sz w:val="24"/>
          <w:szCs w:val="24"/>
        </w:rPr>
        <w:t xml:space="preserve"> la ejecución del presupuesto y </w:t>
      </w:r>
      <w:r w:rsidR="001E2999" w:rsidRPr="006217E5">
        <w:rPr>
          <w:rFonts w:ascii="Arial" w:hAnsi="Arial" w:cs="Arial"/>
          <w:sz w:val="24"/>
          <w:szCs w:val="24"/>
        </w:rPr>
        <w:t xml:space="preserve">el </w:t>
      </w:r>
      <w:r w:rsidRPr="006217E5">
        <w:rPr>
          <w:rFonts w:ascii="Arial" w:hAnsi="Arial" w:cs="Arial"/>
          <w:sz w:val="24"/>
          <w:szCs w:val="24"/>
        </w:rPr>
        <w:t>logro de metas en el fideicomiso;</w:t>
      </w:r>
    </w:p>
    <w:p w:rsidR="00A03920" w:rsidRPr="00F8270D" w:rsidRDefault="00A03920" w:rsidP="007062DB">
      <w:pPr>
        <w:autoSpaceDE w:val="0"/>
        <w:autoSpaceDN w:val="0"/>
        <w:jc w:val="both"/>
        <w:rPr>
          <w:rFonts w:ascii="Arial" w:hAnsi="Arial" w:cs="Arial"/>
          <w:sz w:val="22"/>
          <w:szCs w:val="22"/>
        </w:rPr>
      </w:pPr>
    </w:p>
    <w:p w:rsidR="00053E62" w:rsidRPr="006217E5" w:rsidRDefault="00A03920" w:rsidP="006217E5">
      <w:pPr>
        <w:pStyle w:val="Prrafodelista"/>
        <w:numPr>
          <w:ilvl w:val="0"/>
          <w:numId w:val="11"/>
        </w:numPr>
        <w:autoSpaceDE w:val="0"/>
        <w:autoSpaceDN w:val="0"/>
        <w:ind w:right="29"/>
        <w:jc w:val="both"/>
        <w:rPr>
          <w:rFonts w:ascii="Arial" w:hAnsi="Arial" w:cs="Arial"/>
          <w:b/>
          <w:sz w:val="24"/>
          <w:szCs w:val="24"/>
        </w:rPr>
      </w:pPr>
      <w:r w:rsidRPr="006217E5">
        <w:rPr>
          <w:rFonts w:ascii="Arial" w:hAnsi="Arial" w:cs="Arial"/>
          <w:b/>
          <w:sz w:val="24"/>
          <w:szCs w:val="24"/>
        </w:rPr>
        <w:t>Procesos de contratación de bienes y servicios:</w:t>
      </w:r>
      <w:r w:rsidR="007062DB" w:rsidRPr="006217E5">
        <w:rPr>
          <w:rFonts w:ascii="Arial" w:hAnsi="Arial" w:cs="Arial"/>
          <w:b/>
          <w:sz w:val="24"/>
          <w:szCs w:val="24"/>
        </w:rPr>
        <w:t xml:space="preserve"> </w:t>
      </w:r>
    </w:p>
    <w:p w:rsidR="00A03920" w:rsidRPr="006217E5" w:rsidRDefault="00D2555B" w:rsidP="006217E5">
      <w:pPr>
        <w:pStyle w:val="Prrafodelista"/>
        <w:autoSpaceDE w:val="0"/>
        <w:autoSpaceDN w:val="0"/>
        <w:ind w:right="29"/>
        <w:jc w:val="both"/>
        <w:rPr>
          <w:rFonts w:ascii="Arial" w:hAnsi="Arial" w:cs="Arial"/>
          <w:b/>
          <w:sz w:val="24"/>
          <w:szCs w:val="24"/>
        </w:rPr>
      </w:pPr>
      <w:r w:rsidRPr="006217E5">
        <w:rPr>
          <w:rFonts w:ascii="Arial" w:eastAsia="SimSun" w:hAnsi="Arial" w:cs="Arial"/>
          <w:sz w:val="24"/>
          <w:szCs w:val="24"/>
          <w:lang w:eastAsia="es-ES"/>
        </w:rPr>
        <w:t>El mayor porcentaje de bienes y servicios presupuestados en el fideicomiso corresponden al Proye</w:t>
      </w:r>
      <w:r w:rsidR="00BC2E4F" w:rsidRPr="006217E5">
        <w:rPr>
          <w:rFonts w:ascii="Arial" w:eastAsia="SimSun" w:hAnsi="Arial" w:cs="Arial"/>
          <w:sz w:val="24"/>
          <w:szCs w:val="24"/>
          <w:lang w:eastAsia="es-ES"/>
        </w:rPr>
        <w:t>c</w:t>
      </w:r>
      <w:r w:rsidRPr="006217E5">
        <w:rPr>
          <w:rFonts w:ascii="Arial" w:eastAsia="SimSun" w:hAnsi="Arial" w:cs="Arial"/>
          <w:sz w:val="24"/>
          <w:szCs w:val="24"/>
          <w:lang w:eastAsia="es-ES"/>
        </w:rPr>
        <w:t>to REDD</w:t>
      </w:r>
      <w:r w:rsidR="002A1644" w:rsidRPr="006217E5">
        <w:rPr>
          <w:rFonts w:ascii="Arial" w:eastAsia="SimSun" w:hAnsi="Arial" w:cs="Arial"/>
          <w:sz w:val="24"/>
          <w:szCs w:val="24"/>
          <w:lang w:eastAsia="es-ES"/>
        </w:rPr>
        <w:t>+</w:t>
      </w:r>
      <w:r w:rsidRPr="006217E5">
        <w:rPr>
          <w:rFonts w:ascii="Arial" w:eastAsia="SimSun" w:hAnsi="Arial" w:cs="Arial"/>
          <w:sz w:val="24"/>
          <w:szCs w:val="24"/>
          <w:lang w:eastAsia="es-ES"/>
        </w:rPr>
        <w:t xml:space="preserve"> bajo el Fideicomiso 544-16, el cual durante este semestre ha presentado una baja ejecución debido especialmente a procesos de con</w:t>
      </w:r>
      <w:r w:rsidR="00F53BA2" w:rsidRPr="006217E5">
        <w:rPr>
          <w:rFonts w:ascii="Arial" w:eastAsia="SimSun" w:hAnsi="Arial" w:cs="Arial"/>
          <w:sz w:val="24"/>
          <w:szCs w:val="24"/>
          <w:lang w:eastAsia="es-ES"/>
        </w:rPr>
        <w:t xml:space="preserve">tratación </w:t>
      </w:r>
      <w:r w:rsidR="00A655DE" w:rsidRPr="006217E5">
        <w:rPr>
          <w:rFonts w:ascii="Arial" w:eastAsia="SimSun" w:hAnsi="Arial" w:cs="Arial"/>
          <w:sz w:val="24"/>
          <w:szCs w:val="24"/>
          <w:lang w:eastAsia="es-ES"/>
        </w:rPr>
        <w:t>que no lograron concretarse</w:t>
      </w:r>
      <w:r w:rsidRPr="006217E5">
        <w:rPr>
          <w:rFonts w:ascii="Arial" w:eastAsia="SimSun" w:hAnsi="Arial" w:cs="Arial"/>
          <w:sz w:val="24"/>
          <w:szCs w:val="24"/>
          <w:lang w:eastAsia="es-ES"/>
        </w:rPr>
        <w:t>,</w:t>
      </w:r>
      <w:r w:rsidR="00A655DE" w:rsidRPr="006217E5">
        <w:rPr>
          <w:rFonts w:ascii="Arial" w:eastAsia="SimSun" w:hAnsi="Arial" w:cs="Arial"/>
          <w:sz w:val="24"/>
          <w:szCs w:val="24"/>
          <w:lang w:eastAsia="es-ES"/>
        </w:rPr>
        <w:t xml:space="preserve"> así como también a cambios en los requerimientos o las necesidades por parte de los involucrados en el proyecto;</w:t>
      </w:r>
      <w:r w:rsidRPr="006217E5">
        <w:rPr>
          <w:rFonts w:ascii="Arial" w:eastAsia="SimSun" w:hAnsi="Arial" w:cs="Arial"/>
          <w:sz w:val="24"/>
          <w:szCs w:val="24"/>
          <w:lang w:eastAsia="es-ES"/>
        </w:rPr>
        <w:t xml:space="preserve"> </w:t>
      </w:r>
      <w:r w:rsidR="00CE0073" w:rsidRPr="006217E5">
        <w:rPr>
          <w:rFonts w:ascii="Arial" w:eastAsia="SimSun" w:hAnsi="Arial" w:cs="Arial"/>
          <w:sz w:val="24"/>
          <w:szCs w:val="24"/>
          <w:lang w:eastAsia="es-ES"/>
        </w:rPr>
        <w:t xml:space="preserve">estas situaciones que propiciaron  una </w:t>
      </w:r>
      <w:r w:rsidRPr="006217E5">
        <w:rPr>
          <w:rFonts w:ascii="Arial" w:eastAsia="SimSun" w:hAnsi="Arial" w:cs="Arial"/>
          <w:sz w:val="24"/>
          <w:szCs w:val="24"/>
          <w:lang w:eastAsia="es-ES"/>
        </w:rPr>
        <w:t>baja ejecución afect</w:t>
      </w:r>
      <w:r w:rsidR="00CE0073" w:rsidRPr="006217E5">
        <w:rPr>
          <w:rFonts w:ascii="Arial" w:eastAsia="SimSun" w:hAnsi="Arial" w:cs="Arial"/>
          <w:sz w:val="24"/>
          <w:szCs w:val="24"/>
          <w:lang w:eastAsia="es-ES"/>
        </w:rPr>
        <w:t>ó</w:t>
      </w:r>
      <w:r w:rsidRPr="006217E5">
        <w:rPr>
          <w:rFonts w:ascii="Arial" w:eastAsia="SimSun" w:hAnsi="Arial" w:cs="Arial"/>
          <w:sz w:val="24"/>
          <w:szCs w:val="24"/>
          <w:lang w:eastAsia="es-ES"/>
        </w:rPr>
        <w:t xml:space="preserve"> no solo los resultados del proyecto, sino los del Fideicomiso en general.</w:t>
      </w:r>
    </w:p>
    <w:p w:rsidR="00AC0E3A" w:rsidRDefault="00AC0E3A" w:rsidP="00504C5D">
      <w:pPr>
        <w:autoSpaceDE w:val="0"/>
        <w:autoSpaceDN w:val="0"/>
        <w:ind w:left="708" w:right="596" w:firstLine="12"/>
        <w:jc w:val="both"/>
        <w:rPr>
          <w:rFonts w:ascii="Arial" w:hAnsi="Arial" w:cs="Arial"/>
          <w:sz w:val="22"/>
          <w:szCs w:val="22"/>
        </w:rPr>
      </w:pPr>
    </w:p>
    <w:p w:rsidR="005631E4" w:rsidRDefault="005631E4" w:rsidP="005631E4">
      <w:pPr>
        <w:autoSpaceDE w:val="0"/>
        <w:autoSpaceDN w:val="0"/>
        <w:ind w:right="596"/>
        <w:jc w:val="both"/>
        <w:rPr>
          <w:rFonts w:ascii="Arial" w:eastAsia="Times New Roman" w:hAnsi="Arial" w:cs="Arial"/>
          <w:color w:val="FF0000"/>
          <w:sz w:val="22"/>
          <w:szCs w:val="22"/>
          <w:lang w:val="es-ES_tradnl" w:eastAsia="en-US"/>
        </w:rPr>
      </w:pPr>
    </w:p>
    <w:p w:rsidR="007062DB" w:rsidRPr="009B4919" w:rsidRDefault="007062DB" w:rsidP="009B4919">
      <w:pPr>
        <w:pStyle w:val="Ttulo1"/>
        <w:numPr>
          <w:ilvl w:val="0"/>
          <w:numId w:val="42"/>
        </w:numPr>
        <w:rPr>
          <w:rFonts w:ascii="Arial" w:hAnsi="Arial" w:cs="Arial"/>
          <w:b/>
          <w:szCs w:val="24"/>
        </w:rPr>
      </w:pPr>
      <w:bookmarkStart w:id="6" w:name="_Toc520729576"/>
      <w:r w:rsidRPr="009B4919">
        <w:rPr>
          <w:rFonts w:ascii="Arial" w:hAnsi="Arial" w:cs="Arial"/>
          <w:b/>
          <w:szCs w:val="24"/>
        </w:rPr>
        <w:t>Liquidación y resultados</w:t>
      </w:r>
      <w:bookmarkEnd w:id="6"/>
      <w:r w:rsidRPr="009B4919">
        <w:rPr>
          <w:rFonts w:ascii="Arial" w:hAnsi="Arial" w:cs="Arial"/>
          <w:b/>
          <w:szCs w:val="24"/>
        </w:rPr>
        <w:t xml:space="preserve">  </w:t>
      </w:r>
    </w:p>
    <w:p w:rsidR="00A03920" w:rsidRPr="00A03920" w:rsidRDefault="00A03920" w:rsidP="00A03920">
      <w:pPr>
        <w:rPr>
          <w:lang w:val="es-ES"/>
        </w:rPr>
      </w:pPr>
    </w:p>
    <w:p w:rsidR="00C54B5A" w:rsidRPr="00C54B5A" w:rsidRDefault="00C54B5A" w:rsidP="00C54B5A">
      <w:pPr>
        <w:jc w:val="both"/>
        <w:rPr>
          <w:rFonts w:ascii="Arial" w:hAnsi="Arial" w:cs="Arial"/>
          <w:sz w:val="24"/>
          <w:szCs w:val="24"/>
        </w:rPr>
      </w:pPr>
      <w:r w:rsidRPr="00C54B5A">
        <w:rPr>
          <w:rFonts w:ascii="Arial" w:hAnsi="Arial" w:cs="Arial"/>
          <w:sz w:val="24"/>
          <w:szCs w:val="24"/>
        </w:rPr>
        <w:t>En el siguiente cuadro se resume el resultado de la ejecución presupuestaria del Fideicomiso 544 FONAFIFO/BNCR al cierre del periodo 2018.</w:t>
      </w:r>
    </w:p>
    <w:p w:rsidR="00BA19E5" w:rsidRDefault="00BA19E5" w:rsidP="002E2C8B">
      <w:pPr>
        <w:jc w:val="both"/>
        <w:rPr>
          <w:rFonts w:ascii="Arial" w:hAnsi="Arial" w:cs="Arial"/>
        </w:rPr>
      </w:pPr>
    </w:p>
    <w:p w:rsidR="002E2C8B" w:rsidRDefault="002E2C8B" w:rsidP="002E2C8B">
      <w:pPr>
        <w:jc w:val="both"/>
        <w:rPr>
          <w:rFonts w:ascii="Arial" w:hAnsi="Arial" w:cs="Arial"/>
        </w:rPr>
      </w:pPr>
    </w:p>
    <w:p w:rsidR="00382F4D" w:rsidRDefault="00382F4D" w:rsidP="00AE48B9">
      <w:pPr>
        <w:rPr>
          <w:rFonts w:ascii="Arial" w:hAnsi="Arial" w:cs="Arial"/>
          <w:b/>
          <w:sz w:val="24"/>
          <w:lang w:val="es-ES"/>
        </w:rPr>
      </w:pPr>
    </w:p>
    <w:tbl>
      <w:tblPr>
        <w:tblW w:w="6947" w:type="dxa"/>
        <w:jc w:val="center"/>
        <w:tblCellMar>
          <w:left w:w="70" w:type="dxa"/>
          <w:right w:w="70" w:type="dxa"/>
        </w:tblCellMar>
        <w:tblLook w:val="04A0" w:firstRow="1" w:lastRow="0" w:firstColumn="1" w:lastColumn="0" w:noHBand="0" w:noVBand="1"/>
      </w:tblPr>
      <w:tblGrid>
        <w:gridCol w:w="2978"/>
        <w:gridCol w:w="2409"/>
        <w:gridCol w:w="1560"/>
      </w:tblGrid>
      <w:tr w:rsidR="00FA7074" w:rsidRPr="000A2677" w:rsidTr="005C0CA7">
        <w:trPr>
          <w:trHeight w:val="370"/>
          <w:jc w:val="center"/>
        </w:trPr>
        <w:tc>
          <w:tcPr>
            <w:tcW w:w="6947" w:type="dxa"/>
            <w:gridSpan w:val="3"/>
            <w:tcBorders>
              <w:top w:val="single" w:sz="8" w:space="0" w:color="auto"/>
              <w:left w:val="single" w:sz="8" w:space="0" w:color="auto"/>
              <w:bottom w:val="single" w:sz="8" w:space="0" w:color="auto"/>
              <w:right w:val="single" w:sz="8" w:space="0" w:color="000000"/>
            </w:tcBorders>
            <w:shd w:val="clear" w:color="000000" w:fill="00B050"/>
            <w:vAlign w:val="center"/>
            <w:hideMark/>
          </w:tcPr>
          <w:p w:rsidR="00FA7074" w:rsidRPr="000A2677" w:rsidRDefault="00FA7074" w:rsidP="005C0CA7">
            <w:pPr>
              <w:jc w:val="cente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Fondo Nacional de Financiamiento Forestal</w:t>
            </w:r>
            <w:r w:rsidRPr="000A2677">
              <w:rPr>
                <w:rFonts w:ascii="Arial" w:eastAsia="Times New Roman" w:hAnsi="Arial" w:cs="Arial"/>
                <w:b/>
                <w:bCs/>
                <w:color w:val="000000"/>
                <w:sz w:val="16"/>
                <w:szCs w:val="16"/>
                <w:lang w:val="es-MX" w:eastAsia="es-MX"/>
              </w:rPr>
              <w:br/>
              <w:t>Fideicomiso 544-BNCR</w:t>
            </w:r>
          </w:p>
        </w:tc>
      </w:tr>
      <w:tr w:rsidR="00FA7074" w:rsidRPr="000A2677" w:rsidTr="005C0CA7">
        <w:trPr>
          <w:trHeight w:val="259"/>
          <w:jc w:val="center"/>
        </w:trPr>
        <w:tc>
          <w:tcPr>
            <w:tcW w:w="6947" w:type="dxa"/>
            <w:gridSpan w:val="3"/>
            <w:tcBorders>
              <w:top w:val="single" w:sz="8" w:space="0" w:color="auto"/>
              <w:left w:val="single" w:sz="8" w:space="0" w:color="auto"/>
              <w:bottom w:val="nil"/>
              <w:right w:val="single" w:sz="8" w:space="0" w:color="000000"/>
            </w:tcBorders>
            <w:shd w:val="clear" w:color="000000" w:fill="00B050"/>
            <w:noWrap/>
            <w:vAlign w:val="center"/>
            <w:hideMark/>
          </w:tcPr>
          <w:p w:rsidR="00FA7074" w:rsidRPr="000A2677" w:rsidRDefault="00FA7074" w:rsidP="005C0CA7">
            <w:pPr>
              <w:jc w:val="cente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Liquidación Presupuestaria  al 31 de diciembre del 2018</w:t>
            </w:r>
          </w:p>
        </w:tc>
      </w:tr>
      <w:tr w:rsidR="00FA7074" w:rsidRPr="00A315C6" w:rsidTr="005C0CA7">
        <w:trPr>
          <w:trHeight w:val="247"/>
          <w:jc w:val="center"/>
        </w:trPr>
        <w:tc>
          <w:tcPr>
            <w:tcW w:w="2978" w:type="dxa"/>
            <w:tcBorders>
              <w:top w:val="single" w:sz="8" w:space="0" w:color="auto"/>
              <w:left w:val="single" w:sz="8" w:space="0" w:color="auto"/>
              <w:bottom w:val="nil"/>
              <w:right w:val="nil"/>
            </w:tcBorders>
            <w:shd w:val="clear" w:color="000000" w:fill="FFFFFF"/>
            <w:noWrap/>
            <w:vAlign w:val="center"/>
            <w:hideMark/>
          </w:tcPr>
          <w:p w:rsidR="00FA7074" w:rsidRPr="000A2677" w:rsidRDefault="00FA7074" w:rsidP="005C0CA7">
            <w:pPr>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Ingresos Presupuestados</w:t>
            </w:r>
          </w:p>
        </w:tc>
        <w:tc>
          <w:tcPr>
            <w:tcW w:w="2409" w:type="dxa"/>
            <w:tcBorders>
              <w:top w:val="single" w:sz="8" w:space="0" w:color="auto"/>
              <w:left w:val="single" w:sz="8" w:space="0" w:color="auto"/>
              <w:bottom w:val="nil"/>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4.543.578.389</w:t>
            </w:r>
          </w:p>
        </w:tc>
        <w:tc>
          <w:tcPr>
            <w:tcW w:w="1560" w:type="dxa"/>
            <w:tcBorders>
              <w:top w:val="single" w:sz="8" w:space="0" w:color="auto"/>
              <w:left w:val="nil"/>
              <w:bottom w:val="nil"/>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 </w:t>
            </w:r>
          </w:p>
        </w:tc>
      </w:tr>
      <w:tr w:rsidR="00FA7074" w:rsidRPr="00A315C6" w:rsidTr="005C0CA7">
        <w:trPr>
          <w:trHeight w:val="247"/>
          <w:jc w:val="center"/>
        </w:trPr>
        <w:tc>
          <w:tcPr>
            <w:tcW w:w="2978" w:type="dxa"/>
            <w:tcBorders>
              <w:top w:val="nil"/>
              <w:left w:val="single" w:sz="8" w:space="0" w:color="auto"/>
              <w:bottom w:val="nil"/>
              <w:right w:val="nil"/>
            </w:tcBorders>
            <w:shd w:val="clear" w:color="000000" w:fill="FFFFFF"/>
            <w:noWrap/>
            <w:vAlign w:val="center"/>
            <w:hideMark/>
          </w:tcPr>
          <w:p w:rsidR="00FA7074" w:rsidRPr="000A2677" w:rsidRDefault="00FA7074" w:rsidP="005C0CA7">
            <w:pPr>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Menos</w:t>
            </w:r>
          </w:p>
        </w:tc>
        <w:tc>
          <w:tcPr>
            <w:tcW w:w="2409" w:type="dxa"/>
            <w:tcBorders>
              <w:top w:val="nil"/>
              <w:left w:val="single" w:sz="8" w:space="0" w:color="auto"/>
              <w:bottom w:val="nil"/>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 </w:t>
            </w:r>
          </w:p>
        </w:tc>
        <w:tc>
          <w:tcPr>
            <w:tcW w:w="1560" w:type="dxa"/>
            <w:tcBorders>
              <w:top w:val="nil"/>
              <w:left w:val="nil"/>
              <w:bottom w:val="nil"/>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 </w:t>
            </w:r>
          </w:p>
        </w:tc>
      </w:tr>
      <w:tr w:rsidR="00FA7074" w:rsidRPr="00A315C6" w:rsidTr="005C0CA7">
        <w:trPr>
          <w:trHeight w:val="259"/>
          <w:jc w:val="center"/>
        </w:trPr>
        <w:tc>
          <w:tcPr>
            <w:tcW w:w="2978" w:type="dxa"/>
            <w:tcBorders>
              <w:top w:val="nil"/>
              <w:left w:val="single" w:sz="8" w:space="0" w:color="auto"/>
              <w:bottom w:val="single" w:sz="8" w:space="0" w:color="auto"/>
              <w:right w:val="nil"/>
            </w:tcBorders>
            <w:shd w:val="clear" w:color="000000" w:fill="FFFFFF"/>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Ingresos Reales</w:t>
            </w:r>
          </w:p>
        </w:tc>
        <w:tc>
          <w:tcPr>
            <w:tcW w:w="2409" w:type="dxa"/>
            <w:tcBorders>
              <w:top w:val="nil"/>
              <w:left w:val="single" w:sz="8" w:space="0" w:color="auto"/>
              <w:bottom w:val="single" w:sz="8" w:space="0" w:color="auto"/>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3.405.524.965</w:t>
            </w:r>
          </w:p>
        </w:tc>
        <w:tc>
          <w:tcPr>
            <w:tcW w:w="1560" w:type="dxa"/>
            <w:tcBorders>
              <w:top w:val="nil"/>
              <w:left w:val="nil"/>
              <w:bottom w:val="single" w:sz="8" w:space="0" w:color="auto"/>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w:t>
            </w:r>
          </w:p>
        </w:tc>
      </w:tr>
      <w:tr w:rsidR="00FA7074" w:rsidRPr="00A315C6" w:rsidTr="005C0CA7">
        <w:trPr>
          <w:trHeight w:val="259"/>
          <w:jc w:val="center"/>
        </w:trPr>
        <w:tc>
          <w:tcPr>
            <w:tcW w:w="2978" w:type="dxa"/>
            <w:tcBorders>
              <w:top w:val="nil"/>
              <w:left w:val="single" w:sz="8" w:space="0" w:color="auto"/>
              <w:bottom w:val="nil"/>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Superávit o Déficit de Ingresos</w:t>
            </w:r>
          </w:p>
        </w:tc>
        <w:tc>
          <w:tcPr>
            <w:tcW w:w="2409" w:type="dxa"/>
            <w:tcBorders>
              <w:top w:val="nil"/>
              <w:left w:val="nil"/>
              <w:bottom w:val="nil"/>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w:t>
            </w:r>
          </w:p>
        </w:tc>
        <w:tc>
          <w:tcPr>
            <w:tcW w:w="1560" w:type="dxa"/>
            <w:tcBorders>
              <w:top w:val="nil"/>
              <w:left w:val="nil"/>
              <w:bottom w:val="nil"/>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1.138.053.424</w:t>
            </w:r>
          </w:p>
        </w:tc>
      </w:tr>
      <w:tr w:rsidR="00FA7074" w:rsidRPr="00A315C6" w:rsidTr="005C0CA7">
        <w:trPr>
          <w:trHeight w:val="247"/>
          <w:jc w:val="center"/>
        </w:trPr>
        <w:tc>
          <w:tcPr>
            <w:tcW w:w="2978" w:type="dxa"/>
            <w:tcBorders>
              <w:top w:val="single" w:sz="8" w:space="0" w:color="auto"/>
              <w:left w:val="single" w:sz="8" w:space="0" w:color="auto"/>
              <w:bottom w:val="nil"/>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Egresos Presupuestados</w:t>
            </w:r>
          </w:p>
        </w:tc>
        <w:tc>
          <w:tcPr>
            <w:tcW w:w="2409" w:type="dxa"/>
            <w:tcBorders>
              <w:top w:val="single" w:sz="8" w:space="0" w:color="auto"/>
              <w:left w:val="nil"/>
              <w:bottom w:val="nil"/>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4.543.578.389</w:t>
            </w:r>
          </w:p>
        </w:tc>
        <w:tc>
          <w:tcPr>
            <w:tcW w:w="1560" w:type="dxa"/>
            <w:tcBorders>
              <w:top w:val="single" w:sz="8" w:space="0" w:color="auto"/>
              <w:left w:val="nil"/>
              <w:bottom w:val="nil"/>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 </w:t>
            </w:r>
          </w:p>
        </w:tc>
      </w:tr>
      <w:tr w:rsidR="00FA7074" w:rsidRPr="00A315C6" w:rsidTr="005C0CA7">
        <w:trPr>
          <w:trHeight w:val="247"/>
          <w:jc w:val="center"/>
        </w:trPr>
        <w:tc>
          <w:tcPr>
            <w:tcW w:w="2978" w:type="dxa"/>
            <w:tcBorders>
              <w:top w:val="nil"/>
              <w:left w:val="single" w:sz="8" w:space="0" w:color="auto"/>
              <w:bottom w:val="nil"/>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Menos</w:t>
            </w:r>
          </w:p>
        </w:tc>
        <w:tc>
          <w:tcPr>
            <w:tcW w:w="2409" w:type="dxa"/>
            <w:tcBorders>
              <w:top w:val="nil"/>
              <w:left w:val="nil"/>
              <w:bottom w:val="nil"/>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 </w:t>
            </w:r>
          </w:p>
        </w:tc>
        <w:tc>
          <w:tcPr>
            <w:tcW w:w="1560" w:type="dxa"/>
            <w:tcBorders>
              <w:top w:val="nil"/>
              <w:left w:val="nil"/>
              <w:bottom w:val="nil"/>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 </w:t>
            </w:r>
          </w:p>
        </w:tc>
      </w:tr>
      <w:tr w:rsidR="00FA7074" w:rsidRPr="00A315C6" w:rsidTr="005C0CA7">
        <w:trPr>
          <w:trHeight w:val="259"/>
          <w:jc w:val="center"/>
        </w:trPr>
        <w:tc>
          <w:tcPr>
            <w:tcW w:w="2978" w:type="dxa"/>
            <w:tcBorders>
              <w:top w:val="nil"/>
              <w:left w:val="single" w:sz="8" w:space="0" w:color="auto"/>
              <w:bottom w:val="single" w:sz="8" w:space="0" w:color="auto"/>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Egresos Reales</w:t>
            </w:r>
          </w:p>
        </w:tc>
        <w:tc>
          <w:tcPr>
            <w:tcW w:w="2409" w:type="dxa"/>
            <w:tcBorders>
              <w:top w:val="nil"/>
              <w:left w:val="nil"/>
              <w:bottom w:val="single" w:sz="8" w:space="0" w:color="auto"/>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2.163.507.174</w:t>
            </w:r>
          </w:p>
        </w:tc>
        <w:tc>
          <w:tcPr>
            <w:tcW w:w="1560" w:type="dxa"/>
            <w:tcBorders>
              <w:top w:val="nil"/>
              <w:left w:val="nil"/>
              <w:bottom w:val="single" w:sz="8" w:space="0" w:color="auto"/>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 </w:t>
            </w:r>
          </w:p>
        </w:tc>
      </w:tr>
      <w:tr w:rsidR="00FA7074" w:rsidRPr="00A315C6" w:rsidTr="005C0CA7">
        <w:trPr>
          <w:trHeight w:val="259"/>
          <w:jc w:val="center"/>
        </w:trPr>
        <w:tc>
          <w:tcPr>
            <w:tcW w:w="2978" w:type="dxa"/>
            <w:tcBorders>
              <w:top w:val="nil"/>
              <w:left w:val="single" w:sz="8" w:space="0" w:color="auto"/>
              <w:bottom w:val="single" w:sz="8" w:space="0" w:color="auto"/>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Superávit o Déficit de Egresos</w:t>
            </w:r>
          </w:p>
        </w:tc>
        <w:tc>
          <w:tcPr>
            <w:tcW w:w="2409" w:type="dxa"/>
            <w:tcBorders>
              <w:top w:val="nil"/>
              <w:left w:val="nil"/>
              <w:bottom w:val="single" w:sz="8" w:space="0" w:color="auto"/>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w:t>
            </w:r>
          </w:p>
        </w:tc>
        <w:tc>
          <w:tcPr>
            <w:tcW w:w="1560" w:type="dxa"/>
            <w:tcBorders>
              <w:top w:val="nil"/>
              <w:left w:val="nil"/>
              <w:bottom w:val="single" w:sz="8" w:space="0" w:color="auto"/>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2.380.071.215</w:t>
            </w:r>
          </w:p>
        </w:tc>
      </w:tr>
      <w:tr w:rsidR="00FA7074" w:rsidRPr="00A315C6" w:rsidTr="005C0CA7">
        <w:trPr>
          <w:trHeight w:val="259"/>
          <w:jc w:val="center"/>
        </w:trPr>
        <w:tc>
          <w:tcPr>
            <w:tcW w:w="2978" w:type="dxa"/>
            <w:tcBorders>
              <w:top w:val="nil"/>
              <w:left w:val="single" w:sz="8" w:space="0" w:color="auto"/>
              <w:bottom w:val="single" w:sz="8" w:space="0" w:color="auto"/>
              <w:right w:val="single" w:sz="8" w:space="0" w:color="auto"/>
            </w:tcBorders>
            <w:shd w:val="clear" w:color="000000" w:fill="00B050"/>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Superávit Acumulado</w:t>
            </w:r>
          </w:p>
        </w:tc>
        <w:tc>
          <w:tcPr>
            <w:tcW w:w="2409" w:type="dxa"/>
            <w:tcBorders>
              <w:top w:val="nil"/>
              <w:left w:val="nil"/>
              <w:bottom w:val="single" w:sz="8" w:space="0" w:color="auto"/>
              <w:right w:val="single" w:sz="8" w:space="0" w:color="auto"/>
            </w:tcBorders>
            <w:shd w:val="clear" w:color="000000" w:fill="00B050"/>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w:t>
            </w:r>
          </w:p>
        </w:tc>
        <w:tc>
          <w:tcPr>
            <w:tcW w:w="1560" w:type="dxa"/>
            <w:tcBorders>
              <w:top w:val="nil"/>
              <w:left w:val="nil"/>
              <w:bottom w:val="single" w:sz="8" w:space="0" w:color="auto"/>
              <w:right w:val="single" w:sz="8" w:space="0" w:color="auto"/>
            </w:tcBorders>
            <w:shd w:val="clear" w:color="000000" w:fill="00B050"/>
            <w:noWrap/>
            <w:vAlign w:val="center"/>
            <w:hideMark/>
          </w:tcPr>
          <w:p w:rsidR="00FA7074" w:rsidRPr="000A2677" w:rsidRDefault="00FA7074" w:rsidP="005C0CA7">
            <w:pPr>
              <w:jc w:val="right"/>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-1.242.017.791</w:t>
            </w:r>
          </w:p>
        </w:tc>
      </w:tr>
      <w:tr w:rsidR="00FA7074" w:rsidRPr="00A315C6" w:rsidTr="005C0CA7">
        <w:trPr>
          <w:trHeight w:val="259"/>
          <w:jc w:val="center"/>
        </w:trPr>
        <w:tc>
          <w:tcPr>
            <w:tcW w:w="2978" w:type="dxa"/>
            <w:tcBorders>
              <w:top w:val="nil"/>
              <w:left w:val="single" w:sz="8" w:space="0" w:color="auto"/>
              <w:bottom w:val="single" w:sz="8" w:space="0" w:color="auto"/>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w:t>
            </w:r>
          </w:p>
        </w:tc>
        <w:tc>
          <w:tcPr>
            <w:tcW w:w="2409" w:type="dxa"/>
            <w:tcBorders>
              <w:top w:val="nil"/>
              <w:left w:val="nil"/>
              <w:bottom w:val="single" w:sz="8" w:space="0" w:color="auto"/>
              <w:right w:val="single" w:sz="8" w:space="0" w:color="auto"/>
            </w:tcBorders>
            <w:shd w:val="clear" w:color="000000" w:fill="FFFFFF"/>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w:t>
            </w:r>
          </w:p>
        </w:tc>
        <w:tc>
          <w:tcPr>
            <w:tcW w:w="1560" w:type="dxa"/>
            <w:tcBorders>
              <w:top w:val="nil"/>
              <w:left w:val="nil"/>
              <w:bottom w:val="single" w:sz="8" w:space="0" w:color="auto"/>
              <w:right w:val="single" w:sz="8" w:space="0" w:color="auto"/>
            </w:tcBorders>
            <w:shd w:val="clear" w:color="000000" w:fill="FFFFFF"/>
            <w:noWrap/>
            <w:vAlign w:val="center"/>
            <w:hideMark/>
          </w:tcPr>
          <w:p w:rsidR="00FA7074" w:rsidRPr="000A2677" w:rsidRDefault="00FA7074" w:rsidP="005C0CA7">
            <w:pPr>
              <w:jc w:val="right"/>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w:t>
            </w:r>
          </w:p>
        </w:tc>
      </w:tr>
      <w:tr w:rsidR="00FA7074" w:rsidRPr="00A315C6" w:rsidTr="005C0CA7">
        <w:trPr>
          <w:trHeight w:val="259"/>
          <w:jc w:val="center"/>
        </w:trPr>
        <w:tc>
          <w:tcPr>
            <w:tcW w:w="2978" w:type="dxa"/>
            <w:tcBorders>
              <w:top w:val="nil"/>
              <w:left w:val="single" w:sz="8" w:space="0" w:color="auto"/>
              <w:bottom w:val="single" w:sz="8" w:space="0" w:color="auto"/>
              <w:right w:val="single" w:sz="8" w:space="0" w:color="auto"/>
            </w:tcBorders>
            <w:shd w:val="clear" w:color="000000" w:fill="00B050"/>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Superávit Específico</w:t>
            </w:r>
          </w:p>
        </w:tc>
        <w:tc>
          <w:tcPr>
            <w:tcW w:w="2409" w:type="dxa"/>
            <w:tcBorders>
              <w:top w:val="nil"/>
              <w:left w:val="nil"/>
              <w:bottom w:val="single" w:sz="8" w:space="0" w:color="auto"/>
              <w:right w:val="single" w:sz="8" w:space="0" w:color="auto"/>
            </w:tcBorders>
            <w:shd w:val="clear" w:color="000000" w:fill="00B050"/>
            <w:noWrap/>
            <w:vAlign w:val="center"/>
            <w:hideMark/>
          </w:tcPr>
          <w:p w:rsidR="00FA7074" w:rsidRPr="000A2677" w:rsidRDefault="00FA7074" w:rsidP="005C0CA7">
            <w:pPr>
              <w:jc w:val="right"/>
              <w:rPr>
                <w:rFonts w:ascii="Arial" w:eastAsia="Times New Roman" w:hAnsi="Arial" w:cs="Arial"/>
                <w:color w:val="000000"/>
                <w:sz w:val="16"/>
                <w:szCs w:val="16"/>
                <w:lang w:val="es-MX" w:eastAsia="es-MX"/>
              </w:rPr>
            </w:pPr>
            <w:r w:rsidRPr="000A2677">
              <w:rPr>
                <w:rFonts w:ascii="Arial" w:eastAsia="Times New Roman" w:hAnsi="Arial" w:cs="Arial"/>
                <w:color w:val="000000"/>
                <w:sz w:val="16"/>
                <w:szCs w:val="16"/>
                <w:lang w:val="es-MX" w:eastAsia="es-MX"/>
              </w:rPr>
              <w:t> </w:t>
            </w:r>
          </w:p>
        </w:tc>
        <w:tc>
          <w:tcPr>
            <w:tcW w:w="1560" w:type="dxa"/>
            <w:tcBorders>
              <w:top w:val="nil"/>
              <w:left w:val="nil"/>
              <w:bottom w:val="single" w:sz="8" w:space="0" w:color="auto"/>
              <w:right w:val="single" w:sz="8" w:space="0" w:color="auto"/>
            </w:tcBorders>
            <w:shd w:val="clear" w:color="000000" w:fill="00B050"/>
            <w:noWrap/>
            <w:vAlign w:val="center"/>
            <w:hideMark/>
          </w:tcPr>
          <w:p w:rsidR="00FA7074" w:rsidRPr="000A2677" w:rsidRDefault="00FA7074" w:rsidP="005C0CA7">
            <w:pPr>
              <w:jc w:val="right"/>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1.242.017.791</w:t>
            </w:r>
          </w:p>
        </w:tc>
      </w:tr>
      <w:tr w:rsidR="00FA7074" w:rsidRPr="00A315C6" w:rsidTr="005C0CA7">
        <w:trPr>
          <w:trHeight w:val="259"/>
          <w:jc w:val="center"/>
        </w:trPr>
        <w:tc>
          <w:tcPr>
            <w:tcW w:w="2978" w:type="dxa"/>
            <w:tcBorders>
              <w:top w:val="nil"/>
              <w:left w:val="single" w:sz="8" w:space="0" w:color="auto"/>
              <w:bottom w:val="single" w:sz="8" w:space="0" w:color="auto"/>
              <w:right w:val="single" w:sz="8" w:space="0" w:color="auto"/>
            </w:tcBorders>
            <w:shd w:val="clear" w:color="000000" w:fill="00B050"/>
            <w:noWrap/>
            <w:vAlign w:val="center"/>
            <w:hideMark/>
          </w:tcPr>
          <w:p w:rsidR="00FA7074" w:rsidRPr="000A2677" w:rsidRDefault="00FA7074" w:rsidP="005C0CA7">
            <w:pPr>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Superávit Acumulado</w:t>
            </w:r>
          </w:p>
        </w:tc>
        <w:tc>
          <w:tcPr>
            <w:tcW w:w="2409" w:type="dxa"/>
            <w:tcBorders>
              <w:top w:val="nil"/>
              <w:left w:val="nil"/>
              <w:bottom w:val="single" w:sz="8" w:space="0" w:color="auto"/>
              <w:right w:val="single" w:sz="8" w:space="0" w:color="auto"/>
            </w:tcBorders>
            <w:shd w:val="clear" w:color="000000" w:fill="00B050"/>
            <w:noWrap/>
            <w:vAlign w:val="center"/>
            <w:hideMark/>
          </w:tcPr>
          <w:p w:rsidR="00FA7074" w:rsidRPr="000A2677" w:rsidRDefault="00FA7074" w:rsidP="005C0CA7">
            <w:pPr>
              <w:jc w:val="right"/>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 </w:t>
            </w:r>
          </w:p>
        </w:tc>
        <w:tc>
          <w:tcPr>
            <w:tcW w:w="1560" w:type="dxa"/>
            <w:tcBorders>
              <w:top w:val="nil"/>
              <w:left w:val="nil"/>
              <w:bottom w:val="single" w:sz="8" w:space="0" w:color="auto"/>
              <w:right w:val="single" w:sz="8" w:space="0" w:color="auto"/>
            </w:tcBorders>
            <w:shd w:val="clear" w:color="000000" w:fill="00B050"/>
            <w:noWrap/>
            <w:vAlign w:val="center"/>
            <w:hideMark/>
          </w:tcPr>
          <w:p w:rsidR="00FA7074" w:rsidRPr="000A2677" w:rsidRDefault="00FA7074" w:rsidP="005C0CA7">
            <w:pPr>
              <w:jc w:val="right"/>
              <w:rPr>
                <w:rFonts w:ascii="Arial" w:eastAsia="Times New Roman" w:hAnsi="Arial" w:cs="Arial"/>
                <w:b/>
                <w:bCs/>
                <w:color w:val="000000"/>
                <w:sz w:val="16"/>
                <w:szCs w:val="16"/>
                <w:lang w:val="es-MX" w:eastAsia="es-MX"/>
              </w:rPr>
            </w:pPr>
            <w:r w:rsidRPr="000A2677">
              <w:rPr>
                <w:rFonts w:ascii="Arial" w:eastAsia="Times New Roman" w:hAnsi="Arial" w:cs="Arial"/>
                <w:b/>
                <w:bCs/>
                <w:color w:val="000000"/>
                <w:sz w:val="16"/>
                <w:szCs w:val="16"/>
                <w:lang w:val="es-MX" w:eastAsia="es-MX"/>
              </w:rPr>
              <w:t>1.242.017.791</w:t>
            </w:r>
          </w:p>
        </w:tc>
      </w:tr>
    </w:tbl>
    <w:p w:rsidR="00A703BD" w:rsidRDefault="00A703BD" w:rsidP="00AE48B9">
      <w:pPr>
        <w:rPr>
          <w:rFonts w:ascii="Arial" w:hAnsi="Arial" w:cs="Arial"/>
          <w:b/>
          <w:sz w:val="24"/>
          <w:lang w:val="es-ES"/>
        </w:rPr>
      </w:pPr>
    </w:p>
    <w:p w:rsidR="00FA7074" w:rsidRDefault="00FA7074" w:rsidP="00AE48B9">
      <w:pPr>
        <w:rPr>
          <w:rFonts w:ascii="Arial" w:hAnsi="Arial" w:cs="Arial"/>
          <w:b/>
          <w:sz w:val="24"/>
          <w:lang w:val="es-ES"/>
        </w:rPr>
      </w:pPr>
    </w:p>
    <w:p w:rsidR="00A703BD" w:rsidRDefault="00FA7074" w:rsidP="00E266C4">
      <w:pPr>
        <w:jc w:val="both"/>
        <w:rPr>
          <w:rFonts w:ascii="Arial" w:hAnsi="Arial" w:cs="Arial"/>
          <w:b/>
          <w:sz w:val="24"/>
          <w:lang w:val="es-ES"/>
        </w:rPr>
      </w:pPr>
      <w:r w:rsidRPr="00FA7074">
        <w:rPr>
          <w:rFonts w:ascii="Arial" w:hAnsi="Arial" w:cs="Arial"/>
          <w:sz w:val="24"/>
          <w:szCs w:val="24"/>
          <w:lang w:val="es-ES"/>
        </w:rPr>
        <w:t xml:space="preserve">Como se muestra en el cuadro anterior </w:t>
      </w:r>
      <w:r w:rsidRPr="00FA7074">
        <w:rPr>
          <w:rFonts w:ascii="Arial" w:eastAsiaTheme="minorEastAsia" w:hAnsi="Arial" w:cs="Arial"/>
          <w:sz w:val="24"/>
          <w:szCs w:val="24"/>
          <w:lang w:eastAsia="es-CR"/>
        </w:rPr>
        <w:t xml:space="preserve">el superávit específico es por la suma de ¢1.242.017.791, corresponde a recursos que financian principalmente los gastos operativos del Fideicomiso y proyectos especiales. </w:t>
      </w:r>
    </w:p>
    <w:p w:rsidR="00A703BD" w:rsidRDefault="00A703BD" w:rsidP="00AE48B9">
      <w:pPr>
        <w:rPr>
          <w:rFonts w:ascii="Arial" w:hAnsi="Arial" w:cs="Arial"/>
          <w:b/>
          <w:sz w:val="24"/>
          <w:lang w:val="es-ES"/>
        </w:rPr>
      </w:pPr>
    </w:p>
    <w:p w:rsidR="00A703BD" w:rsidRDefault="00A703BD" w:rsidP="00AE48B9">
      <w:pPr>
        <w:rPr>
          <w:rFonts w:ascii="Arial" w:hAnsi="Arial" w:cs="Arial"/>
          <w:b/>
          <w:sz w:val="24"/>
          <w:lang w:val="es-ES"/>
        </w:rPr>
      </w:pPr>
    </w:p>
    <w:p w:rsidR="00A703BD" w:rsidRDefault="00A703BD"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A703BD" w:rsidRDefault="00A703BD" w:rsidP="00AE48B9">
      <w:pPr>
        <w:rPr>
          <w:rFonts w:ascii="Arial" w:hAnsi="Arial" w:cs="Arial"/>
          <w:b/>
          <w:sz w:val="24"/>
          <w:lang w:val="es-ES"/>
        </w:rPr>
      </w:pPr>
    </w:p>
    <w:p w:rsidR="00A703BD" w:rsidRDefault="00A703BD" w:rsidP="00AE48B9">
      <w:pPr>
        <w:rPr>
          <w:rFonts w:ascii="Arial" w:hAnsi="Arial" w:cs="Arial"/>
          <w:b/>
          <w:sz w:val="24"/>
          <w:lang w:val="es-ES"/>
        </w:rPr>
      </w:pPr>
    </w:p>
    <w:p w:rsidR="00A703BD" w:rsidRDefault="00A703BD"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A703BD" w:rsidRDefault="00A703BD" w:rsidP="00AE48B9">
      <w:pPr>
        <w:rPr>
          <w:rFonts w:ascii="Arial" w:hAnsi="Arial" w:cs="Arial"/>
          <w:b/>
          <w:sz w:val="24"/>
          <w:lang w:val="es-ES"/>
        </w:rPr>
      </w:pPr>
    </w:p>
    <w:p w:rsidR="00F1343B" w:rsidRDefault="00F1343B" w:rsidP="00AE48B9">
      <w:pPr>
        <w:rPr>
          <w:lang w:val="es-ES"/>
        </w:rPr>
      </w:pPr>
    </w:p>
    <w:p w:rsidR="00576815" w:rsidRPr="00AE48B9" w:rsidRDefault="00576815" w:rsidP="00AE48B9">
      <w:pPr>
        <w:rPr>
          <w:lang w:val="es-ES"/>
        </w:rPr>
      </w:pPr>
    </w:p>
    <w:p w:rsidR="00982A07" w:rsidRPr="009B4919" w:rsidRDefault="00982A07" w:rsidP="009B4919">
      <w:pPr>
        <w:pStyle w:val="Ttulo1"/>
        <w:numPr>
          <w:ilvl w:val="0"/>
          <w:numId w:val="42"/>
        </w:numPr>
        <w:rPr>
          <w:rFonts w:ascii="Arial" w:hAnsi="Arial" w:cs="Arial"/>
          <w:b/>
        </w:rPr>
      </w:pPr>
      <w:bookmarkStart w:id="7" w:name="_Toc520729577"/>
      <w:r w:rsidRPr="009B4919">
        <w:rPr>
          <w:rFonts w:ascii="Arial" w:hAnsi="Arial" w:cs="Arial"/>
          <w:b/>
        </w:rPr>
        <w:t>Análisis del Avance de los Objetivos y Metas</w:t>
      </w:r>
      <w:bookmarkEnd w:id="7"/>
    </w:p>
    <w:p w:rsidR="00AE48B9" w:rsidRDefault="00AE48B9" w:rsidP="00AE48B9">
      <w:pPr>
        <w:rPr>
          <w:lang w:val="es-ES"/>
        </w:rPr>
      </w:pPr>
    </w:p>
    <w:p w:rsidR="00E266C4" w:rsidRPr="00E266C4" w:rsidRDefault="00E266C4" w:rsidP="00E266C4">
      <w:pPr>
        <w:jc w:val="both"/>
        <w:rPr>
          <w:rFonts w:ascii="Arial" w:hAnsi="Arial" w:cs="Arial"/>
          <w:sz w:val="24"/>
          <w:szCs w:val="24"/>
        </w:rPr>
      </w:pPr>
      <w:r w:rsidRPr="00E266C4">
        <w:rPr>
          <w:rFonts w:ascii="Arial" w:hAnsi="Arial" w:cs="Arial"/>
          <w:sz w:val="24"/>
          <w:szCs w:val="24"/>
        </w:rPr>
        <w:t>A continuación, se describen las principales acciones desarrolladas durante el primer semestre para el logro de las metas establecidas para el año 2018.</w:t>
      </w:r>
    </w:p>
    <w:p w:rsidR="00E266C4" w:rsidRPr="00E266C4" w:rsidRDefault="00E266C4" w:rsidP="00E266C4">
      <w:pPr>
        <w:rPr>
          <w:rFonts w:ascii="Arial" w:hAnsi="Arial" w:cs="Arial"/>
          <w:b/>
          <w:sz w:val="24"/>
          <w:szCs w:val="24"/>
        </w:rPr>
      </w:pPr>
    </w:p>
    <w:p w:rsidR="00E266C4" w:rsidRPr="00E266C4" w:rsidRDefault="00E266C4" w:rsidP="00E266C4">
      <w:pPr>
        <w:rPr>
          <w:rFonts w:ascii="Arial" w:hAnsi="Arial" w:cs="Arial"/>
          <w:b/>
          <w:sz w:val="24"/>
          <w:szCs w:val="24"/>
        </w:rPr>
      </w:pPr>
    </w:p>
    <w:p w:rsidR="00E266C4" w:rsidRPr="00E266C4" w:rsidRDefault="00E266C4" w:rsidP="00E266C4">
      <w:pPr>
        <w:rPr>
          <w:rFonts w:ascii="Arial" w:hAnsi="Arial" w:cs="Arial"/>
          <w:b/>
          <w:sz w:val="24"/>
          <w:szCs w:val="24"/>
        </w:rPr>
      </w:pPr>
      <w:r w:rsidRPr="00E266C4">
        <w:rPr>
          <w:rFonts w:ascii="Arial" w:hAnsi="Arial" w:cs="Arial"/>
          <w:b/>
          <w:sz w:val="24"/>
          <w:szCs w:val="24"/>
        </w:rPr>
        <w:t>Meta:</w:t>
      </w:r>
    </w:p>
    <w:p w:rsidR="00E266C4" w:rsidRPr="00E266C4" w:rsidRDefault="00E266C4" w:rsidP="00E266C4">
      <w:pPr>
        <w:rPr>
          <w:rFonts w:ascii="Arial" w:hAnsi="Arial" w:cs="Arial"/>
          <w:b/>
          <w:sz w:val="24"/>
          <w:szCs w:val="24"/>
        </w:rPr>
      </w:pPr>
    </w:p>
    <w:p w:rsidR="00E266C4" w:rsidRPr="00E266C4" w:rsidRDefault="00E266C4" w:rsidP="00E266C4">
      <w:pPr>
        <w:pStyle w:val="Prrafodelista"/>
        <w:spacing w:after="0"/>
        <w:ind w:left="284"/>
        <w:jc w:val="both"/>
        <w:rPr>
          <w:rFonts w:ascii="Arial" w:hAnsi="Arial" w:cs="Arial"/>
          <w:b/>
          <w:sz w:val="24"/>
          <w:szCs w:val="24"/>
        </w:rPr>
      </w:pPr>
      <w:r w:rsidRPr="00E266C4">
        <w:rPr>
          <w:rFonts w:ascii="Arial" w:hAnsi="Arial" w:cs="Arial"/>
          <w:b/>
          <w:color w:val="000000"/>
          <w:sz w:val="24"/>
          <w:szCs w:val="24"/>
          <w:lang w:eastAsia="es-CR"/>
        </w:rPr>
        <w:t>Coadyuvar al FONAFIFO en la formalización, trámite de pago y seguimiento de los contratos por Servicios Ambientales en al menos 300.000 hectáreas de bosques, plantaciones y regeneración natural, de acuerdo a lo establecido en el Plan Nacional de Desarrollo y la normativa vigente</w:t>
      </w:r>
      <w:r w:rsidRPr="00E266C4">
        <w:rPr>
          <w:rFonts w:ascii="Arial" w:hAnsi="Arial" w:cs="Arial"/>
          <w:b/>
          <w:sz w:val="24"/>
          <w:szCs w:val="24"/>
        </w:rPr>
        <w:t>.</w:t>
      </w:r>
    </w:p>
    <w:p w:rsidR="00E266C4" w:rsidRPr="00E266C4" w:rsidRDefault="00E266C4" w:rsidP="00E266C4">
      <w:pPr>
        <w:rPr>
          <w:rFonts w:ascii="Arial" w:hAnsi="Arial" w:cs="Arial"/>
          <w:b/>
          <w:sz w:val="24"/>
          <w:szCs w:val="24"/>
        </w:rPr>
      </w:pPr>
    </w:p>
    <w:p w:rsidR="00E266C4" w:rsidRPr="00E266C4" w:rsidRDefault="00E266C4" w:rsidP="00E266C4">
      <w:pPr>
        <w:autoSpaceDE w:val="0"/>
        <w:autoSpaceDN w:val="0"/>
        <w:adjustRightInd w:val="0"/>
        <w:rPr>
          <w:rFonts w:ascii="Arial" w:eastAsiaTheme="minorHAnsi" w:hAnsi="Arial" w:cs="Arial"/>
          <w:sz w:val="24"/>
          <w:szCs w:val="24"/>
        </w:rPr>
      </w:pPr>
    </w:p>
    <w:p w:rsidR="00E266C4" w:rsidRPr="00E266C4" w:rsidRDefault="00E266C4" w:rsidP="00E266C4">
      <w:pPr>
        <w:jc w:val="both"/>
        <w:rPr>
          <w:rFonts w:ascii="Arial" w:hAnsi="Arial" w:cs="Arial"/>
          <w:sz w:val="24"/>
          <w:szCs w:val="24"/>
        </w:rPr>
      </w:pPr>
      <w:r w:rsidRPr="00E266C4">
        <w:rPr>
          <w:rFonts w:ascii="Arial" w:hAnsi="Arial" w:cs="Arial"/>
          <w:sz w:val="24"/>
          <w:szCs w:val="24"/>
        </w:rPr>
        <w:t>Durante el año 2018 el Fideicomiso coadyuvó al FONAFIFO en el trámite de pago de 60 hectáreas bajo el programa de servicios ambientales por un monto de ¢1.615.914.</w:t>
      </w:r>
    </w:p>
    <w:p w:rsidR="00E266C4" w:rsidRPr="00E266C4" w:rsidRDefault="00E266C4" w:rsidP="00E266C4">
      <w:pPr>
        <w:jc w:val="both"/>
        <w:rPr>
          <w:rFonts w:ascii="Arial" w:hAnsi="Arial" w:cs="Arial"/>
          <w:sz w:val="24"/>
          <w:szCs w:val="24"/>
        </w:rPr>
      </w:pPr>
    </w:p>
    <w:p w:rsidR="00E266C4" w:rsidRPr="00E266C4" w:rsidRDefault="00E266C4" w:rsidP="00E266C4">
      <w:pPr>
        <w:pStyle w:val="Prrafodelista"/>
        <w:spacing w:after="0"/>
        <w:ind w:left="284"/>
        <w:jc w:val="both"/>
        <w:rPr>
          <w:rFonts w:ascii="Arial" w:hAnsi="Arial" w:cs="Arial"/>
          <w:bCs/>
          <w:sz w:val="24"/>
          <w:szCs w:val="24"/>
          <w:lang w:eastAsia="es-CR"/>
        </w:rPr>
      </w:pPr>
      <w:r w:rsidRPr="00E266C4">
        <w:rPr>
          <w:rFonts w:ascii="Arial" w:hAnsi="Arial" w:cs="Arial"/>
          <w:b/>
          <w:color w:val="000000"/>
          <w:sz w:val="24"/>
          <w:szCs w:val="24"/>
          <w:lang w:eastAsia="es-CR"/>
        </w:rPr>
        <w:t>Coadyuvar al FONAFIFO en el desarrollo de la Estrategia REDD+ como parte de las diferentes acciones necesarias para la consecución de un instrumento que permita reducir las emisiones nacionales por deforestación y degradación de bosques para fortalecer la calidad ambiental de vida de los habitantes del país.</w:t>
      </w:r>
    </w:p>
    <w:p w:rsidR="00E266C4" w:rsidRPr="00E266C4" w:rsidRDefault="00E266C4" w:rsidP="00E266C4">
      <w:pPr>
        <w:jc w:val="both"/>
        <w:rPr>
          <w:rFonts w:ascii="Arial" w:hAnsi="Arial" w:cs="Arial"/>
          <w:color w:val="FF0000"/>
          <w:sz w:val="24"/>
          <w:szCs w:val="24"/>
        </w:rPr>
      </w:pPr>
    </w:p>
    <w:p w:rsidR="00E266C4" w:rsidRPr="00E266C4" w:rsidRDefault="00E266C4" w:rsidP="00E266C4">
      <w:pPr>
        <w:jc w:val="both"/>
        <w:rPr>
          <w:rFonts w:ascii="Arial" w:eastAsiaTheme="minorHAnsi" w:hAnsi="Arial" w:cs="Arial"/>
          <w:sz w:val="24"/>
          <w:szCs w:val="24"/>
          <w:u w:val="single"/>
        </w:rPr>
      </w:pPr>
      <w:r w:rsidRPr="00E266C4">
        <w:rPr>
          <w:rFonts w:ascii="Arial" w:hAnsi="Arial" w:cs="Arial"/>
          <w:sz w:val="24"/>
          <w:szCs w:val="24"/>
          <w:u w:val="single"/>
        </w:rPr>
        <w:t>Durante el segundo semestre se destacan los siguientes logros para la Estrategia REDD+:</w:t>
      </w:r>
    </w:p>
    <w:p w:rsidR="00E266C4" w:rsidRPr="00E266C4" w:rsidRDefault="00E266C4" w:rsidP="00E266C4">
      <w:pPr>
        <w:numPr>
          <w:ilvl w:val="0"/>
          <w:numId w:val="40"/>
        </w:numPr>
        <w:jc w:val="both"/>
        <w:rPr>
          <w:rFonts w:eastAsia="Times New Roman"/>
          <w:sz w:val="24"/>
          <w:szCs w:val="24"/>
        </w:rPr>
      </w:pPr>
      <w:r w:rsidRPr="00E266C4">
        <w:rPr>
          <w:rFonts w:ascii="Arial" w:eastAsia="Times New Roman" w:hAnsi="Arial" w:cs="Arial"/>
          <w:sz w:val="24"/>
          <w:szCs w:val="24"/>
        </w:rPr>
        <w:t>Con respecto a la Estrategia Nacional REDD+, se finalizó el documento junto con su Plan de Implementación, dicho documento contiene 6 políticas y 47 medidas tendientes a atacar la deforestación y la degradación de los bosques. El costeo y la presupuestación de la ejecución de las medidas se encuentra en el Plan de Implantación.</w:t>
      </w:r>
    </w:p>
    <w:p w:rsidR="00E266C4" w:rsidRPr="00E266C4" w:rsidRDefault="00E266C4" w:rsidP="00E266C4">
      <w:pPr>
        <w:jc w:val="both"/>
        <w:rPr>
          <w:rFonts w:eastAsiaTheme="minorHAnsi"/>
          <w:sz w:val="24"/>
          <w:szCs w:val="24"/>
        </w:rPr>
      </w:pPr>
      <w:r w:rsidRPr="00E266C4">
        <w:rPr>
          <w:rFonts w:ascii="Arial" w:hAnsi="Arial" w:cs="Arial"/>
          <w:sz w:val="24"/>
          <w:szCs w:val="24"/>
        </w:rPr>
        <w:t> </w:t>
      </w:r>
    </w:p>
    <w:p w:rsidR="00E266C4" w:rsidRPr="00E266C4" w:rsidRDefault="00E266C4" w:rsidP="00E266C4">
      <w:pPr>
        <w:numPr>
          <w:ilvl w:val="0"/>
          <w:numId w:val="40"/>
        </w:numPr>
        <w:jc w:val="both"/>
        <w:rPr>
          <w:rFonts w:eastAsia="Times New Roman"/>
          <w:sz w:val="24"/>
          <w:szCs w:val="24"/>
        </w:rPr>
      </w:pPr>
      <w:r w:rsidRPr="00E266C4">
        <w:rPr>
          <w:rFonts w:ascii="Arial" w:eastAsia="Times New Roman" w:hAnsi="Arial" w:cs="Arial"/>
          <w:sz w:val="24"/>
          <w:szCs w:val="24"/>
        </w:rPr>
        <w:t>Se inició la etapa final de la consulta indígena, que contemplará el desarrollo de las hojas de ruta para abordar los 5 temas definidos por los líderes de los territorios. Además, recientemente se ha reiniciado el diálogo con los sectores campesino y de pequeños productores.</w:t>
      </w:r>
    </w:p>
    <w:p w:rsidR="00E266C4" w:rsidRPr="00E266C4" w:rsidRDefault="00E266C4" w:rsidP="00E266C4">
      <w:pPr>
        <w:pStyle w:val="Prrafodelista"/>
        <w:rPr>
          <w:rFonts w:eastAsiaTheme="minorHAnsi"/>
          <w:sz w:val="24"/>
          <w:szCs w:val="24"/>
        </w:rPr>
      </w:pPr>
      <w:r w:rsidRPr="00E266C4">
        <w:rPr>
          <w:rFonts w:ascii="Arial" w:hAnsi="Arial" w:cs="Arial"/>
          <w:sz w:val="24"/>
          <w:szCs w:val="24"/>
        </w:rPr>
        <w:t> </w:t>
      </w:r>
    </w:p>
    <w:p w:rsidR="00E266C4" w:rsidRPr="00E266C4" w:rsidRDefault="00E266C4" w:rsidP="00E266C4">
      <w:pPr>
        <w:numPr>
          <w:ilvl w:val="0"/>
          <w:numId w:val="40"/>
        </w:numPr>
        <w:jc w:val="both"/>
        <w:rPr>
          <w:rFonts w:eastAsia="Times New Roman"/>
          <w:sz w:val="24"/>
          <w:szCs w:val="24"/>
        </w:rPr>
      </w:pPr>
      <w:r w:rsidRPr="00E266C4">
        <w:rPr>
          <w:rFonts w:ascii="Arial" w:eastAsia="Times New Roman" w:hAnsi="Arial" w:cs="Arial"/>
          <w:sz w:val="24"/>
          <w:szCs w:val="24"/>
        </w:rPr>
        <w:t>En cuanto a las negociaciones internacionales se logró avanzar con la aprobación provisional del Documento del Programa de Reducción de Emisiones, ERPD por sus siglas en inglés y la incorporación de Costa Rica en el portafolio del Fondo de Carbono, siendo en ese momento el quinto país en el mundo en lograrlo. Con esto se inició el proceso de negociación de venta de reducción de emisiones que eventualmente podría significar un importante flujo financiero para la conservación y desarrollo de los bosques.</w:t>
      </w:r>
    </w:p>
    <w:p w:rsidR="00E266C4" w:rsidRPr="00E266C4" w:rsidRDefault="00E266C4" w:rsidP="00E266C4">
      <w:pPr>
        <w:jc w:val="both"/>
        <w:rPr>
          <w:rFonts w:eastAsiaTheme="minorHAnsi"/>
          <w:sz w:val="24"/>
          <w:szCs w:val="24"/>
        </w:rPr>
      </w:pPr>
      <w:r w:rsidRPr="00E266C4">
        <w:rPr>
          <w:rFonts w:ascii="Arial" w:hAnsi="Arial" w:cs="Arial"/>
          <w:sz w:val="24"/>
          <w:szCs w:val="24"/>
        </w:rPr>
        <w:t> </w:t>
      </w:r>
    </w:p>
    <w:p w:rsidR="00E266C4" w:rsidRPr="00E266C4" w:rsidRDefault="00E266C4" w:rsidP="00E266C4">
      <w:pPr>
        <w:numPr>
          <w:ilvl w:val="0"/>
          <w:numId w:val="40"/>
        </w:numPr>
        <w:jc w:val="both"/>
        <w:rPr>
          <w:rFonts w:ascii="Arial" w:eastAsia="Times New Roman" w:hAnsi="Arial" w:cs="Arial"/>
          <w:sz w:val="24"/>
          <w:szCs w:val="24"/>
        </w:rPr>
      </w:pPr>
      <w:r w:rsidRPr="00E266C4">
        <w:rPr>
          <w:rFonts w:ascii="Arial" w:eastAsia="Times New Roman" w:hAnsi="Arial" w:cs="Arial"/>
          <w:sz w:val="24"/>
          <w:szCs w:val="24"/>
        </w:rPr>
        <w:t>Se ha avanzado en la elaboración de los requisitos para optar para el pago por resultados en el Fondo Verde del Clima, en la búsqueda de más recursos para la conservación de los bosques. Entre estos requisitos se encuentra un resumen de información de salvaguardas que será anexado en el Informe Bienal de Actualización del Inventario de Gases de Efecto Invernadero que se presenta a la Convención Marco de Naciones Unidas sobre Cambio Climático en el año 2019. También se encuentra en consulta con los actores vinculados al monitoreo nacional, el documento que establece el Sistema de Monitoreo Nacional de Bosques, mismo que será implementado para realizar los monitoreos e informes a presentar sobre la Estrategia Nacional REDD+ a los diferentes entes nacionales e internacionales bajo los cuales exista el requisito.</w:t>
      </w:r>
    </w:p>
    <w:p w:rsidR="00E266C4" w:rsidRPr="00E266C4" w:rsidRDefault="00E266C4" w:rsidP="00E266C4">
      <w:pPr>
        <w:jc w:val="both"/>
        <w:rPr>
          <w:rFonts w:ascii="Arial" w:eastAsia="Times New Roman" w:hAnsi="Arial" w:cs="Arial"/>
          <w:sz w:val="24"/>
          <w:szCs w:val="24"/>
        </w:rPr>
      </w:pPr>
      <w:r w:rsidRPr="00E266C4">
        <w:rPr>
          <w:rFonts w:ascii="Arial" w:eastAsia="Times New Roman" w:hAnsi="Arial" w:cs="Arial"/>
          <w:sz w:val="24"/>
          <w:szCs w:val="24"/>
        </w:rPr>
        <w:t> </w:t>
      </w:r>
    </w:p>
    <w:p w:rsidR="00E266C4" w:rsidRPr="00E266C4" w:rsidRDefault="00E266C4" w:rsidP="00E266C4">
      <w:pPr>
        <w:numPr>
          <w:ilvl w:val="0"/>
          <w:numId w:val="40"/>
        </w:numPr>
        <w:jc w:val="both"/>
        <w:rPr>
          <w:rFonts w:eastAsia="Times New Roman"/>
          <w:sz w:val="24"/>
          <w:szCs w:val="24"/>
        </w:rPr>
      </w:pPr>
      <w:r w:rsidRPr="00E266C4">
        <w:rPr>
          <w:rFonts w:ascii="Arial" w:eastAsia="Times New Roman" w:hAnsi="Arial" w:cs="Arial"/>
          <w:sz w:val="24"/>
          <w:szCs w:val="24"/>
        </w:rPr>
        <w:t>En cuanto al nivel de referencia de emisiones forestales, se ha avanzado con los estudios en cuanto a la determinación de las emisiones por degradación forestal y el documento final de Reducción de Emisiones, estará listo en el mes de setiembre.</w:t>
      </w:r>
    </w:p>
    <w:p w:rsidR="00E266C4" w:rsidRPr="00E266C4" w:rsidRDefault="00E266C4" w:rsidP="00461966">
      <w:pPr>
        <w:pStyle w:val="Prrafodelista"/>
        <w:rPr>
          <w:sz w:val="24"/>
          <w:szCs w:val="24"/>
        </w:rPr>
      </w:pPr>
      <w:r w:rsidRPr="00E266C4">
        <w:rPr>
          <w:rFonts w:ascii="Arial" w:hAnsi="Arial" w:cs="Arial"/>
          <w:sz w:val="24"/>
          <w:szCs w:val="24"/>
        </w:rPr>
        <w:t> </w:t>
      </w:r>
    </w:p>
    <w:p w:rsidR="00E266C4" w:rsidRDefault="00E266C4" w:rsidP="00E266C4">
      <w:pPr>
        <w:jc w:val="both"/>
        <w:rPr>
          <w:rFonts w:ascii="Arial" w:eastAsia="Times New Roman" w:hAnsi="Arial" w:cs="Arial"/>
          <w:sz w:val="24"/>
          <w:szCs w:val="24"/>
        </w:rPr>
      </w:pPr>
      <w:r w:rsidRPr="00E266C4">
        <w:rPr>
          <w:rFonts w:ascii="Arial" w:eastAsia="Times New Roman" w:hAnsi="Arial" w:cs="Arial"/>
          <w:sz w:val="24"/>
          <w:szCs w:val="24"/>
        </w:rPr>
        <w:t>Todo lo anterior se debe hacer en ambiente de respeto y protección a la integridad ambiental, derechos humanos y con una amplia participación social para garantizar la calidad ambiental sin perjuicio de la calidad de vida de los habitantes (salvaguardas de REDD+ y Políticas Operacionales del Banco mundial y Legislación Nacional)</w:t>
      </w:r>
    </w:p>
    <w:p w:rsidR="00E266C4" w:rsidRPr="00E266C4" w:rsidRDefault="00E266C4" w:rsidP="00E266C4">
      <w:pPr>
        <w:jc w:val="both"/>
        <w:rPr>
          <w:rFonts w:ascii="Arial" w:hAnsi="Arial" w:cs="Arial"/>
          <w:b/>
          <w:sz w:val="24"/>
          <w:szCs w:val="24"/>
        </w:rPr>
      </w:pPr>
    </w:p>
    <w:p w:rsidR="00E266C4" w:rsidRPr="00E266C4" w:rsidRDefault="00E266C4" w:rsidP="00E266C4">
      <w:pPr>
        <w:jc w:val="both"/>
        <w:rPr>
          <w:rFonts w:ascii="Arial" w:hAnsi="Arial" w:cs="Arial"/>
          <w:b/>
          <w:sz w:val="24"/>
          <w:szCs w:val="24"/>
        </w:rPr>
      </w:pPr>
    </w:p>
    <w:p w:rsidR="00E266C4" w:rsidRPr="00E266C4" w:rsidRDefault="00E266C4" w:rsidP="00E266C4">
      <w:pPr>
        <w:pStyle w:val="Prrafodelista"/>
        <w:numPr>
          <w:ilvl w:val="0"/>
          <w:numId w:val="30"/>
        </w:numPr>
        <w:spacing w:after="0"/>
        <w:ind w:left="644"/>
        <w:contextualSpacing/>
        <w:jc w:val="both"/>
        <w:rPr>
          <w:rFonts w:ascii="Arial" w:hAnsi="Arial" w:cs="Arial"/>
          <w:b/>
          <w:sz w:val="24"/>
          <w:szCs w:val="24"/>
        </w:rPr>
      </w:pPr>
      <w:r w:rsidRPr="00E266C4">
        <w:rPr>
          <w:rFonts w:ascii="Arial" w:hAnsi="Arial" w:cs="Arial"/>
          <w:b/>
          <w:color w:val="000000"/>
          <w:sz w:val="24"/>
          <w:szCs w:val="24"/>
          <w:lang w:eastAsia="es-CR"/>
        </w:rPr>
        <w:t>Colocar 991 millones de colones en operaciones de crédito dirigidos al sector forestal</w:t>
      </w:r>
      <w:r w:rsidRPr="00E266C4">
        <w:rPr>
          <w:rFonts w:ascii="Arial" w:hAnsi="Arial" w:cs="Arial"/>
          <w:b/>
          <w:sz w:val="24"/>
          <w:szCs w:val="24"/>
        </w:rPr>
        <w:t>.</w:t>
      </w:r>
    </w:p>
    <w:p w:rsidR="00E266C4" w:rsidRPr="00E266C4" w:rsidRDefault="00E266C4" w:rsidP="00E266C4">
      <w:pPr>
        <w:pStyle w:val="Prrafodelista"/>
        <w:spacing w:after="0"/>
        <w:jc w:val="both"/>
        <w:rPr>
          <w:rFonts w:ascii="Arial" w:hAnsi="Arial" w:cs="Arial"/>
          <w:b/>
          <w:sz w:val="24"/>
          <w:szCs w:val="24"/>
        </w:rPr>
      </w:pPr>
    </w:p>
    <w:p w:rsidR="00E266C4" w:rsidRDefault="00E266C4" w:rsidP="00E266C4">
      <w:pPr>
        <w:jc w:val="both"/>
        <w:rPr>
          <w:rFonts w:ascii="Arial" w:eastAsia="Times New Roman" w:hAnsi="Arial" w:cs="Arial"/>
          <w:bCs/>
          <w:lang w:eastAsia="es-CR"/>
        </w:rPr>
      </w:pPr>
      <w:r w:rsidRPr="00E266C4">
        <w:rPr>
          <w:rFonts w:ascii="Arial" w:eastAsia="Times New Roman" w:hAnsi="Arial" w:cs="Arial"/>
          <w:bCs/>
          <w:sz w:val="24"/>
          <w:szCs w:val="24"/>
          <w:lang w:eastAsia="es-CR"/>
        </w:rPr>
        <w:t>Al cierre del periodo 2018 se logró la colocación de ¢923,37 millones correspondientes a 46 operaciones nuevas que impactaron 1.357,9 hectáreas. De estas operaciones, se tiene que, del subprograma Fomento productivo, 12 operaciones corresponden al Programa Plantaciones de Aprovechamiento Forestal (PPAF).</w:t>
      </w:r>
    </w:p>
    <w:p w:rsidR="00906CB7" w:rsidRDefault="00906CB7" w:rsidP="00AE48B9">
      <w:pPr>
        <w:rPr>
          <w:rFonts w:ascii="Arial" w:hAnsi="Arial" w:cs="Arial"/>
          <w:b/>
        </w:rPr>
      </w:pPr>
    </w:p>
    <w:p w:rsidR="00FD5798" w:rsidRPr="008E2C15" w:rsidRDefault="00FD5798" w:rsidP="00AE48B9">
      <w:pPr>
        <w:rPr>
          <w:rFonts w:ascii="Arial" w:eastAsia="Times New Roman" w:hAnsi="Arial" w:cs="Arial"/>
          <w:bCs/>
          <w:sz w:val="24"/>
          <w:szCs w:val="24"/>
          <w:lang w:eastAsia="es-CR"/>
        </w:rPr>
      </w:pPr>
      <w:r w:rsidRPr="008E2C15">
        <w:rPr>
          <w:rFonts w:ascii="Arial" w:eastAsia="Times New Roman" w:hAnsi="Arial" w:cs="Arial"/>
          <w:bCs/>
          <w:sz w:val="24"/>
          <w:szCs w:val="24"/>
          <w:lang w:eastAsia="es-CR"/>
        </w:rPr>
        <w:t>A continuación, un detalle de los resultados alcanzados:</w:t>
      </w:r>
    </w:p>
    <w:p w:rsidR="008E2C15" w:rsidRPr="008E2C15" w:rsidRDefault="008E2C15" w:rsidP="00AE48B9">
      <w:pPr>
        <w:rPr>
          <w:rFonts w:ascii="Arial" w:eastAsia="Times New Roman" w:hAnsi="Arial" w:cs="Arial"/>
          <w:bCs/>
          <w:sz w:val="24"/>
          <w:szCs w:val="24"/>
          <w:lang w:eastAsia="es-CR"/>
        </w:rPr>
      </w:pPr>
    </w:p>
    <w:tbl>
      <w:tblPr>
        <w:tblStyle w:val="Tablaconcuadrcula"/>
        <w:tblW w:w="5000" w:type="pct"/>
        <w:tblLook w:val="04A0" w:firstRow="1" w:lastRow="0" w:firstColumn="1" w:lastColumn="0" w:noHBand="0" w:noVBand="1"/>
      </w:tblPr>
      <w:tblGrid>
        <w:gridCol w:w="1816"/>
        <w:gridCol w:w="2339"/>
        <w:gridCol w:w="2032"/>
        <w:gridCol w:w="2064"/>
        <w:gridCol w:w="1633"/>
      </w:tblGrid>
      <w:tr w:rsidR="008E2C15" w:rsidRPr="008E2C15" w:rsidTr="00AE46EA">
        <w:trPr>
          <w:tblHeader/>
        </w:trPr>
        <w:tc>
          <w:tcPr>
            <w:tcW w:w="919" w:type="pct"/>
            <w:shd w:val="clear" w:color="auto" w:fill="00B050"/>
            <w:vAlign w:val="center"/>
          </w:tcPr>
          <w:p w:rsidR="008E2C15" w:rsidRPr="008E2C15" w:rsidRDefault="008E2C15" w:rsidP="00461966">
            <w:pPr>
              <w:spacing w:line="276" w:lineRule="auto"/>
              <w:jc w:val="center"/>
              <w:rPr>
                <w:rFonts w:ascii="Arial" w:hAnsi="Arial" w:cs="Arial"/>
                <w:b/>
                <w:sz w:val="16"/>
                <w:szCs w:val="16"/>
              </w:rPr>
            </w:pPr>
            <w:r w:rsidRPr="008E2C15">
              <w:rPr>
                <w:rFonts w:ascii="Arial" w:hAnsi="Arial" w:cs="Arial"/>
                <w:b/>
                <w:sz w:val="16"/>
                <w:szCs w:val="16"/>
              </w:rPr>
              <w:t>Producto</w:t>
            </w:r>
          </w:p>
        </w:tc>
        <w:tc>
          <w:tcPr>
            <w:tcW w:w="1183" w:type="pct"/>
            <w:shd w:val="clear" w:color="auto" w:fill="00B050"/>
            <w:vAlign w:val="center"/>
          </w:tcPr>
          <w:p w:rsidR="008E2C15" w:rsidRPr="008E2C15" w:rsidRDefault="008E2C15" w:rsidP="00461966">
            <w:pPr>
              <w:spacing w:line="276" w:lineRule="auto"/>
              <w:jc w:val="center"/>
              <w:rPr>
                <w:rFonts w:ascii="Arial" w:hAnsi="Arial" w:cs="Arial"/>
                <w:b/>
                <w:sz w:val="16"/>
                <w:szCs w:val="16"/>
              </w:rPr>
            </w:pPr>
            <w:r w:rsidRPr="008E2C15">
              <w:rPr>
                <w:rFonts w:ascii="Arial" w:hAnsi="Arial" w:cs="Arial"/>
                <w:b/>
                <w:sz w:val="16"/>
                <w:szCs w:val="16"/>
              </w:rPr>
              <w:t>Indicador</w:t>
            </w:r>
          </w:p>
        </w:tc>
        <w:tc>
          <w:tcPr>
            <w:tcW w:w="1028" w:type="pct"/>
            <w:shd w:val="clear" w:color="auto" w:fill="00B050"/>
            <w:vAlign w:val="center"/>
          </w:tcPr>
          <w:p w:rsidR="008E2C15" w:rsidRPr="008E2C15" w:rsidRDefault="008E2C15" w:rsidP="00461966">
            <w:pPr>
              <w:spacing w:line="276" w:lineRule="auto"/>
              <w:jc w:val="center"/>
              <w:rPr>
                <w:rFonts w:ascii="Arial" w:hAnsi="Arial" w:cs="Arial"/>
                <w:b/>
                <w:sz w:val="16"/>
                <w:szCs w:val="16"/>
              </w:rPr>
            </w:pPr>
            <w:r w:rsidRPr="008E2C15">
              <w:rPr>
                <w:rFonts w:ascii="Arial" w:hAnsi="Arial" w:cs="Arial"/>
                <w:b/>
                <w:sz w:val="16"/>
                <w:szCs w:val="16"/>
              </w:rPr>
              <w:t>Meta</w:t>
            </w:r>
          </w:p>
        </w:tc>
        <w:tc>
          <w:tcPr>
            <w:tcW w:w="1044" w:type="pct"/>
            <w:shd w:val="clear" w:color="auto" w:fill="00B050"/>
            <w:vAlign w:val="center"/>
          </w:tcPr>
          <w:p w:rsidR="008E2C15" w:rsidRPr="008E2C15" w:rsidRDefault="008E2C15" w:rsidP="00461966">
            <w:pPr>
              <w:spacing w:line="276" w:lineRule="auto"/>
              <w:jc w:val="center"/>
              <w:rPr>
                <w:rFonts w:ascii="Arial" w:hAnsi="Arial" w:cs="Arial"/>
                <w:b/>
                <w:sz w:val="16"/>
                <w:szCs w:val="16"/>
              </w:rPr>
            </w:pPr>
            <w:r w:rsidRPr="008E2C15">
              <w:rPr>
                <w:rFonts w:ascii="Arial" w:hAnsi="Arial" w:cs="Arial"/>
                <w:b/>
                <w:sz w:val="16"/>
                <w:szCs w:val="16"/>
              </w:rPr>
              <w:t>Resultado Absoluto</w:t>
            </w:r>
          </w:p>
        </w:tc>
        <w:tc>
          <w:tcPr>
            <w:tcW w:w="826" w:type="pct"/>
            <w:shd w:val="clear" w:color="auto" w:fill="00B050"/>
            <w:vAlign w:val="center"/>
          </w:tcPr>
          <w:p w:rsidR="008E2C15" w:rsidRPr="008E2C15" w:rsidRDefault="008E2C15" w:rsidP="00461966">
            <w:pPr>
              <w:spacing w:line="276" w:lineRule="auto"/>
              <w:jc w:val="center"/>
              <w:rPr>
                <w:rFonts w:ascii="Arial" w:hAnsi="Arial" w:cs="Arial"/>
                <w:b/>
                <w:sz w:val="16"/>
                <w:szCs w:val="16"/>
              </w:rPr>
            </w:pPr>
            <w:r w:rsidRPr="008E2C15">
              <w:rPr>
                <w:rFonts w:ascii="Arial" w:hAnsi="Arial" w:cs="Arial"/>
                <w:b/>
                <w:sz w:val="16"/>
                <w:szCs w:val="16"/>
              </w:rPr>
              <w:t>Resultado Relativo</w:t>
            </w:r>
          </w:p>
        </w:tc>
      </w:tr>
      <w:tr w:rsidR="008E2C15" w:rsidRPr="008E2C15" w:rsidTr="00461966">
        <w:tc>
          <w:tcPr>
            <w:tcW w:w="919" w:type="pct"/>
            <w:vMerge w:val="restar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 xml:space="preserve">Crédito Forestal </w:t>
            </w:r>
          </w:p>
        </w:tc>
        <w:tc>
          <w:tcPr>
            <w:tcW w:w="1183"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Monto anual colocado en créditos forestales</w:t>
            </w:r>
          </w:p>
          <w:p w:rsidR="008E2C15" w:rsidRPr="008E2C15" w:rsidRDefault="008E2C15" w:rsidP="00461966">
            <w:pPr>
              <w:spacing w:line="276" w:lineRule="auto"/>
              <w:jc w:val="both"/>
              <w:rPr>
                <w:rFonts w:ascii="Arial" w:hAnsi="Arial" w:cs="Arial"/>
                <w:sz w:val="16"/>
                <w:szCs w:val="16"/>
              </w:rPr>
            </w:pPr>
          </w:p>
        </w:tc>
        <w:tc>
          <w:tcPr>
            <w:tcW w:w="1028" w:type="pct"/>
          </w:tcPr>
          <w:p w:rsidR="008E2C15" w:rsidRPr="008E2C15" w:rsidRDefault="008E2C15" w:rsidP="00A9147E">
            <w:pPr>
              <w:spacing w:line="276" w:lineRule="auto"/>
              <w:jc w:val="both"/>
              <w:rPr>
                <w:rFonts w:ascii="Arial" w:hAnsi="Arial" w:cs="Arial"/>
                <w:sz w:val="16"/>
                <w:szCs w:val="16"/>
              </w:rPr>
            </w:pPr>
            <w:r w:rsidRPr="008E2C15">
              <w:rPr>
                <w:rFonts w:ascii="Arial" w:eastAsia="Arial" w:hAnsi="Arial" w:cs="Arial"/>
                <w:sz w:val="16"/>
                <w:szCs w:val="16"/>
              </w:rPr>
              <w:t>₡99</w:t>
            </w:r>
            <w:r w:rsidR="00A9147E">
              <w:rPr>
                <w:rFonts w:ascii="Arial" w:eastAsia="Arial" w:hAnsi="Arial" w:cs="Arial"/>
                <w:sz w:val="16"/>
                <w:szCs w:val="16"/>
              </w:rPr>
              <w:t>1</w:t>
            </w:r>
            <w:r w:rsidRPr="008E2C15">
              <w:rPr>
                <w:rFonts w:ascii="Arial" w:eastAsia="Arial" w:hAnsi="Arial" w:cs="Arial"/>
                <w:sz w:val="16"/>
                <w:szCs w:val="16"/>
              </w:rPr>
              <w:t>.</w:t>
            </w:r>
            <w:r w:rsidR="00A9147E">
              <w:rPr>
                <w:rFonts w:ascii="Arial" w:eastAsia="Arial" w:hAnsi="Arial" w:cs="Arial"/>
                <w:sz w:val="16"/>
                <w:szCs w:val="16"/>
              </w:rPr>
              <w:t>000.000</w:t>
            </w:r>
          </w:p>
        </w:tc>
        <w:tc>
          <w:tcPr>
            <w:tcW w:w="1044"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₡923.373.132</w:t>
            </w:r>
          </w:p>
        </w:tc>
        <w:tc>
          <w:tcPr>
            <w:tcW w:w="826"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97,25%</w:t>
            </w:r>
          </w:p>
        </w:tc>
      </w:tr>
      <w:tr w:rsidR="008E2C15" w:rsidRPr="008E2C15" w:rsidTr="00461966">
        <w:tc>
          <w:tcPr>
            <w:tcW w:w="919" w:type="pct"/>
            <w:vMerge/>
          </w:tcPr>
          <w:p w:rsidR="008E2C15" w:rsidRPr="008E2C15" w:rsidRDefault="008E2C15" w:rsidP="00461966">
            <w:pPr>
              <w:spacing w:line="276" w:lineRule="auto"/>
              <w:jc w:val="both"/>
              <w:rPr>
                <w:rFonts w:ascii="Arial" w:hAnsi="Arial" w:cs="Arial"/>
                <w:sz w:val="16"/>
                <w:szCs w:val="16"/>
              </w:rPr>
            </w:pPr>
          </w:p>
        </w:tc>
        <w:tc>
          <w:tcPr>
            <w:tcW w:w="1183"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Porcentaje de créditos forestales tramitados en menos de 45 días</w:t>
            </w:r>
          </w:p>
        </w:tc>
        <w:tc>
          <w:tcPr>
            <w:tcW w:w="1028"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Al menos el 85%</w:t>
            </w:r>
          </w:p>
        </w:tc>
        <w:tc>
          <w:tcPr>
            <w:tcW w:w="1044"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100%</w:t>
            </w:r>
          </w:p>
        </w:tc>
        <w:tc>
          <w:tcPr>
            <w:tcW w:w="826"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117,65%</w:t>
            </w:r>
          </w:p>
        </w:tc>
      </w:tr>
      <w:tr w:rsidR="008E2C15" w:rsidRPr="008E2C15" w:rsidTr="008E2C15">
        <w:tc>
          <w:tcPr>
            <w:tcW w:w="919"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REDD+</w:t>
            </w:r>
          </w:p>
        </w:tc>
        <w:tc>
          <w:tcPr>
            <w:tcW w:w="1183"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Reducción de emisiones netas, en toneladas de dióxido de carbono equivalente (t CO2 eq. año-1)</w:t>
            </w:r>
          </w:p>
        </w:tc>
        <w:tc>
          <w:tcPr>
            <w:tcW w:w="1028"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-5.778.142 tCO2 eq.</w:t>
            </w:r>
          </w:p>
        </w:tc>
        <w:tc>
          <w:tcPr>
            <w:tcW w:w="1044"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-6.020.930 tCO2 eq.</w:t>
            </w:r>
          </w:p>
        </w:tc>
        <w:tc>
          <w:tcPr>
            <w:tcW w:w="826" w:type="pct"/>
          </w:tcPr>
          <w:p w:rsidR="008E2C15" w:rsidRPr="008E2C15" w:rsidRDefault="008E2C15" w:rsidP="00461966">
            <w:pPr>
              <w:spacing w:line="276" w:lineRule="auto"/>
              <w:jc w:val="both"/>
              <w:rPr>
                <w:rFonts w:ascii="Arial" w:hAnsi="Arial" w:cs="Arial"/>
                <w:sz w:val="16"/>
                <w:szCs w:val="16"/>
              </w:rPr>
            </w:pPr>
            <w:r w:rsidRPr="008E2C15">
              <w:rPr>
                <w:rFonts w:ascii="Arial" w:hAnsi="Arial" w:cs="Arial"/>
                <w:sz w:val="16"/>
                <w:szCs w:val="16"/>
              </w:rPr>
              <w:t xml:space="preserve">104,20% </w:t>
            </w:r>
          </w:p>
        </w:tc>
      </w:tr>
    </w:tbl>
    <w:p w:rsidR="008E2C15" w:rsidRPr="00FD5798" w:rsidRDefault="008E2C15" w:rsidP="00AE48B9">
      <w:pPr>
        <w:rPr>
          <w:rFonts w:ascii="Arial" w:hAnsi="Arial" w:cs="Arial"/>
        </w:rPr>
      </w:pPr>
    </w:p>
    <w:p w:rsidR="00FD5798" w:rsidRDefault="00FD5798" w:rsidP="00AE48B9">
      <w:pPr>
        <w:rPr>
          <w:rFonts w:ascii="Arial" w:hAnsi="Arial" w:cs="Arial"/>
          <w:b/>
        </w:rPr>
      </w:pPr>
    </w:p>
    <w:p w:rsidR="00906CB7" w:rsidRDefault="00906CB7" w:rsidP="00AE48B9">
      <w:pPr>
        <w:rPr>
          <w:rFonts w:ascii="Arial" w:hAnsi="Arial" w:cs="Arial"/>
          <w:b/>
        </w:rPr>
      </w:pPr>
    </w:p>
    <w:p w:rsidR="00906CB7" w:rsidRDefault="00906CB7" w:rsidP="00AE48B9">
      <w:pPr>
        <w:rPr>
          <w:rFonts w:ascii="Arial" w:hAnsi="Arial" w:cs="Arial"/>
          <w:b/>
        </w:rPr>
      </w:pPr>
    </w:p>
    <w:p w:rsidR="00906CB7" w:rsidRDefault="00906CB7" w:rsidP="00AE48B9">
      <w:pPr>
        <w:rPr>
          <w:rFonts w:ascii="Arial" w:hAnsi="Arial" w:cs="Arial"/>
          <w:b/>
        </w:rPr>
      </w:pPr>
    </w:p>
    <w:p w:rsidR="00F73614" w:rsidRPr="009B4919" w:rsidRDefault="008B45F4" w:rsidP="009B4919">
      <w:pPr>
        <w:pStyle w:val="Ttulo1"/>
        <w:numPr>
          <w:ilvl w:val="0"/>
          <w:numId w:val="42"/>
        </w:numPr>
        <w:rPr>
          <w:rFonts w:ascii="Arial" w:hAnsi="Arial" w:cs="Arial"/>
          <w:b/>
          <w:szCs w:val="24"/>
        </w:rPr>
      </w:pPr>
      <w:bookmarkStart w:id="8" w:name="_Toc520729578"/>
      <w:r w:rsidRPr="009B4919">
        <w:rPr>
          <w:rFonts w:ascii="Arial" w:hAnsi="Arial" w:cs="Arial"/>
          <w:b/>
          <w:szCs w:val="24"/>
        </w:rPr>
        <w:t>Situación Económica Financiera</w:t>
      </w:r>
      <w:bookmarkEnd w:id="8"/>
    </w:p>
    <w:p w:rsidR="00015A4E" w:rsidRPr="00767C7C" w:rsidRDefault="00015A4E" w:rsidP="00FE7E12">
      <w:pPr>
        <w:contextualSpacing/>
        <w:jc w:val="both"/>
        <w:rPr>
          <w:rFonts w:ascii="Trebuchet MS" w:hAnsi="Trebuchet MS" w:cs="Arial"/>
          <w:b/>
        </w:rPr>
      </w:pPr>
    </w:p>
    <w:p w:rsidR="00D16FC4" w:rsidRPr="00015A4E" w:rsidRDefault="001C2AA8" w:rsidP="00015A4E">
      <w:pPr>
        <w:pStyle w:val="Prrafodelista"/>
        <w:ind w:left="1080"/>
        <w:contextualSpacing/>
        <w:jc w:val="center"/>
        <w:rPr>
          <w:rFonts w:ascii="Arial" w:hAnsi="Arial" w:cs="Arial"/>
          <w:b/>
        </w:rPr>
      </w:pPr>
      <w:r w:rsidRPr="00015A4E">
        <w:rPr>
          <w:rFonts w:ascii="Arial" w:hAnsi="Arial" w:cs="Arial"/>
          <w:b/>
        </w:rPr>
        <w:t xml:space="preserve">Estado de </w:t>
      </w:r>
      <w:r w:rsidR="00015A4E">
        <w:rPr>
          <w:rFonts w:ascii="Arial" w:hAnsi="Arial" w:cs="Arial"/>
          <w:b/>
        </w:rPr>
        <w:t>Situación Financiera C</w:t>
      </w:r>
      <w:r w:rsidRPr="00015A4E">
        <w:rPr>
          <w:rFonts w:ascii="Arial" w:hAnsi="Arial" w:cs="Arial"/>
          <w:b/>
        </w:rPr>
        <w:t>onsolidado</w:t>
      </w:r>
    </w:p>
    <w:p w:rsidR="001C2AA8" w:rsidRPr="00015A4E" w:rsidRDefault="001C2AA8" w:rsidP="00015A4E">
      <w:pPr>
        <w:pStyle w:val="Prrafodelista"/>
        <w:ind w:left="1080"/>
        <w:contextualSpacing/>
        <w:jc w:val="center"/>
        <w:rPr>
          <w:rFonts w:ascii="Arial" w:hAnsi="Arial" w:cs="Arial"/>
          <w:b/>
        </w:rPr>
      </w:pPr>
      <w:r w:rsidRPr="00015A4E">
        <w:rPr>
          <w:rFonts w:ascii="Arial" w:hAnsi="Arial" w:cs="Arial"/>
          <w:b/>
        </w:rPr>
        <w:t>Fideicomiso 544 FONAFIFO CONSOLIDADO – BNCR</w:t>
      </w:r>
    </w:p>
    <w:p w:rsidR="001C2AA8" w:rsidRPr="00015A4E" w:rsidRDefault="001C2AA8" w:rsidP="00015A4E">
      <w:pPr>
        <w:pStyle w:val="Prrafodelista"/>
        <w:ind w:left="1080"/>
        <w:contextualSpacing/>
        <w:jc w:val="center"/>
        <w:rPr>
          <w:rFonts w:ascii="Arial" w:hAnsi="Arial" w:cs="Arial"/>
          <w:b/>
        </w:rPr>
      </w:pPr>
      <w:r w:rsidRPr="00015A4E">
        <w:rPr>
          <w:rFonts w:ascii="Arial" w:hAnsi="Arial" w:cs="Arial"/>
          <w:b/>
        </w:rPr>
        <w:t xml:space="preserve">Al </w:t>
      </w:r>
      <w:r w:rsidR="00315DD2">
        <w:rPr>
          <w:rFonts w:ascii="Arial" w:hAnsi="Arial" w:cs="Arial"/>
          <w:b/>
        </w:rPr>
        <w:t>3</w:t>
      </w:r>
      <w:r w:rsidR="00B162B8">
        <w:rPr>
          <w:rFonts w:ascii="Arial" w:hAnsi="Arial" w:cs="Arial"/>
          <w:b/>
        </w:rPr>
        <w:t>1</w:t>
      </w:r>
      <w:r w:rsidR="00315DD2">
        <w:rPr>
          <w:rFonts w:ascii="Arial" w:hAnsi="Arial" w:cs="Arial"/>
          <w:b/>
        </w:rPr>
        <w:t xml:space="preserve"> de </w:t>
      </w:r>
      <w:r w:rsidR="00B162B8">
        <w:rPr>
          <w:rFonts w:ascii="Arial" w:hAnsi="Arial" w:cs="Arial"/>
          <w:b/>
        </w:rPr>
        <w:t>diciembre</w:t>
      </w:r>
      <w:r w:rsidR="008B45F4">
        <w:rPr>
          <w:rFonts w:ascii="Arial" w:hAnsi="Arial" w:cs="Arial"/>
          <w:b/>
        </w:rPr>
        <w:t xml:space="preserve"> </w:t>
      </w:r>
      <w:r w:rsidRPr="00015A4E">
        <w:rPr>
          <w:rFonts w:ascii="Arial" w:hAnsi="Arial" w:cs="Arial"/>
          <w:b/>
        </w:rPr>
        <w:t>del 201</w:t>
      </w:r>
      <w:r w:rsidR="00FA24D4">
        <w:rPr>
          <w:rFonts w:ascii="Arial" w:hAnsi="Arial" w:cs="Arial"/>
          <w:b/>
        </w:rPr>
        <w:t>7</w:t>
      </w:r>
      <w:r w:rsidRPr="00015A4E">
        <w:rPr>
          <w:rFonts w:ascii="Arial" w:hAnsi="Arial" w:cs="Arial"/>
          <w:b/>
        </w:rPr>
        <w:t xml:space="preserve"> y 201</w:t>
      </w:r>
      <w:r w:rsidR="00FA24D4">
        <w:rPr>
          <w:rFonts w:ascii="Arial" w:hAnsi="Arial" w:cs="Arial"/>
          <w:b/>
        </w:rPr>
        <w:t>8</w:t>
      </w:r>
    </w:p>
    <w:p w:rsidR="00015A4E" w:rsidRPr="00015A4E" w:rsidRDefault="00015A4E" w:rsidP="00442CA8">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10484" w:type="dxa"/>
        <w:tblInd w:w="-436" w:type="dxa"/>
        <w:tblLayout w:type="fixed"/>
        <w:tblCellMar>
          <w:left w:w="70" w:type="dxa"/>
          <w:right w:w="70" w:type="dxa"/>
        </w:tblCellMar>
        <w:tblLook w:val="04A0" w:firstRow="1" w:lastRow="0" w:firstColumn="1" w:lastColumn="0" w:noHBand="0" w:noVBand="1"/>
      </w:tblPr>
      <w:tblGrid>
        <w:gridCol w:w="3828"/>
        <w:gridCol w:w="709"/>
        <w:gridCol w:w="1947"/>
        <w:gridCol w:w="1931"/>
        <w:gridCol w:w="2069"/>
      </w:tblGrid>
      <w:tr w:rsidR="00B162B8" w:rsidRPr="00B162B8" w:rsidTr="00B162B8">
        <w:trPr>
          <w:trHeight w:val="535"/>
        </w:trPr>
        <w:tc>
          <w:tcPr>
            <w:tcW w:w="3828"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B162B8" w:rsidRPr="00B162B8" w:rsidRDefault="00B162B8" w:rsidP="00B162B8">
            <w:pPr>
              <w:jc w:val="cente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Detalle</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B162B8" w:rsidRPr="00B162B8" w:rsidRDefault="00B162B8" w:rsidP="00B162B8">
            <w:pPr>
              <w:jc w:val="cente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Nota</w:t>
            </w:r>
          </w:p>
        </w:tc>
        <w:tc>
          <w:tcPr>
            <w:tcW w:w="1947"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B162B8" w:rsidRPr="00B162B8" w:rsidRDefault="00B162B8" w:rsidP="00B162B8">
            <w:pPr>
              <w:jc w:val="cente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Saldos a Diciembre 2017</w:t>
            </w:r>
          </w:p>
        </w:tc>
        <w:tc>
          <w:tcPr>
            <w:tcW w:w="1931"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B162B8" w:rsidRPr="00B162B8" w:rsidRDefault="00B162B8" w:rsidP="00B162B8">
            <w:pPr>
              <w:jc w:val="cente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Movimiento Interanual</w:t>
            </w:r>
          </w:p>
        </w:tc>
        <w:tc>
          <w:tcPr>
            <w:tcW w:w="2069"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B162B8" w:rsidRPr="00B162B8" w:rsidRDefault="00B162B8" w:rsidP="00B162B8">
            <w:pPr>
              <w:jc w:val="cente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Saldo a Diciembre 2018</w:t>
            </w:r>
          </w:p>
        </w:tc>
      </w:tr>
      <w:tr w:rsidR="00B162B8" w:rsidRPr="00B162B8" w:rsidTr="00B162B8">
        <w:trPr>
          <w:trHeight w:val="161"/>
        </w:trPr>
        <w:tc>
          <w:tcPr>
            <w:tcW w:w="3828" w:type="dxa"/>
            <w:vMerge/>
            <w:tcBorders>
              <w:top w:val="single" w:sz="8" w:space="0" w:color="auto"/>
              <w:left w:val="single" w:sz="8" w:space="0" w:color="auto"/>
              <w:bottom w:val="single" w:sz="8" w:space="0" w:color="000000"/>
              <w:right w:val="single" w:sz="8" w:space="0" w:color="auto"/>
            </w:tcBorders>
            <w:vAlign w:val="center"/>
            <w:hideMark/>
          </w:tcPr>
          <w:p w:rsidR="00B162B8" w:rsidRPr="00B162B8" w:rsidRDefault="00B162B8" w:rsidP="00B162B8">
            <w:pPr>
              <w:rPr>
                <w:rFonts w:ascii="Arial" w:eastAsia="Times New Roman" w:hAnsi="Arial" w:cs="Arial"/>
                <w:b/>
                <w:bCs/>
                <w:color w:val="000000"/>
                <w:sz w:val="14"/>
                <w:szCs w:val="14"/>
                <w:lang w:val="es-MX" w:eastAsia="es-MX"/>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B162B8" w:rsidRPr="00B162B8" w:rsidRDefault="00B162B8" w:rsidP="00B162B8">
            <w:pPr>
              <w:rPr>
                <w:rFonts w:ascii="Arial" w:eastAsia="Times New Roman" w:hAnsi="Arial" w:cs="Arial"/>
                <w:b/>
                <w:bCs/>
                <w:color w:val="000000"/>
                <w:sz w:val="14"/>
                <w:szCs w:val="14"/>
                <w:lang w:val="es-MX" w:eastAsia="es-MX"/>
              </w:rPr>
            </w:pPr>
          </w:p>
        </w:tc>
        <w:tc>
          <w:tcPr>
            <w:tcW w:w="1947" w:type="dxa"/>
            <w:vMerge/>
            <w:tcBorders>
              <w:top w:val="single" w:sz="8" w:space="0" w:color="auto"/>
              <w:left w:val="single" w:sz="8" w:space="0" w:color="auto"/>
              <w:bottom w:val="single" w:sz="8" w:space="0" w:color="000000"/>
              <w:right w:val="single" w:sz="8" w:space="0" w:color="auto"/>
            </w:tcBorders>
            <w:vAlign w:val="center"/>
            <w:hideMark/>
          </w:tcPr>
          <w:p w:rsidR="00B162B8" w:rsidRPr="00B162B8" w:rsidRDefault="00B162B8" w:rsidP="00B162B8">
            <w:pPr>
              <w:rPr>
                <w:rFonts w:ascii="Arial" w:eastAsia="Times New Roman" w:hAnsi="Arial" w:cs="Arial"/>
                <w:b/>
                <w:bCs/>
                <w:color w:val="000000"/>
                <w:sz w:val="14"/>
                <w:szCs w:val="14"/>
                <w:lang w:val="es-MX" w:eastAsia="es-MX"/>
              </w:rPr>
            </w:pPr>
          </w:p>
        </w:tc>
        <w:tc>
          <w:tcPr>
            <w:tcW w:w="1931" w:type="dxa"/>
            <w:vMerge/>
            <w:tcBorders>
              <w:top w:val="single" w:sz="8" w:space="0" w:color="auto"/>
              <w:left w:val="single" w:sz="8" w:space="0" w:color="auto"/>
              <w:bottom w:val="single" w:sz="8" w:space="0" w:color="000000"/>
              <w:right w:val="single" w:sz="8" w:space="0" w:color="auto"/>
            </w:tcBorders>
            <w:vAlign w:val="center"/>
            <w:hideMark/>
          </w:tcPr>
          <w:p w:rsidR="00B162B8" w:rsidRPr="00B162B8" w:rsidRDefault="00B162B8" w:rsidP="00B162B8">
            <w:pPr>
              <w:rPr>
                <w:rFonts w:ascii="Arial" w:eastAsia="Times New Roman" w:hAnsi="Arial" w:cs="Arial"/>
                <w:b/>
                <w:bCs/>
                <w:color w:val="000000"/>
                <w:sz w:val="14"/>
                <w:szCs w:val="14"/>
                <w:lang w:val="es-MX" w:eastAsia="es-MX"/>
              </w:rPr>
            </w:pPr>
          </w:p>
        </w:tc>
        <w:tc>
          <w:tcPr>
            <w:tcW w:w="2069" w:type="dxa"/>
            <w:vMerge/>
            <w:tcBorders>
              <w:top w:val="single" w:sz="8" w:space="0" w:color="auto"/>
              <w:left w:val="single" w:sz="8" w:space="0" w:color="auto"/>
              <w:bottom w:val="single" w:sz="8" w:space="0" w:color="000000"/>
              <w:right w:val="single" w:sz="8" w:space="0" w:color="auto"/>
            </w:tcBorders>
            <w:vAlign w:val="center"/>
            <w:hideMark/>
          </w:tcPr>
          <w:p w:rsidR="00B162B8" w:rsidRPr="00B162B8" w:rsidRDefault="00B162B8" w:rsidP="00B162B8">
            <w:pPr>
              <w:rPr>
                <w:rFonts w:ascii="Arial" w:eastAsia="Times New Roman" w:hAnsi="Arial" w:cs="Arial"/>
                <w:b/>
                <w:bCs/>
                <w:color w:val="000000"/>
                <w:sz w:val="14"/>
                <w:szCs w:val="14"/>
                <w:lang w:val="es-MX" w:eastAsia="es-MX"/>
              </w:rPr>
            </w:pP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ACTIVOS</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1C6CB3">
        <w:trPr>
          <w:trHeight w:val="17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u w:val="single"/>
                <w:lang w:val="es-MX" w:eastAsia="es-MX"/>
              </w:rPr>
            </w:pPr>
            <w:r w:rsidRPr="00B162B8">
              <w:rPr>
                <w:rFonts w:ascii="Arial" w:eastAsia="Times New Roman" w:hAnsi="Arial" w:cs="Arial"/>
                <w:b/>
                <w:bCs/>
                <w:color w:val="000000"/>
                <w:sz w:val="14"/>
                <w:szCs w:val="14"/>
                <w:u w:val="single"/>
                <w:lang w:val="es-MX" w:eastAsia="es-MX"/>
              </w:rPr>
              <w:t xml:space="preserve">Activos Corrientes </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Efectivo del Fideicomiso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4</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5.169.958,99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2.125.312,69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3.044.646,30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Efectivo del Fideicomiso restringido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0,01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0,01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Disponibilidades en Cuenta Corriente</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4</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1.340.162,80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1.046.834,20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293.328,60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Tesorería nacional Caja Única del Estado </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5</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1.705.445.591,30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463.756.627,43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1.241.688.963,87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Anticipo a Proveedores</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6</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1.662.017,14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992.106,79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669.910,35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Otras cuentas por cobrar</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7</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202.873,26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1.384.595,93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1.587.469,19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Cartera de Crédito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8</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146.135.763,13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48.499.012,01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194.634.775,14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Total Activo Corrientes</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1.859.956.366,63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418.037.273,17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1.441.919.093,46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u w:val="single"/>
                <w:lang w:val="es-MX" w:eastAsia="es-MX"/>
              </w:rPr>
            </w:pPr>
            <w:r w:rsidRPr="00B162B8">
              <w:rPr>
                <w:rFonts w:ascii="Arial" w:eastAsia="Times New Roman" w:hAnsi="Arial" w:cs="Arial"/>
                <w:b/>
                <w:bCs/>
                <w:color w:val="000000"/>
                <w:sz w:val="14"/>
                <w:szCs w:val="14"/>
                <w:u w:val="single"/>
                <w:lang w:val="es-MX" w:eastAsia="es-MX"/>
              </w:rPr>
              <w:t>Activos no Corrientes</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Tesorería </w:t>
            </w:r>
            <w:r w:rsidR="00193799" w:rsidRPr="00B162B8">
              <w:rPr>
                <w:rFonts w:ascii="Arial" w:eastAsia="Times New Roman" w:hAnsi="Arial" w:cs="Arial"/>
                <w:color w:val="000000"/>
                <w:sz w:val="14"/>
                <w:szCs w:val="14"/>
                <w:lang w:val="es-MX" w:eastAsia="es-MX"/>
              </w:rPr>
              <w:t>nacional</w:t>
            </w:r>
            <w:r w:rsidRPr="00B162B8">
              <w:rPr>
                <w:rFonts w:ascii="Arial" w:eastAsia="Times New Roman" w:hAnsi="Arial" w:cs="Arial"/>
                <w:color w:val="000000"/>
                <w:sz w:val="14"/>
                <w:szCs w:val="14"/>
                <w:lang w:val="es-MX" w:eastAsia="es-MX"/>
              </w:rPr>
              <w:t xml:space="preserve"> Caja Única del Estado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5</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Cartera de Crédito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8</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2.424.041.604,96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342.611.464,07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2.766.653.069,03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Gastos Judiciales de cartera de crédito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9</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18.551.760,86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1.075.460,76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17.476.300,10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Propiedad Planta y Equipo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10</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339.609.100,30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60.639.101,82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400.248.202,12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Bienes y valores Adquir. Recup. Creditos de Vivienda</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11</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85.634.655,26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1.721.185,99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83.913.469,27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Activos Intangibles</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12</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7.531.981,71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6.775.179,18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14.307.160,89 </w:t>
            </w:r>
          </w:p>
        </w:tc>
      </w:tr>
      <w:tr w:rsidR="00B162B8" w:rsidRPr="00B162B8" w:rsidTr="00B162B8">
        <w:trPr>
          <w:trHeight w:val="101"/>
        </w:trPr>
        <w:tc>
          <w:tcPr>
            <w:tcW w:w="3828"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Total activos no corrientes</w:t>
            </w:r>
          </w:p>
        </w:tc>
        <w:tc>
          <w:tcPr>
            <w:tcW w:w="709"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47"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1C6CB3">
            <w:pPr>
              <w:jc w:val="right"/>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2.875.369.103,09 </w:t>
            </w:r>
          </w:p>
        </w:tc>
        <w:tc>
          <w:tcPr>
            <w:tcW w:w="1931" w:type="dxa"/>
            <w:tcBorders>
              <w:top w:val="nil"/>
              <w:left w:val="nil"/>
              <w:bottom w:val="single" w:sz="8" w:space="0" w:color="auto"/>
              <w:right w:val="nil"/>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407.229.098,32 </w:t>
            </w:r>
          </w:p>
        </w:tc>
        <w:tc>
          <w:tcPr>
            <w:tcW w:w="2069"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3.282.598.201,41 </w:t>
            </w:r>
          </w:p>
        </w:tc>
      </w:tr>
      <w:tr w:rsidR="00B162B8" w:rsidRPr="00B162B8" w:rsidTr="00B162B8">
        <w:trPr>
          <w:trHeight w:val="101"/>
        </w:trPr>
        <w:tc>
          <w:tcPr>
            <w:tcW w:w="3828"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TOTAL ACTIVOS</w:t>
            </w:r>
          </w:p>
        </w:tc>
        <w:tc>
          <w:tcPr>
            <w:tcW w:w="709"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47"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4.735.325.469,72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10.808.174,85 </w:t>
            </w:r>
          </w:p>
        </w:tc>
        <w:tc>
          <w:tcPr>
            <w:tcW w:w="2069"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4.724.517.294,87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single" w:sz="8" w:space="0" w:color="auto"/>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PASIVO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u w:val="single"/>
                <w:lang w:val="es-MX" w:eastAsia="es-MX"/>
              </w:rPr>
            </w:pPr>
            <w:r w:rsidRPr="00B162B8">
              <w:rPr>
                <w:rFonts w:ascii="Arial" w:eastAsia="Times New Roman" w:hAnsi="Arial" w:cs="Arial"/>
                <w:b/>
                <w:bCs/>
                <w:color w:val="000000"/>
                <w:sz w:val="14"/>
                <w:szCs w:val="14"/>
                <w:u w:val="single"/>
                <w:lang w:val="es-MX" w:eastAsia="es-MX"/>
              </w:rPr>
              <w:t>Pasivo Corriente</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Comisiones por pagar al Fideicomiso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13</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10.226.712,63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10.226.712,63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Cuentas por pagar y Provisiones</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14</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16.265.658,33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5.199.488,84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11.066.169,49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Sumas Recibidas por Vta. De Bienes y Valores Adquiridos en Recup. De Créditos</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14</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994.250,01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994.250,01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Impuesto al salario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15</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163.680,65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163.680,65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Intereses Ganados s/ carteras de crédito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16</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930.373,59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449.071,93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1.379.445,52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Impuestos municipales por pagar</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17</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420.549,05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420.549,05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Total Pasivo Corriente</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28.580.675,21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15.714.511,15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12.866.164,06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Pasivo No Corriente</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Garantía de cumplimiento</w:t>
            </w:r>
          </w:p>
        </w:tc>
        <w:tc>
          <w:tcPr>
            <w:tcW w:w="709" w:type="dxa"/>
            <w:tcBorders>
              <w:top w:val="nil"/>
              <w:left w:val="nil"/>
              <w:bottom w:val="nil"/>
              <w:right w:val="single" w:sz="8" w:space="0" w:color="auto"/>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18</w:t>
            </w:r>
          </w:p>
        </w:tc>
        <w:tc>
          <w:tcPr>
            <w:tcW w:w="1947"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3.384.143,51 </w:t>
            </w:r>
          </w:p>
        </w:tc>
        <w:tc>
          <w:tcPr>
            <w:tcW w:w="1931"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375.000,00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3.009.143,51 </w:t>
            </w:r>
          </w:p>
        </w:tc>
      </w:tr>
      <w:tr w:rsidR="00B162B8" w:rsidRPr="00B162B8" w:rsidTr="00B162B8">
        <w:trPr>
          <w:trHeight w:val="101"/>
        </w:trPr>
        <w:tc>
          <w:tcPr>
            <w:tcW w:w="3828"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Total Pasivo no Corriente</w:t>
            </w:r>
          </w:p>
        </w:tc>
        <w:tc>
          <w:tcPr>
            <w:tcW w:w="709"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3.384.143,51 </w:t>
            </w:r>
          </w:p>
        </w:tc>
        <w:tc>
          <w:tcPr>
            <w:tcW w:w="1931"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375.000,00 </w:t>
            </w:r>
          </w:p>
        </w:tc>
        <w:tc>
          <w:tcPr>
            <w:tcW w:w="2069"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3.009.143,51 </w:t>
            </w:r>
          </w:p>
        </w:tc>
      </w:tr>
      <w:tr w:rsidR="00B162B8" w:rsidRPr="00B162B8" w:rsidTr="00B162B8">
        <w:trPr>
          <w:trHeight w:val="101"/>
        </w:trPr>
        <w:tc>
          <w:tcPr>
            <w:tcW w:w="3828"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TOTAL PASIVO</w:t>
            </w:r>
          </w:p>
        </w:tc>
        <w:tc>
          <w:tcPr>
            <w:tcW w:w="709"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31.964.818,72 </w:t>
            </w:r>
          </w:p>
        </w:tc>
        <w:tc>
          <w:tcPr>
            <w:tcW w:w="1931"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16.089.511,15 </w:t>
            </w:r>
          </w:p>
        </w:tc>
        <w:tc>
          <w:tcPr>
            <w:tcW w:w="2069"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15.875.307,57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PATRIMONIO</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Aportaciones de fideicomitentes netas</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19</w:t>
            </w:r>
          </w:p>
        </w:tc>
        <w:tc>
          <w:tcPr>
            <w:tcW w:w="1947"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4.467.934.479,61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359.871.302,90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4.827.805.782,51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Superávit por revaluación netas</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20</w:t>
            </w:r>
          </w:p>
        </w:tc>
        <w:tc>
          <w:tcPr>
            <w:tcW w:w="1947"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131.367.000,00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131.367.000,00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Utilidades o pérdidas acumuladas</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21</w:t>
            </w:r>
          </w:p>
        </w:tc>
        <w:tc>
          <w:tcPr>
            <w:tcW w:w="1947"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711.360.042,27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607.300.870,88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104.059.171,39 </w:t>
            </w:r>
          </w:p>
        </w:tc>
      </w:tr>
      <w:tr w:rsidR="00B162B8" w:rsidRPr="00B162B8" w:rsidTr="00B162B8">
        <w:trPr>
          <w:trHeight w:val="96"/>
        </w:trPr>
        <w:tc>
          <w:tcPr>
            <w:tcW w:w="3828"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Utilidad o Pérdidad del Periodo</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22</w:t>
            </w:r>
          </w:p>
        </w:tc>
        <w:tc>
          <w:tcPr>
            <w:tcW w:w="1947"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607.300.870,88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252.710.904,28 </w:t>
            </w:r>
          </w:p>
        </w:tc>
        <w:tc>
          <w:tcPr>
            <w:tcW w:w="2069" w:type="dxa"/>
            <w:tcBorders>
              <w:top w:val="nil"/>
              <w:left w:val="single" w:sz="8" w:space="0" w:color="auto"/>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354.589.966,60 </w:t>
            </w:r>
          </w:p>
        </w:tc>
      </w:tr>
      <w:tr w:rsidR="00B162B8" w:rsidRPr="00B162B8" w:rsidTr="00B162B8">
        <w:trPr>
          <w:trHeight w:val="101"/>
        </w:trPr>
        <w:tc>
          <w:tcPr>
            <w:tcW w:w="3828"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Total Patrimonio</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47"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4.703.360.651,00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5.281.336,30 </w:t>
            </w:r>
          </w:p>
        </w:tc>
        <w:tc>
          <w:tcPr>
            <w:tcW w:w="2069"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4.708.641.987,30 </w:t>
            </w:r>
          </w:p>
        </w:tc>
      </w:tr>
      <w:tr w:rsidR="00B162B8" w:rsidRPr="00B162B8" w:rsidTr="00B162B8">
        <w:trPr>
          <w:trHeight w:val="101"/>
        </w:trPr>
        <w:tc>
          <w:tcPr>
            <w:tcW w:w="3828" w:type="dxa"/>
            <w:tcBorders>
              <w:top w:val="nil"/>
              <w:left w:val="single" w:sz="8" w:space="0" w:color="auto"/>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TOTAL PASIVO + PATRIMONIO</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w:t>
            </w:r>
          </w:p>
        </w:tc>
        <w:tc>
          <w:tcPr>
            <w:tcW w:w="1947"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4.735.325.469,72 </w:t>
            </w:r>
          </w:p>
        </w:tc>
        <w:tc>
          <w:tcPr>
            <w:tcW w:w="1931" w:type="dxa"/>
            <w:tcBorders>
              <w:top w:val="single" w:sz="8" w:space="0" w:color="auto"/>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10.808.174,85 </w:t>
            </w:r>
          </w:p>
        </w:tc>
        <w:tc>
          <w:tcPr>
            <w:tcW w:w="2069" w:type="dxa"/>
            <w:tcBorders>
              <w:top w:val="nil"/>
              <w:left w:val="nil"/>
              <w:bottom w:val="single" w:sz="8" w:space="0" w:color="auto"/>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b/>
                <w:bCs/>
                <w:color w:val="000000"/>
                <w:sz w:val="14"/>
                <w:szCs w:val="14"/>
                <w:lang w:val="es-MX" w:eastAsia="es-MX"/>
              </w:rPr>
            </w:pPr>
            <w:r w:rsidRPr="00B162B8">
              <w:rPr>
                <w:rFonts w:ascii="Arial" w:eastAsia="Times New Roman" w:hAnsi="Arial" w:cs="Arial"/>
                <w:b/>
                <w:bCs/>
                <w:color w:val="000000"/>
                <w:sz w:val="14"/>
                <w:szCs w:val="14"/>
                <w:lang w:val="es-MX" w:eastAsia="es-MX"/>
              </w:rPr>
              <w:t xml:space="preserve">              4.724.517.294,87 </w:t>
            </w:r>
          </w:p>
        </w:tc>
      </w:tr>
      <w:tr w:rsidR="00B162B8" w:rsidRPr="00B162B8" w:rsidTr="00B162B8">
        <w:trPr>
          <w:trHeight w:val="96"/>
        </w:trPr>
        <w:tc>
          <w:tcPr>
            <w:tcW w:w="3828" w:type="dxa"/>
            <w:tcBorders>
              <w:top w:val="nil"/>
              <w:left w:val="single" w:sz="8" w:space="0" w:color="auto"/>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Cuentas de orden Acredoras</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23</w:t>
            </w:r>
          </w:p>
        </w:tc>
        <w:tc>
          <w:tcPr>
            <w:tcW w:w="1947"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44.873.966,75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758.163,49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44.115.803,26 </w:t>
            </w:r>
          </w:p>
        </w:tc>
      </w:tr>
      <w:tr w:rsidR="00B162B8" w:rsidRPr="00B162B8" w:rsidTr="00B162B8">
        <w:trPr>
          <w:trHeight w:val="101"/>
        </w:trPr>
        <w:tc>
          <w:tcPr>
            <w:tcW w:w="3828" w:type="dxa"/>
            <w:tcBorders>
              <w:top w:val="nil"/>
              <w:left w:val="single" w:sz="8" w:space="0" w:color="auto"/>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Cuentas de orden  Deudoras</w:t>
            </w:r>
          </w:p>
        </w:tc>
        <w:tc>
          <w:tcPr>
            <w:tcW w:w="709" w:type="dxa"/>
            <w:tcBorders>
              <w:top w:val="nil"/>
              <w:left w:val="nil"/>
              <w:bottom w:val="nil"/>
              <w:right w:val="nil"/>
            </w:tcBorders>
            <w:shd w:val="clear" w:color="000000" w:fill="FFFFFF"/>
            <w:noWrap/>
            <w:vAlign w:val="bottom"/>
            <w:hideMark/>
          </w:tcPr>
          <w:p w:rsidR="00B162B8" w:rsidRPr="00B162B8" w:rsidRDefault="00B162B8" w:rsidP="00B162B8">
            <w:pPr>
              <w:jc w:val="right"/>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23</w:t>
            </w:r>
          </w:p>
        </w:tc>
        <w:tc>
          <w:tcPr>
            <w:tcW w:w="1947"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44.873.966,75 </w:t>
            </w:r>
          </w:p>
        </w:tc>
        <w:tc>
          <w:tcPr>
            <w:tcW w:w="1931" w:type="dxa"/>
            <w:tcBorders>
              <w:top w:val="nil"/>
              <w:left w:val="nil"/>
              <w:bottom w:val="nil"/>
              <w:right w:val="nil"/>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758.163,49 </w:t>
            </w:r>
          </w:p>
        </w:tc>
        <w:tc>
          <w:tcPr>
            <w:tcW w:w="2069" w:type="dxa"/>
            <w:tcBorders>
              <w:top w:val="nil"/>
              <w:left w:val="nil"/>
              <w:bottom w:val="nil"/>
              <w:right w:val="single" w:sz="8" w:space="0" w:color="auto"/>
            </w:tcBorders>
            <w:shd w:val="clear" w:color="000000" w:fill="FFFFFF"/>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xml:space="preserve">                    44.115.803,26 </w:t>
            </w:r>
          </w:p>
        </w:tc>
      </w:tr>
      <w:tr w:rsidR="00B162B8" w:rsidRPr="00B162B8" w:rsidTr="00B162B8">
        <w:trPr>
          <w:trHeight w:val="101"/>
        </w:trPr>
        <w:tc>
          <w:tcPr>
            <w:tcW w:w="3828" w:type="dxa"/>
            <w:tcBorders>
              <w:top w:val="single" w:sz="8" w:space="0" w:color="auto"/>
              <w:left w:val="single" w:sz="8" w:space="0" w:color="auto"/>
              <w:bottom w:val="single" w:sz="8" w:space="0" w:color="auto"/>
              <w:right w:val="nil"/>
            </w:tcBorders>
            <w:shd w:val="clear" w:color="000000" w:fill="00B050"/>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709" w:type="dxa"/>
            <w:tcBorders>
              <w:top w:val="single" w:sz="8" w:space="0" w:color="auto"/>
              <w:left w:val="nil"/>
              <w:bottom w:val="single" w:sz="8" w:space="0" w:color="auto"/>
              <w:right w:val="nil"/>
            </w:tcBorders>
            <w:shd w:val="clear" w:color="000000" w:fill="00B050"/>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47" w:type="dxa"/>
            <w:tcBorders>
              <w:top w:val="single" w:sz="8" w:space="0" w:color="auto"/>
              <w:left w:val="nil"/>
              <w:bottom w:val="single" w:sz="8" w:space="0" w:color="auto"/>
              <w:right w:val="nil"/>
            </w:tcBorders>
            <w:shd w:val="clear" w:color="000000" w:fill="00B050"/>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1931" w:type="dxa"/>
            <w:tcBorders>
              <w:top w:val="single" w:sz="8" w:space="0" w:color="auto"/>
              <w:left w:val="nil"/>
              <w:bottom w:val="single" w:sz="8" w:space="0" w:color="auto"/>
              <w:right w:val="nil"/>
            </w:tcBorders>
            <w:shd w:val="clear" w:color="000000" w:fill="00B050"/>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c>
          <w:tcPr>
            <w:tcW w:w="2069" w:type="dxa"/>
            <w:tcBorders>
              <w:top w:val="single" w:sz="8" w:space="0" w:color="auto"/>
              <w:left w:val="nil"/>
              <w:bottom w:val="single" w:sz="8" w:space="0" w:color="auto"/>
              <w:right w:val="nil"/>
            </w:tcBorders>
            <w:shd w:val="clear" w:color="000000" w:fill="00B050"/>
            <w:noWrap/>
            <w:vAlign w:val="bottom"/>
            <w:hideMark/>
          </w:tcPr>
          <w:p w:rsidR="00B162B8" w:rsidRPr="00B162B8" w:rsidRDefault="00B162B8" w:rsidP="00B162B8">
            <w:pPr>
              <w:rPr>
                <w:rFonts w:ascii="Arial" w:eastAsia="Times New Roman" w:hAnsi="Arial" w:cs="Arial"/>
                <w:color w:val="000000"/>
                <w:sz w:val="14"/>
                <w:szCs w:val="14"/>
                <w:lang w:val="es-MX" w:eastAsia="es-MX"/>
              </w:rPr>
            </w:pPr>
            <w:r w:rsidRPr="00B162B8">
              <w:rPr>
                <w:rFonts w:ascii="Arial" w:eastAsia="Times New Roman" w:hAnsi="Arial" w:cs="Arial"/>
                <w:color w:val="000000"/>
                <w:sz w:val="14"/>
                <w:szCs w:val="14"/>
                <w:lang w:val="es-MX" w:eastAsia="es-MX"/>
              </w:rPr>
              <w:t> </w:t>
            </w:r>
          </w:p>
        </w:tc>
      </w:tr>
    </w:tbl>
    <w:p w:rsidR="00CC6AF9" w:rsidRDefault="00CC6AF9" w:rsidP="00CD6F67">
      <w:pPr>
        <w:ind w:right="1372"/>
        <w:contextualSpacing/>
        <w:jc w:val="both"/>
        <w:rPr>
          <w:rFonts w:ascii="Arial" w:hAnsi="Arial" w:cs="Arial"/>
          <w:b/>
          <w:sz w:val="24"/>
          <w:szCs w:val="24"/>
        </w:rPr>
      </w:pPr>
    </w:p>
    <w:p w:rsidR="00451505" w:rsidRDefault="00451505" w:rsidP="00CD6F67">
      <w:pPr>
        <w:ind w:right="1372"/>
        <w:contextualSpacing/>
        <w:jc w:val="both"/>
        <w:rPr>
          <w:rFonts w:ascii="Arial" w:hAnsi="Arial" w:cs="Arial"/>
          <w:b/>
          <w:sz w:val="24"/>
          <w:szCs w:val="24"/>
        </w:rPr>
      </w:pPr>
    </w:p>
    <w:p w:rsidR="00FA24D4" w:rsidRDefault="00FA24D4" w:rsidP="00CD6F67">
      <w:pPr>
        <w:ind w:right="1372"/>
        <w:contextualSpacing/>
        <w:jc w:val="both"/>
        <w:rPr>
          <w:rFonts w:ascii="Arial" w:hAnsi="Arial" w:cs="Arial"/>
          <w:b/>
          <w:sz w:val="24"/>
          <w:szCs w:val="24"/>
        </w:rPr>
      </w:pPr>
    </w:p>
    <w:p w:rsidR="00FA24D4" w:rsidRDefault="00FA24D4" w:rsidP="00CD6F67">
      <w:pPr>
        <w:ind w:right="1372"/>
        <w:contextualSpacing/>
        <w:jc w:val="both"/>
        <w:rPr>
          <w:rFonts w:ascii="Arial" w:hAnsi="Arial" w:cs="Arial"/>
          <w:b/>
          <w:sz w:val="24"/>
          <w:szCs w:val="24"/>
        </w:rPr>
      </w:pPr>
    </w:p>
    <w:p w:rsidR="00FA24D4" w:rsidRDefault="00FA24D4" w:rsidP="00CD6F67">
      <w:pPr>
        <w:ind w:right="1372"/>
        <w:contextualSpacing/>
        <w:jc w:val="both"/>
        <w:rPr>
          <w:rFonts w:ascii="Arial" w:hAnsi="Arial" w:cs="Arial"/>
          <w:b/>
          <w:sz w:val="24"/>
          <w:szCs w:val="24"/>
        </w:rPr>
      </w:pPr>
    </w:p>
    <w:p w:rsidR="00FA24D4" w:rsidRDefault="00FA24D4" w:rsidP="00CD6F67">
      <w:pPr>
        <w:ind w:right="1372"/>
        <w:contextualSpacing/>
        <w:jc w:val="both"/>
        <w:rPr>
          <w:rFonts w:ascii="Arial" w:hAnsi="Arial" w:cs="Arial"/>
          <w:b/>
          <w:sz w:val="24"/>
          <w:szCs w:val="24"/>
        </w:rPr>
      </w:pPr>
    </w:p>
    <w:p w:rsidR="00FA24D4" w:rsidRPr="00CD6F67" w:rsidRDefault="00FA24D4" w:rsidP="00CD6F67">
      <w:pPr>
        <w:ind w:right="1372"/>
        <w:contextualSpacing/>
        <w:jc w:val="both"/>
        <w:rPr>
          <w:rFonts w:ascii="Arial" w:hAnsi="Arial" w:cs="Arial"/>
          <w:b/>
          <w:sz w:val="24"/>
          <w:szCs w:val="24"/>
        </w:rPr>
      </w:pPr>
    </w:p>
    <w:p w:rsidR="00353A87" w:rsidRPr="00352E49" w:rsidRDefault="00353A87" w:rsidP="009B4919">
      <w:pPr>
        <w:pStyle w:val="Prrafodelista"/>
        <w:numPr>
          <w:ilvl w:val="1"/>
          <w:numId w:val="39"/>
        </w:numPr>
        <w:spacing w:after="0" w:line="240" w:lineRule="auto"/>
        <w:ind w:left="360" w:right="1372"/>
        <w:contextualSpacing/>
        <w:jc w:val="both"/>
        <w:outlineLvl w:val="1"/>
        <w:rPr>
          <w:rFonts w:ascii="Arial" w:eastAsia="SimSun" w:hAnsi="Arial" w:cs="Arial"/>
          <w:b/>
          <w:sz w:val="24"/>
          <w:szCs w:val="24"/>
          <w:lang w:eastAsia="es-ES"/>
        </w:rPr>
      </w:pPr>
      <w:bookmarkStart w:id="9" w:name="_Toc520729579"/>
      <w:r w:rsidRPr="00352E49">
        <w:rPr>
          <w:rFonts w:ascii="Arial" w:eastAsia="SimSun" w:hAnsi="Arial" w:cs="Arial"/>
          <w:b/>
          <w:sz w:val="24"/>
          <w:szCs w:val="24"/>
          <w:lang w:eastAsia="es-ES"/>
        </w:rPr>
        <w:t>Balance de Situación Financiera</w:t>
      </w:r>
      <w:bookmarkEnd w:id="9"/>
      <w:r w:rsidRPr="00352E49">
        <w:rPr>
          <w:rFonts w:ascii="Arial" w:eastAsia="SimSun" w:hAnsi="Arial" w:cs="Arial"/>
          <w:b/>
          <w:sz w:val="24"/>
          <w:szCs w:val="24"/>
          <w:lang w:eastAsia="es-ES"/>
        </w:rPr>
        <w:t xml:space="preserve"> </w:t>
      </w:r>
    </w:p>
    <w:p w:rsidR="00353A87" w:rsidRPr="001F005C" w:rsidRDefault="00353A87" w:rsidP="00353A87">
      <w:pPr>
        <w:pStyle w:val="Prrafodelista"/>
        <w:spacing w:after="0" w:line="240" w:lineRule="auto"/>
        <w:ind w:left="360" w:right="1372"/>
        <w:contextualSpacing/>
        <w:jc w:val="both"/>
        <w:rPr>
          <w:rFonts w:ascii="Arial" w:eastAsia="SimSun" w:hAnsi="Arial" w:cs="Arial"/>
          <w:b/>
          <w:color w:val="FF0000"/>
          <w:sz w:val="24"/>
          <w:szCs w:val="24"/>
          <w:lang w:val="es-AR" w:eastAsia="es-ES"/>
        </w:rPr>
      </w:pPr>
    </w:p>
    <w:p w:rsidR="00BC2BA0" w:rsidRPr="00F7765C" w:rsidRDefault="00462B95" w:rsidP="008C30D6">
      <w:pPr>
        <w:ind w:left="720" w:right="567"/>
        <w:contextualSpacing/>
        <w:jc w:val="both"/>
        <w:rPr>
          <w:rFonts w:ascii="Arial" w:hAnsi="Arial" w:cs="Arial"/>
          <w:sz w:val="24"/>
          <w:szCs w:val="24"/>
        </w:rPr>
      </w:pPr>
      <w:r w:rsidRPr="00F7765C">
        <w:rPr>
          <w:rFonts w:ascii="Arial" w:hAnsi="Arial" w:cs="Arial"/>
          <w:b/>
          <w:sz w:val="22"/>
          <w:szCs w:val="22"/>
          <w:lang w:val="es-AR"/>
        </w:rPr>
        <w:t>Efectivo y equivalentes al efectivo</w:t>
      </w:r>
      <w:r w:rsidR="00353A87" w:rsidRPr="00F7765C">
        <w:rPr>
          <w:rFonts w:ascii="Arial" w:hAnsi="Arial" w:cs="Arial"/>
          <w:sz w:val="24"/>
          <w:szCs w:val="24"/>
        </w:rPr>
        <w:t xml:space="preserve"> </w:t>
      </w:r>
    </w:p>
    <w:p w:rsidR="00BC2BA0" w:rsidRPr="00BC2BA0" w:rsidRDefault="00BC2BA0" w:rsidP="008C30D6">
      <w:pPr>
        <w:ind w:left="720" w:right="567"/>
        <w:contextualSpacing/>
        <w:jc w:val="both"/>
        <w:rPr>
          <w:rFonts w:ascii="Arial" w:hAnsi="Arial" w:cs="Arial"/>
          <w:b/>
          <w:sz w:val="24"/>
          <w:szCs w:val="24"/>
        </w:rPr>
      </w:pPr>
      <w:r>
        <w:rPr>
          <w:rFonts w:ascii="Arial" w:hAnsi="Arial" w:cs="Arial"/>
          <w:sz w:val="24"/>
          <w:szCs w:val="24"/>
        </w:rPr>
        <w:t xml:space="preserve">Al cierre del </w:t>
      </w:r>
      <w:r w:rsidR="001C6CB3">
        <w:rPr>
          <w:rFonts w:ascii="Arial" w:hAnsi="Arial" w:cs="Arial"/>
          <w:sz w:val="24"/>
          <w:szCs w:val="24"/>
        </w:rPr>
        <w:t>segundo</w:t>
      </w:r>
      <w:r>
        <w:rPr>
          <w:rFonts w:ascii="Arial" w:hAnsi="Arial" w:cs="Arial"/>
          <w:sz w:val="24"/>
          <w:szCs w:val="24"/>
        </w:rPr>
        <w:t xml:space="preserve"> </w:t>
      </w:r>
      <w:r w:rsidRPr="00BC2BA0">
        <w:rPr>
          <w:rFonts w:ascii="Arial" w:hAnsi="Arial" w:cs="Arial"/>
          <w:sz w:val="24"/>
          <w:szCs w:val="24"/>
        </w:rPr>
        <w:t>se</w:t>
      </w:r>
      <w:r>
        <w:rPr>
          <w:rFonts w:ascii="Arial" w:hAnsi="Arial" w:cs="Arial"/>
          <w:sz w:val="24"/>
          <w:szCs w:val="24"/>
        </w:rPr>
        <w:t xml:space="preserve">mestre del 2018 presenta un saldo </w:t>
      </w:r>
      <w:r w:rsidRPr="00BC2BA0">
        <w:rPr>
          <w:rFonts w:ascii="Arial" w:hAnsi="Arial" w:cs="Arial"/>
          <w:sz w:val="24"/>
          <w:szCs w:val="24"/>
        </w:rPr>
        <w:t xml:space="preserve">de  </w:t>
      </w:r>
      <w:r w:rsidRPr="00BC2BA0">
        <w:rPr>
          <w:rFonts w:ascii="Arial" w:hAnsi="Arial" w:cs="Arial"/>
          <w:sz w:val="22"/>
          <w:szCs w:val="22"/>
        </w:rPr>
        <w:t xml:space="preserve"> </w:t>
      </w:r>
      <w:r w:rsidRPr="00BC2BA0">
        <w:rPr>
          <w:rFonts w:ascii="Arial" w:hAnsi="Arial" w:cs="Arial"/>
          <w:b/>
          <w:sz w:val="22"/>
          <w:szCs w:val="22"/>
        </w:rPr>
        <w:t>¢</w:t>
      </w:r>
      <w:r w:rsidR="00193799">
        <w:rPr>
          <w:rFonts w:ascii="Arial" w:hAnsi="Arial" w:cs="Arial"/>
          <w:b/>
          <w:sz w:val="22"/>
          <w:szCs w:val="22"/>
        </w:rPr>
        <w:t>3.337,97</w:t>
      </w:r>
      <w:r w:rsidRPr="00BC2BA0">
        <w:rPr>
          <w:rFonts w:ascii="Arial" w:hAnsi="Arial" w:cs="Arial"/>
          <w:b/>
          <w:sz w:val="22"/>
          <w:szCs w:val="22"/>
        </w:rPr>
        <w:t xml:space="preserve"> </w:t>
      </w:r>
      <w:r w:rsidRPr="00BA19E5">
        <w:rPr>
          <w:rFonts w:ascii="Arial" w:hAnsi="Arial" w:cs="Arial"/>
          <w:sz w:val="22"/>
          <w:szCs w:val="22"/>
        </w:rPr>
        <w:t>mil</w:t>
      </w:r>
      <w:r>
        <w:rPr>
          <w:rFonts w:ascii="Arial" w:hAnsi="Arial" w:cs="Arial"/>
          <w:sz w:val="24"/>
          <w:szCs w:val="24"/>
        </w:rPr>
        <w:t xml:space="preserve">, </w:t>
      </w:r>
      <w:r w:rsidR="00BA19E5">
        <w:rPr>
          <w:rFonts w:ascii="Arial" w:hAnsi="Arial" w:cs="Arial"/>
          <w:sz w:val="24"/>
          <w:szCs w:val="24"/>
        </w:rPr>
        <w:t xml:space="preserve">se </w:t>
      </w:r>
      <w:r w:rsidR="00BA19E5" w:rsidRPr="00BC2BA0">
        <w:rPr>
          <w:rFonts w:ascii="Arial" w:hAnsi="Arial" w:cs="Arial"/>
          <w:sz w:val="24"/>
          <w:szCs w:val="24"/>
        </w:rPr>
        <w:t>consideran</w:t>
      </w:r>
      <w:r w:rsidRPr="00BC2BA0">
        <w:rPr>
          <w:rFonts w:ascii="Arial" w:hAnsi="Arial" w:cs="Arial"/>
          <w:sz w:val="24"/>
          <w:szCs w:val="24"/>
        </w:rPr>
        <w:t xml:space="preserve"> equivalentes al efectivo las inversiones a corto plazo de gran liquidez, que son fácilmente convertibles en importes determinados de efectivo, estando sujetos a un riesgo poco significativo de cambio en su valor; por </w:t>
      </w:r>
      <w:r w:rsidR="00BA19E5" w:rsidRPr="00BC2BA0">
        <w:rPr>
          <w:rFonts w:ascii="Arial" w:hAnsi="Arial" w:cs="Arial"/>
          <w:sz w:val="24"/>
          <w:szCs w:val="24"/>
        </w:rPr>
        <w:t>tanto,</w:t>
      </w:r>
      <w:r w:rsidRPr="00BC2BA0">
        <w:rPr>
          <w:rFonts w:ascii="Arial" w:hAnsi="Arial" w:cs="Arial"/>
          <w:sz w:val="24"/>
          <w:szCs w:val="24"/>
        </w:rPr>
        <w:t xml:space="preserve"> se considera que una inversión será equivalente al efectivo cuando tenga vencimiento próximo de tres meses o menos desde la fecha de adquisición.</w:t>
      </w:r>
    </w:p>
    <w:p w:rsidR="00462B95" w:rsidRPr="00BC2BA0" w:rsidRDefault="00D34FA7" w:rsidP="002A20A5">
      <w:pPr>
        <w:ind w:left="720" w:right="567"/>
        <w:contextualSpacing/>
        <w:jc w:val="both"/>
        <w:rPr>
          <w:rFonts w:ascii="Arial" w:hAnsi="Arial" w:cs="Arial"/>
          <w:sz w:val="24"/>
          <w:szCs w:val="24"/>
        </w:rPr>
      </w:pPr>
      <w:r w:rsidRPr="00BC2BA0">
        <w:rPr>
          <w:rFonts w:ascii="Arial" w:hAnsi="Arial" w:cs="Arial"/>
          <w:sz w:val="24"/>
          <w:szCs w:val="24"/>
        </w:rPr>
        <w:t>El efectivo y los equivalentes de efectivo en lo referente a la preparación del estado de flujos de efectivo</w:t>
      </w:r>
      <w:r w:rsidR="00A6228E" w:rsidRPr="00BC2BA0">
        <w:rPr>
          <w:rFonts w:ascii="Arial" w:hAnsi="Arial" w:cs="Arial"/>
          <w:sz w:val="24"/>
          <w:szCs w:val="24"/>
        </w:rPr>
        <w:t>, están constituidos por el dinero en caja, depósitos bancarios altamente líquidos y que no representan un riesgo significativo en el momento de su liquidación.</w:t>
      </w:r>
    </w:p>
    <w:p w:rsidR="00462B95" w:rsidRPr="001F005C" w:rsidRDefault="00462B95" w:rsidP="00A6228E">
      <w:pPr>
        <w:ind w:right="567"/>
        <w:contextualSpacing/>
        <w:jc w:val="both"/>
        <w:rPr>
          <w:rFonts w:ascii="Arial" w:hAnsi="Arial" w:cs="Arial"/>
          <w:color w:val="FF0000"/>
          <w:sz w:val="22"/>
          <w:szCs w:val="22"/>
        </w:rPr>
      </w:pPr>
    </w:p>
    <w:p w:rsidR="00217B79" w:rsidRPr="00494773" w:rsidRDefault="00353A87" w:rsidP="00353A87">
      <w:pPr>
        <w:ind w:left="720" w:right="567"/>
        <w:contextualSpacing/>
        <w:jc w:val="both"/>
        <w:rPr>
          <w:rFonts w:ascii="Arial" w:hAnsi="Arial" w:cs="Arial"/>
          <w:b/>
          <w:sz w:val="24"/>
          <w:szCs w:val="24"/>
          <w:lang w:val="es-ES_tradnl"/>
        </w:rPr>
      </w:pPr>
      <w:r w:rsidRPr="00494773">
        <w:rPr>
          <w:rFonts w:ascii="Arial" w:hAnsi="Arial" w:cs="Arial"/>
          <w:b/>
          <w:sz w:val="24"/>
          <w:szCs w:val="24"/>
          <w:lang w:val="es-ES_tradnl"/>
        </w:rPr>
        <w:t>Cuentas por cobrar</w:t>
      </w:r>
    </w:p>
    <w:p w:rsidR="00353A87" w:rsidRPr="00494773" w:rsidRDefault="00217B79" w:rsidP="00353A87">
      <w:pPr>
        <w:ind w:left="720" w:right="567"/>
        <w:contextualSpacing/>
        <w:jc w:val="both"/>
        <w:rPr>
          <w:rFonts w:ascii="Arial" w:hAnsi="Arial" w:cs="Arial"/>
          <w:sz w:val="24"/>
          <w:szCs w:val="24"/>
          <w:lang w:val="es-ES_tradnl"/>
        </w:rPr>
      </w:pPr>
      <w:r w:rsidRPr="00494773">
        <w:rPr>
          <w:rFonts w:ascii="Arial" w:hAnsi="Arial" w:cs="Arial"/>
          <w:sz w:val="24"/>
          <w:szCs w:val="24"/>
          <w:lang w:val="es-ES_tradnl"/>
        </w:rPr>
        <w:t>C</w:t>
      </w:r>
      <w:r w:rsidR="00533F36" w:rsidRPr="00494773">
        <w:rPr>
          <w:rFonts w:ascii="Arial" w:hAnsi="Arial" w:cs="Arial"/>
          <w:sz w:val="24"/>
          <w:szCs w:val="24"/>
          <w:lang w:val="es-ES_tradnl"/>
        </w:rPr>
        <w:t>orresponden</w:t>
      </w:r>
      <w:r w:rsidR="00353A87" w:rsidRPr="00494773">
        <w:rPr>
          <w:rFonts w:ascii="Arial" w:hAnsi="Arial" w:cs="Arial"/>
          <w:sz w:val="24"/>
          <w:szCs w:val="24"/>
          <w:lang w:val="es-ES_tradnl"/>
        </w:rPr>
        <w:t xml:space="preserve"> a</w:t>
      </w:r>
      <w:r w:rsidR="00296EA0" w:rsidRPr="00494773">
        <w:rPr>
          <w:rFonts w:ascii="Arial" w:hAnsi="Arial" w:cs="Arial"/>
          <w:sz w:val="24"/>
          <w:szCs w:val="24"/>
          <w:lang w:val="es-ES_tradnl"/>
        </w:rPr>
        <w:t xml:space="preserve"> recursos que se encuentran en Caja Única del Estado</w:t>
      </w:r>
      <w:r w:rsidR="00533F36" w:rsidRPr="00494773">
        <w:rPr>
          <w:rFonts w:ascii="Arial" w:hAnsi="Arial" w:cs="Arial"/>
          <w:sz w:val="24"/>
          <w:szCs w:val="24"/>
          <w:lang w:val="es-ES_tradnl"/>
        </w:rPr>
        <w:t xml:space="preserve"> administrada por la Tesorería Nacional mientras no sea requerida para la concesión de créditos o para cumplir con lo fines del Fideicomiso, la</w:t>
      </w:r>
      <w:r w:rsidR="00A6228E" w:rsidRPr="00494773">
        <w:rPr>
          <w:rFonts w:ascii="Arial" w:hAnsi="Arial" w:cs="Arial"/>
          <w:sz w:val="24"/>
          <w:szCs w:val="24"/>
          <w:lang w:val="es-ES_tradnl"/>
        </w:rPr>
        <w:t>s</w:t>
      </w:r>
      <w:r w:rsidR="00533F36" w:rsidRPr="00494773">
        <w:rPr>
          <w:rFonts w:ascii="Arial" w:hAnsi="Arial" w:cs="Arial"/>
          <w:sz w:val="24"/>
          <w:szCs w:val="24"/>
          <w:lang w:val="es-ES_tradnl"/>
        </w:rPr>
        <w:t xml:space="preserve"> mismas se encuentran</w:t>
      </w:r>
      <w:r w:rsidR="00296EA0" w:rsidRPr="00494773">
        <w:rPr>
          <w:rFonts w:ascii="Arial" w:hAnsi="Arial" w:cs="Arial"/>
          <w:sz w:val="24"/>
          <w:szCs w:val="24"/>
          <w:lang w:val="es-ES_tradnl"/>
        </w:rPr>
        <w:t xml:space="preserve"> tanto</w:t>
      </w:r>
      <w:r w:rsidR="00CC440D" w:rsidRPr="00494773">
        <w:rPr>
          <w:rFonts w:ascii="Arial" w:hAnsi="Arial" w:cs="Arial"/>
          <w:sz w:val="24"/>
          <w:szCs w:val="24"/>
          <w:lang w:val="es-ES_tradnl"/>
        </w:rPr>
        <w:t xml:space="preserve"> en colones como e</w:t>
      </w:r>
      <w:r w:rsidRPr="00494773">
        <w:rPr>
          <w:rFonts w:ascii="Arial" w:hAnsi="Arial" w:cs="Arial"/>
          <w:sz w:val="24"/>
          <w:szCs w:val="24"/>
          <w:lang w:val="es-ES_tradnl"/>
        </w:rPr>
        <w:t xml:space="preserve">n dólares. Al cierre del </w:t>
      </w:r>
      <w:r w:rsidR="001347D1">
        <w:rPr>
          <w:rFonts w:ascii="Arial" w:hAnsi="Arial" w:cs="Arial"/>
          <w:sz w:val="24"/>
          <w:szCs w:val="24"/>
          <w:lang w:val="es-ES_tradnl"/>
        </w:rPr>
        <w:t xml:space="preserve">segundo </w:t>
      </w:r>
      <w:r w:rsidRPr="00494773">
        <w:rPr>
          <w:rFonts w:ascii="Arial" w:hAnsi="Arial" w:cs="Arial"/>
          <w:sz w:val="24"/>
          <w:szCs w:val="24"/>
          <w:lang w:val="es-ES_tradnl"/>
        </w:rPr>
        <w:t xml:space="preserve">semestre del 2018 presentan un saldo de </w:t>
      </w:r>
      <w:r w:rsidR="00CC440D" w:rsidRPr="00494773">
        <w:rPr>
          <w:rFonts w:ascii="Arial" w:hAnsi="Arial" w:cs="Arial"/>
          <w:b/>
          <w:sz w:val="24"/>
          <w:szCs w:val="24"/>
          <w:lang w:val="es-ES_tradnl"/>
        </w:rPr>
        <w:t>¢</w:t>
      </w:r>
      <w:r w:rsidRPr="00494773">
        <w:rPr>
          <w:rFonts w:ascii="Arial" w:hAnsi="Arial" w:cs="Arial"/>
          <w:b/>
          <w:sz w:val="24"/>
          <w:szCs w:val="24"/>
          <w:lang w:val="es-ES_tradnl"/>
        </w:rPr>
        <w:t>1.</w:t>
      </w:r>
      <w:r w:rsidR="001347D1">
        <w:rPr>
          <w:rFonts w:ascii="Arial" w:hAnsi="Arial" w:cs="Arial"/>
          <w:b/>
          <w:sz w:val="24"/>
          <w:szCs w:val="24"/>
          <w:lang w:val="es-ES_tradnl"/>
        </w:rPr>
        <w:t>241.688.96</w:t>
      </w:r>
      <w:r w:rsidR="00144E58" w:rsidRPr="00494773">
        <w:rPr>
          <w:rFonts w:ascii="Arial" w:hAnsi="Arial" w:cs="Arial"/>
          <w:b/>
          <w:sz w:val="24"/>
          <w:szCs w:val="24"/>
          <w:lang w:val="es-ES_tradnl"/>
        </w:rPr>
        <w:t xml:space="preserve"> </w:t>
      </w:r>
      <w:r w:rsidR="00144E58" w:rsidRPr="00494773">
        <w:rPr>
          <w:rFonts w:ascii="Arial" w:hAnsi="Arial" w:cs="Arial"/>
          <w:sz w:val="24"/>
          <w:szCs w:val="24"/>
          <w:lang w:val="es-ES_tradnl"/>
        </w:rPr>
        <w:t>mil</w:t>
      </w:r>
      <w:r w:rsidRPr="00494773">
        <w:rPr>
          <w:rFonts w:ascii="Arial" w:hAnsi="Arial" w:cs="Arial"/>
          <w:sz w:val="24"/>
          <w:szCs w:val="24"/>
          <w:lang w:val="es-ES_tradnl"/>
        </w:rPr>
        <w:t>.</w:t>
      </w:r>
    </w:p>
    <w:p w:rsidR="00BB1705" w:rsidRPr="00494773" w:rsidRDefault="00BB1705" w:rsidP="00353A87">
      <w:pPr>
        <w:ind w:left="720" w:right="567"/>
        <w:contextualSpacing/>
        <w:jc w:val="both"/>
        <w:rPr>
          <w:rFonts w:ascii="Arial" w:hAnsi="Arial" w:cs="Arial"/>
          <w:sz w:val="24"/>
          <w:szCs w:val="24"/>
          <w:lang w:val="es-ES_tradnl"/>
        </w:rPr>
      </w:pPr>
    </w:p>
    <w:p w:rsidR="00BB1705" w:rsidRPr="00494773" w:rsidRDefault="00BB1705" w:rsidP="00353A87">
      <w:pPr>
        <w:ind w:left="720" w:right="567"/>
        <w:contextualSpacing/>
        <w:jc w:val="both"/>
        <w:rPr>
          <w:rFonts w:ascii="Arial" w:hAnsi="Arial" w:cs="Arial"/>
          <w:b/>
          <w:sz w:val="24"/>
          <w:szCs w:val="24"/>
          <w:lang w:val="es-ES_tradnl"/>
        </w:rPr>
      </w:pPr>
      <w:r w:rsidRPr="00494773">
        <w:rPr>
          <w:rFonts w:ascii="Arial" w:hAnsi="Arial" w:cs="Arial"/>
          <w:b/>
          <w:sz w:val="24"/>
          <w:szCs w:val="24"/>
          <w:lang w:val="es-ES_tradnl"/>
        </w:rPr>
        <w:t>Cartera de crédito</w:t>
      </w:r>
    </w:p>
    <w:p w:rsidR="00BB1705" w:rsidRPr="00494773" w:rsidRDefault="00BB1705" w:rsidP="00353A87">
      <w:pPr>
        <w:ind w:left="720" w:right="567"/>
        <w:contextualSpacing/>
        <w:jc w:val="both"/>
        <w:rPr>
          <w:rFonts w:ascii="Arial" w:hAnsi="Arial" w:cs="Arial"/>
          <w:sz w:val="24"/>
          <w:szCs w:val="24"/>
          <w:lang w:val="es-ES_tradnl"/>
        </w:rPr>
      </w:pPr>
      <w:r w:rsidRPr="00494773">
        <w:rPr>
          <w:rFonts w:ascii="Arial" w:hAnsi="Arial" w:cs="Arial"/>
          <w:sz w:val="24"/>
          <w:szCs w:val="24"/>
          <w:lang w:val="es-ES_tradnl"/>
        </w:rPr>
        <w:t xml:space="preserve">Corresponde a los créditos que se </w:t>
      </w:r>
      <w:r w:rsidR="0035473B" w:rsidRPr="00494773">
        <w:rPr>
          <w:rFonts w:ascii="Arial" w:hAnsi="Arial" w:cs="Arial"/>
          <w:sz w:val="24"/>
          <w:szCs w:val="24"/>
          <w:lang w:val="es-ES_tradnl"/>
        </w:rPr>
        <w:t>les</w:t>
      </w:r>
      <w:r w:rsidRPr="00494773">
        <w:rPr>
          <w:rFonts w:ascii="Arial" w:hAnsi="Arial" w:cs="Arial"/>
          <w:sz w:val="24"/>
          <w:szCs w:val="24"/>
          <w:lang w:val="es-ES_tradnl"/>
        </w:rPr>
        <w:t xml:space="preserve"> giran a los productores para </w:t>
      </w:r>
      <w:r w:rsidR="0035473B">
        <w:rPr>
          <w:rFonts w:ascii="Arial" w:hAnsi="Arial" w:cs="Arial"/>
          <w:sz w:val="24"/>
          <w:szCs w:val="24"/>
          <w:lang w:val="es-ES_tradnl"/>
        </w:rPr>
        <w:t>e</w:t>
      </w:r>
      <w:r w:rsidRPr="00494773">
        <w:rPr>
          <w:rFonts w:ascii="Arial" w:hAnsi="Arial" w:cs="Arial"/>
          <w:sz w:val="24"/>
          <w:szCs w:val="24"/>
          <w:lang w:val="es-ES_tradnl"/>
        </w:rPr>
        <w:t>l fomento de manejo del bosque, intervenido o no, los procesos de forestación, reforestación, viveros forestales, sistemas agroforestales, recuperación de áreas denudadas y los cambios tecnológicos en aprovechamiento e industrialización de los recursos forestales, a</w:t>
      </w:r>
      <w:r w:rsidR="00B94505" w:rsidRPr="00494773">
        <w:rPr>
          <w:rFonts w:ascii="Arial" w:hAnsi="Arial" w:cs="Arial"/>
          <w:sz w:val="24"/>
          <w:szCs w:val="24"/>
          <w:lang w:val="es-ES_tradnl"/>
        </w:rPr>
        <w:t xml:space="preserve"> </w:t>
      </w:r>
      <w:r w:rsidRPr="00494773">
        <w:rPr>
          <w:rFonts w:ascii="Arial" w:hAnsi="Arial" w:cs="Arial"/>
          <w:sz w:val="24"/>
          <w:szCs w:val="24"/>
          <w:lang w:val="es-ES_tradnl"/>
        </w:rPr>
        <w:t xml:space="preserve">la fecha presenta un saldo de </w:t>
      </w:r>
      <w:r w:rsidRPr="00494773">
        <w:rPr>
          <w:rFonts w:ascii="Arial" w:hAnsi="Arial" w:cs="Arial"/>
          <w:b/>
          <w:sz w:val="24"/>
          <w:szCs w:val="24"/>
          <w:lang w:val="es-AR"/>
        </w:rPr>
        <w:t>¢</w:t>
      </w:r>
      <w:r w:rsidR="00C27EA7">
        <w:rPr>
          <w:rFonts w:ascii="Arial" w:hAnsi="Arial" w:cs="Arial"/>
          <w:b/>
          <w:sz w:val="24"/>
          <w:szCs w:val="24"/>
          <w:lang w:val="es-AR"/>
        </w:rPr>
        <w:t>2.961.287,84</w:t>
      </w:r>
      <w:r w:rsidRPr="00494773">
        <w:rPr>
          <w:rFonts w:ascii="Arial" w:hAnsi="Arial" w:cs="Arial"/>
          <w:b/>
          <w:sz w:val="24"/>
          <w:szCs w:val="24"/>
          <w:lang w:val="es-AR"/>
        </w:rPr>
        <w:t xml:space="preserve"> mil.</w:t>
      </w:r>
    </w:p>
    <w:p w:rsidR="001004E6" w:rsidRPr="00494773" w:rsidRDefault="001004E6" w:rsidP="00460593">
      <w:pPr>
        <w:ind w:right="567"/>
        <w:contextualSpacing/>
        <w:jc w:val="both"/>
        <w:rPr>
          <w:rFonts w:ascii="Arial" w:hAnsi="Arial" w:cs="Arial"/>
          <w:color w:val="FF0000"/>
          <w:sz w:val="24"/>
          <w:szCs w:val="24"/>
          <w:lang w:val="es-AR"/>
        </w:rPr>
      </w:pPr>
    </w:p>
    <w:p w:rsidR="00C23374" w:rsidRPr="00494773" w:rsidRDefault="006104FC" w:rsidP="00353A87">
      <w:pPr>
        <w:ind w:left="720" w:right="567"/>
        <w:contextualSpacing/>
        <w:jc w:val="both"/>
        <w:rPr>
          <w:rFonts w:ascii="Arial" w:hAnsi="Arial" w:cs="Arial"/>
          <w:b/>
          <w:sz w:val="24"/>
          <w:szCs w:val="24"/>
          <w:lang w:val="es-AR"/>
        </w:rPr>
      </w:pPr>
      <w:r w:rsidRPr="00494773">
        <w:rPr>
          <w:rFonts w:ascii="Arial" w:hAnsi="Arial" w:cs="Arial"/>
          <w:b/>
          <w:sz w:val="24"/>
          <w:szCs w:val="24"/>
          <w:lang w:val="es-AR"/>
        </w:rPr>
        <w:t>Propiedad, Planta y Equipo</w:t>
      </w:r>
    </w:p>
    <w:p w:rsidR="00353A87" w:rsidRPr="00494773" w:rsidRDefault="00E147E9" w:rsidP="00353A87">
      <w:pPr>
        <w:ind w:left="720" w:right="567"/>
        <w:contextualSpacing/>
        <w:jc w:val="both"/>
        <w:rPr>
          <w:rFonts w:ascii="Arial" w:hAnsi="Arial" w:cs="Arial"/>
          <w:sz w:val="24"/>
          <w:szCs w:val="24"/>
          <w:lang w:val="es-AR"/>
        </w:rPr>
      </w:pPr>
      <w:r w:rsidRPr="00494773">
        <w:rPr>
          <w:rFonts w:ascii="Arial" w:hAnsi="Arial" w:cs="Arial"/>
          <w:sz w:val="24"/>
          <w:szCs w:val="24"/>
          <w:lang w:val="es-AR"/>
        </w:rPr>
        <w:t>Corresponde</w:t>
      </w:r>
      <w:r w:rsidR="00296EA0" w:rsidRPr="00494773">
        <w:rPr>
          <w:rFonts w:ascii="Arial" w:hAnsi="Arial" w:cs="Arial"/>
          <w:sz w:val="24"/>
          <w:szCs w:val="24"/>
          <w:lang w:val="es-AR"/>
        </w:rPr>
        <w:t xml:space="preserve"> a todas las compras que realiza el fideicomiso de mobiliarios, maquinaria, equipo de computación, comunicación y vehículos que </w:t>
      </w:r>
      <w:r w:rsidR="001004E6" w:rsidRPr="00494773">
        <w:rPr>
          <w:rFonts w:ascii="Arial" w:hAnsi="Arial" w:cs="Arial"/>
          <w:sz w:val="24"/>
          <w:szCs w:val="24"/>
          <w:lang w:val="es-AR"/>
        </w:rPr>
        <w:t>se registran al costo de adquisición, las ganancias o pérdidas resultantes de la venta o retiro de activos fijos se reconocen en los resultados del año en que se realiza, así como los gastos por reparación y mantenimiento que no extienden la vida útil estimada de los activos. Las mejoras que extienden la vida útil de los activos o que incrementan su capacidad productiva son capitalizadas.</w:t>
      </w:r>
      <w:r w:rsidR="00166906" w:rsidRPr="00494773">
        <w:rPr>
          <w:rFonts w:ascii="Arial" w:hAnsi="Arial" w:cs="Arial"/>
          <w:sz w:val="24"/>
          <w:szCs w:val="24"/>
          <w:lang w:val="es-AR"/>
        </w:rPr>
        <w:t xml:space="preserve"> Este periodo </w:t>
      </w:r>
      <w:r w:rsidR="00741B9E" w:rsidRPr="00494773">
        <w:rPr>
          <w:rFonts w:ascii="Arial" w:hAnsi="Arial" w:cs="Arial"/>
          <w:sz w:val="24"/>
          <w:szCs w:val="24"/>
          <w:lang w:val="es-AR"/>
        </w:rPr>
        <w:t>cerró</w:t>
      </w:r>
      <w:r w:rsidR="00166906" w:rsidRPr="00494773">
        <w:rPr>
          <w:rFonts w:ascii="Arial" w:hAnsi="Arial" w:cs="Arial"/>
          <w:sz w:val="24"/>
          <w:szCs w:val="24"/>
          <w:lang w:val="es-AR"/>
        </w:rPr>
        <w:t xml:space="preserve"> con un monto de </w:t>
      </w:r>
      <w:r w:rsidR="00DC7644" w:rsidRPr="00494773">
        <w:rPr>
          <w:rFonts w:ascii="Arial" w:hAnsi="Arial" w:cs="Arial"/>
          <w:b/>
          <w:sz w:val="24"/>
          <w:szCs w:val="24"/>
          <w:lang w:val="es-AR"/>
        </w:rPr>
        <w:t>¢</w:t>
      </w:r>
      <w:r w:rsidR="008278C6">
        <w:rPr>
          <w:rFonts w:ascii="Arial" w:hAnsi="Arial" w:cs="Arial"/>
          <w:b/>
          <w:sz w:val="24"/>
          <w:szCs w:val="24"/>
          <w:lang w:val="es-AR"/>
        </w:rPr>
        <w:t>400.248,20</w:t>
      </w:r>
      <w:r w:rsidR="00144E58" w:rsidRPr="00494773">
        <w:rPr>
          <w:rFonts w:ascii="Arial" w:hAnsi="Arial" w:cs="Arial"/>
          <w:b/>
          <w:sz w:val="24"/>
          <w:szCs w:val="24"/>
          <w:lang w:val="es-AR"/>
        </w:rPr>
        <w:t xml:space="preserve"> </w:t>
      </w:r>
      <w:r w:rsidR="00144E58" w:rsidRPr="00494773">
        <w:rPr>
          <w:rFonts w:ascii="Arial" w:hAnsi="Arial" w:cs="Arial"/>
          <w:sz w:val="24"/>
          <w:szCs w:val="24"/>
          <w:lang w:val="es-AR"/>
        </w:rPr>
        <w:t>mil</w:t>
      </w:r>
      <w:r w:rsidR="00144E58" w:rsidRPr="00494773">
        <w:rPr>
          <w:rFonts w:ascii="Arial" w:hAnsi="Arial" w:cs="Arial"/>
          <w:b/>
          <w:sz w:val="24"/>
          <w:szCs w:val="24"/>
          <w:lang w:val="es-AR"/>
        </w:rPr>
        <w:t>.</w:t>
      </w:r>
    </w:p>
    <w:p w:rsidR="00FD4F24" w:rsidRDefault="00FD4F24" w:rsidP="00A079F7">
      <w:pPr>
        <w:ind w:right="567"/>
        <w:contextualSpacing/>
        <w:jc w:val="both"/>
        <w:rPr>
          <w:rFonts w:ascii="Arial" w:hAnsi="Arial" w:cs="Arial"/>
          <w:color w:val="FF0000"/>
          <w:sz w:val="22"/>
          <w:szCs w:val="22"/>
          <w:lang w:val="es-AR"/>
        </w:rPr>
      </w:pPr>
    </w:p>
    <w:p w:rsidR="00E175B0" w:rsidRPr="001F005C" w:rsidRDefault="00E175B0" w:rsidP="00A079F7">
      <w:pPr>
        <w:ind w:right="567"/>
        <w:contextualSpacing/>
        <w:jc w:val="both"/>
        <w:rPr>
          <w:rFonts w:ascii="Arial" w:hAnsi="Arial" w:cs="Arial"/>
          <w:color w:val="FF0000"/>
          <w:sz w:val="22"/>
          <w:szCs w:val="22"/>
          <w:lang w:val="es-AR"/>
        </w:rPr>
      </w:pPr>
    </w:p>
    <w:p w:rsidR="00691B12" w:rsidRDefault="00691B12" w:rsidP="001004E6">
      <w:pPr>
        <w:ind w:left="720" w:right="567"/>
        <w:contextualSpacing/>
        <w:jc w:val="both"/>
        <w:rPr>
          <w:rFonts w:ascii="Arial" w:hAnsi="Arial" w:cs="Arial"/>
          <w:b/>
          <w:color w:val="FF0000"/>
          <w:sz w:val="22"/>
          <w:szCs w:val="22"/>
          <w:lang w:val="es-AR"/>
        </w:rPr>
      </w:pPr>
    </w:p>
    <w:p w:rsidR="009B4919" w:rsidRDefault="009B4919" w:rsidP="001004E6">
      <w:pPr>
        <w:ind w:left="720" w:right="567"/>
        <w:contextualSpacing/>
        <w:jc w:val="both"/>
        <w:rPr>
          <w:rFonts w:ascii="Arial" w:hAnsi="Arial" w:cs="Arial"/>
          <w:b/>
          <w:color w:val="FF0000"/>
          <w:sz w:val="22"/>
          <w:szCs w:val="22"/>
          <w:lang w:val="es-AR"/>
        </w:rPr>
      </w:pPr>
    </w:p>
    <w:p w:rsidR="009B4919" w:rsidRDefault="009B4919" w:rsidP="001004E6">
      <w:pPr>
        <w:ind w:left="720" w:right="567"/>
        <w:contextualSpacing/>
        <w:jc w:val="both"/>
        <w:rPr>
          <w:rFonts w:ascii="Arial" w:hAnsi="Arial" w:cs="Arial"/>
          <w:b/>
          <w:color w:val="FF0000"/>
          <w:sz w:val="22"/>
          <w:szCs w:val="22"/>
          <w:lang w:val="es-AR"/>
        </w:rPr>
      </w:pPr>
    </w:p>
    <w:p w:rsidR="00691B12" w:rsidRDefault="00691B12" w:rsidP="001004E6">
      <w:pPr>
        <w:ind w:left="720" w:right="567"/>
        <w:contextualSpacing/>
        <w:jc w:val="both"/>
        <w:rPr>
          <w:rFonts w:ascii="Arial" w:hAnsi="Arial" w:cs="Arial"/>
          <w:b/>
          <w:color w:val="FF0000"/>
          <w:sz w:val="22"/>
          <w:szCs w:val="22"/>
          <w:lang w:val="es-AR"/>
        </w:rPr>
      </w:pPr>
    </w:p>
    <w:p w:rsidR="00691B12" w:rsidRDefault="00691B12" w:rsidP="001004E6">
      <w:pPr>
        <w:ind w:left="720" w:right="567"/>
        <w:contextualSpacing/>
        <w:jc w:val="both"/>
        <w:rPr>
          <w:rFonts w:ascii="Arial" w:hAnsi="Arial" w:cs="Arial"/>
          <w:b/>
          <w:color w:val="FF0000"/>
          <w:sz w:val="22"/>
          <w:szCs w:val="22"/>
          <w:lang w:val="es-AR"/>
        </w:rPr>
      </w:pPr>
    </w:p>
    <w:p w:rsidR="00691B12" w:rsidRDefault="00691B12" w:rsidP="001004E6">
      <w:pPr>
        <w:ind w:left="720" w:right="567"/>
        <w:contextualSpacing/>
        <w:jc w:val="both"/>
        <w:rPr>
          <w:rFonts w:ascii="Arial" w:hAnsi="Arial" w:cs="Arial"/>
          <w:b/>
          <w:color w:val="FF0000"/>
          <w:sz w:val="22"/>
          <w:szCs w:val="22"/>
          <w:lang w:val="es-AR"/>
        </w:rPr>
      </w:pPr>
    </w:p>
    <w:p w:rsidR="00691B12" w:rsidRPr="00633616" w:rsidRDefault="00691B12" w:rsidP="001004E6">
      <w:pPr>
        <w:ind w:left="720" w:right="567"/>
        <w:contextualSpacing/>
        <w:jc w:val="both"/>
        <w:rPr>
          <w:rFonts w:ascii="Arial" w:hAnsi="Arial" w:cs="Arial"/>
          <w:b/>
          <w:sz w:val="24"/>
          <w:szCs w:val="24"/>
          <w:lang w:val="es-AR"/>
        </w:rPr>
      </w:pPr>
      <w:r w:rsidRPr="00633616">
        <w:rPr>
          <w:rFonts w:ascii="Arial" w:hAnsi="Arial" w:cs="Arial"/>
          <w:b/>
          <w:sz w:val="24"/>
          <w:szCs w:val="24"/>
          <w:lang w:val="es-AR"/>
        </w:rPr>
        <w:t>Bienes y valores adquiridos recuperación de vivienda</w:t>
      </w:r>
    </w:p>
    <w:p w:rsidR="00691B12" w:rsidRPr="00633616" w:rsidRDefault="00633616" w:rsidP="001004E6">
      <w:pPr>
        <w:ind w:left="720" w:right="567"/>
        <w:contextualSpacing/>
        <w:jc w:val="both"/>
        <w:rPr>
          <w:rFonts w:ascii="Arial" w:hAnsi="Arial" w:cs="Arial"/>
          <w:b/>
          <w:sz w:val="24"/>
          <w:szCs w:val="24"/>
          <w:lang w:val="es-AR"/>
        </w:rPr>
      </w:pPr>
      <w:r w:rsidRPr="00633616">
        <w:rPr>
          <w:rFonts w:ascii="Arial" w:hAnsi="Arial" w:cs="Arial"/>
          <w:sz w:val="24"/>
          <w:szCs w:val="24"/>
          <w:lang w:val="es-AR"/>
        </w:rPr>
        <w:t xml:space="preserve">Esta cuenta </w:t>
      </w:r>
      <w:r>
        <w:rPr>
          <w:rFonts w:ascii="Arial" w:hAnsi="Arial" w:cs="Arial"/>
          <w:sz w:val="24"/>
          <w:szCs w:val="24"/>
          <w:lang w:val="es-AR"/>
        </w:rPr>
        <w:t xml:space="preserve">presenta un saldo de </w:t>
      </w:r>
      <w:r w:rsidRPr="00633616">
        <w:rPr>
          <w:rFonts w:ascii="Arial" w:hAnsi="Arial" w:cs="Arial"/>
          <w:b/>
          <w:sz w:val="24"/>
          <w:szCs w:val="24"/>
          <w:lang w:val="es-AR"/>
        </w:rPr>
        <w:t>¢</w:t>
      </w:r>
      <w:r w:rsidR="00375A79">
        <w:rPr>
          <w:rFonts w:ascii="Arial" w:hAnsi="Arial" w:cs="Arial"/>
          <w:b/>
          <w:sz w:val="24"/>
          <w:szCs w:val="24"/>
          <w:lang w:val="es-AR"/>
        </w:rPr>
        <w:t>83.913,47</w:t>
      </w:r>
      <w:r w:rsidRPr="00633616">
        <w:rPr>
          <w:rFonts w:ascii="Arial" w:hAnsi="Arial" w:cs="Arial"/>
          <w:b/>
          <w:sz w:val="24"/>
          <w:szCs w:val="24"/>
          <w:lang w:val="es-AR"/>
        </w:rPr>
        <w:t xml:space="preserve"> </w:t>
      </w:r>
      <w:r w:rsidRPr="00633616">
        <w:rPr>
          <w:rFonts w:ascii="Arial" w:hAnsi="Arial" w:cs="Arial"/>
          <w:sz w:val="24"/>
          <w:szCs w:val="24"/>
          <w:lang w:val="es-AR"/>
        </w:rPr>
        <w:t>e</w:t>
      </w:r>
      <w:r>
        <w:rPr>
          <w:rFonts w:ascii="Arial" w:hAnsi="Arial" w:cs="Arial"/>
          <w:b/>
          <w:sz w:val="24"/>
          <w:szCs w:val="24"/>
          <w:lang w:val="es-AR"/>
        </w:rPr>
        <w:t xml:space="preserve"> </w:t>
      </w:r>
      <w:r w:rsidRPr="00633616">
        <w:rPr>
          <w:rFonts w:ascii="Arial" w:hAnsi="Arial" w:cs="Arial"/>
          <w:sz w:val="24"/>
          <w:szCs w:val="24"/>
          <w:lang w:val="es-AR"/>
        </w:rPr>
        <w:t>incluye</w:t>
      </w:r>
      <w:r w:rsidRPr="00633616">
        <w:rPr>
          <w:rFonts w:ascii="Arial" w:hAnsi="Arial" w:cs="Arial"/>
          <w:sz w:val="24"/>
          <w:szCs w:val="24"/>
        </w:rPr>
        <w:t xml:space="preserve"> los bienes adquiridos en recuperación de créditos, los bienes adquiridos para ser entregados en arrendamiento financiero, los bienes adquiridos o producidos para la venta, los bienes fuera del uso y otros bienes realizables. Se incluye también la estimación para desvalorización de estos bienes.</w:t>
      </w:r>
    </w:p>
    <w:p w:rsidR="00691B12" w:rsidRDefault="00691B12" w:rsidP="001004E6">
      <w:pPr>
        <w:ind w:left="720" w:right="567"/>
        <w:contextualSpacing/>
        <w:jc w:val="both"/>
        <w:rPr>
          <w:rFonts w:ascii="Arial" w:hAnsi="Arial" w:cs="Arial"/>
          <w:b/>
          <w:color w:val="FF0000"/>
          <w:sz w:val="22"/>
          <w:szCs w:val="22"/>
          <w:lang w:val="es-AR"/>
        </w:rPr>
      </w:pPr>
    </w:p>
    <w:p w:rsidR="000F668F" w:rsidRPr="000F668F" w:rsidRDefault="00353A87" w:rsidP="001004E6">
      <w:pPr>
        <w:ind w:left="720" w:right="567"/>
        <w:contextualSpacing/>
        <w:jc w:val="both"/>
        <w:rPr>
          <w:rFonts w:ascii="Arial" w:hAnsi="Arial" w:cs="Arial"/>
          <w:b/>
          <w:sz w:val="24"/>
          <w:szCs w:val="24"/>
          <w:lang w:val="es-AR"/>
        </w:rPr>
      </w:pPr>
      <w:r w:rsidRPr="000F668F">
        <w:rPr>
          <w:rFonts w:ascii="Arial" w:hAnsi="Arial" w:cs="Arial"/>
          <w:b/>
          <w:sz w:val="24"/>
          <w:szCs w:val="24"/>
          <w:lang w:val="es-AR"/>
        </w:rPr>
        <w:t>Cuentas por pagar</w:t>
      </w:r>
      <w:r w:rsidR="008B4A4C">
        <w:rPr>
          <w:rFonts w:ascii="Arial" w:hAnsi="Arial" w:cs="Arial"/>
          <w:b/>
          <w:sz w:val="24"/>
          <w:szCs w:val="24"/>
          <w:lang w:val="es-AR"/>
        </w:rPr>
        <w:t xml:space="preserve"> y provisiones</w:t>
      </w:r>
    </w:p>
    <w:p w:rsidR="00296EA0" w:rsidRPr="000F668F" w:rsidRDefault="000F668F" w:rsidP="001004E6">
      <w:pPr>
        <w:ind w:left="720" w:right="567"/>
        <w:contextualSpacing/>
        <w:jc w:val="both"/>
        <w:rPr>
          <w:rFonts w:ascii="Arial" w:hAnsi="Arial" w:cs="Arial"/>
          <w:sz w:val="24"/>
          <w:szCs w:val="24"/>
          <w:lang w:val="es-AR"/>
        </w:rPr>
      </w:pPr>
      <w:r w:rsidRPr="000F668F">
        <w:rPr>
          <w:rFonts w:ascii="Arial" w:hAnsi="Arial" w:cs="Arial"/>
          <w:sz w:val="24"/>
          <w:szCs w:val="24"/>
        </w:rPr>
        <w:t xml:space="preserve">Corresponde a los gastos acumulados por pagar generados por el personal contratado en el Fideicomiso (aguinaldo, vacaciones y el monto a cancelar por concepto de cuotas obrero patronales). La cuenta de retenciones a Empleados se registra tanto los aportes retenidos a los empleados pertenecientes a la Asociación Solidarista (ASOFIFO), así como, embargos judiciales por pensión alimentaria. </w:t>
      </w:r>
      <w:r w:rsidR="00144E58" w:rsidRPr="000F668F">
        <w:rPr>
          <w:rFonts w:ascii="Arial" w:hAnsi="Arial" w:cs="Arial"/>
          <w:sz w:val="24"/>
          <w:szCs w:val="24"/>
          <w:lang w:val="es-AR"/>
        </w:rPr>
        <w:t xml:space="preserve">Para este periodo se cuenta con un total de cuentas por pagar por un saldo de </w:t>
      </w:r>
      <w:r w:rsidR="00144E58" w:rsidRPr="000F668F">
        <w:rPr>
          <w:rFonts w:ascii="Arial" w:hAnsi="Arial" w:cs="Arial"/>
          <w:b/>
          <w:sz w:val="24"/>
          <w:szCs w:val="24"/>
          <w:lang w:val="es-AR"/>
        </w:rPr>
        <w:t>¢</w:t>
      </w:r>
      <w:r w:rsidR="004A4744">
        <w:rPr>
          <w:rFonts w:ascii="Arial" w:hAnsi="Arial" w:cs="Arial"/>
          <w:b/>
          <w:sz w:val="24"/>
          <w:szCs w:val="24"/>
          <w:lang w:val="es-AR"/>
        </w:rPr>
        <w:t>11.066,17</w:t>
      </w:r>
      <w:r>
        <w:rPr>
          <w:rFonts w:ascii="Arial" w:hAnsi="Arial" w:cs="Arial"/>
          <w:b/>
          <w:sz w:val="24"/>
          <w:szCs w:val="24"/>
          <w:lang w:val="es-AR"/>
        </w:rPr>
        <w:t xml:space="preserve"> </w:t>
      </w:r>
      <w:r w:rsidR="00C5180D" w:rsidRPr="000F668F">
        <w:rPr>
          <w:rFonts w:ascii="Arial" w:hAnsi="Arial" w:cs="Arial"/>
          <w:sz w:val="24"/>
          <w:szCs w:val="24"/>
          <w:lang w:val="es-AR"/>
        </w:rPr>
        <w:t>mil.</w:t>
      </w:r>
      <w:r w:rsidR="00A86876" w:rsidRPr="000F668F">
        <w:rPr>
          <w:rFonts w:ascii="Arial" w:hAnsi="Arial" w:cs="Arial"/>
          <w:sz w:val="24"/>
          <w:szCs w:val="24"/>
          <w:lang w:val="es-AR"/>
        </w:rPr>
        <w:t xml:space="preserve"> </w:t>
      </w:r>
    </w:p>
    <w:p w:rsidR="00E04E50" w:rsidRPr="000F668F" w:rsidRDefault="00296EA0" w:rsidP="001004E6">
      <w:pPr>
        <w:ind w:left="720" w:right="567"/>
        <w:contextualSpacing/>
        <w:jc w:val="both"/>
        <w:rPr>
          <w:rFonts w:ascii="Arial" w:hAnsi="Arial" w:cs="Arial"/>
          <w:sz w:val="24"/>
          <w:szCs w:val="24"/>
          <w:lang w:val="es-AR"/>
        </w:rPr>
      </w:pPr>
      <w:r w:rsidRPr="000F668F">
        <w:rPr>
          <w:rFonts w:ascii="Arial" w:hAnsi="Arial" w:cs="Arial"/>
          <w:sz w:val="24"/>
          <w:szCs w:val="24"/>
          <w:lang w:val="es-AR"/>
        </w:rPr>
        <w:t xml:space="preserve"> </w:t>
      </w:r>
    </w:p>
    <w:p w:rsidR="004630F0" w:rsidRPr="00113554" w:rsidRDefault="004630F0" w:rsidP="00CD6F67">
      <w:pPr>
        <w:ind w:left="720" w:right="567"/>
        <w:contextualSpacing/>
        <w:jc w:val="both"/>
        <w:rPr>
          <w:rFonts w:ascii="Arial" w:hAnsi="Arial" w:cs="Arial"/>
          <w:b/>
          <w:sz w:val="24"/>
          <w:szCs w:val="24"/>
          <w:lang w:val="es-AR"/>
        </w:rPr>
      </w:pPr>
      <w:r w:rsidRPr="00113554">
        <w:rPr>
          <w:rFonts w:ascii="Arial" w:hAnsi="Arial" w:cs="Arial"/>
          <w:b/>
          <w:sz w:val="24"/>
          <w:szCs w:val="24"/>
          <w:lang w:val="es-AR"/>
        </w:rPr>
        <w:t>Utilidad o pérdida del periodo</w:t>
      </w:r>
    </w:p>
    <w:p w:rsidR="00E04E50" w:rsidRPr="00113554" w:rsidRDefault="00AD352B" w:rsidP="00CD6F67">
      <w:pPr>
        <w:ind w:left="720" w:right="567"/>
        <w:contextualSpacing/>
        <w:jc w:val="both"/>
        <w:rPr>
          <w:rFonts w:ascii="Arial" w:hAnsi="Arial" w:cs="Arial"/>
          <w:sz w:val="24"/>
          <w:szCs w:val="24"/>
          <w:lang w:val="es-AR"/>
        </w:rPr>
      </w:pPr>
      <w:r>
        <w:rPr>
          <w:rFonts w:ascii="Arial" w:hAnsi="Arial" w:cs="Arial"/>
          <w:sz w:val="24"/>
          <w:szCs w:val="24"/>
          <w:lang w:val="es-AR"/>
        </w:rPr>
        <w:t>Al cierre del</w:t>
      </w:r>
      <w:r w:rsidR="004630F0" w:rsidRPr="00113554">
        <w:rPr>
          <w:rFonts w:ascii="Arial" w:hAnsi="Arial" w:cs="Arial"/>
          <w:sz w:val="24"/>
          <w:szCs w:val="24"/>
          <w:lang w:val="es-AR"/>
        </w:rPr>
        <w:t xml:space="preserve"> año 2018 el Fideicomiso presenta un resultado de </w:t>
      </w:r>
      <w:r w:rsidR="004630F0" w:rsidRPr="00AD352B">
        <w:rPr>
          <w:rFonts w:ascii="Arial" w:hAnsi="Arial" w:cs="Arial"/>
          <w:b/>
          <w:sz w:val="24"/>
          <w:szCs w:val="24"/>
          <w:lang w:val="es-AR"/>
        </w:rPr>
        <w:t>-3</w:t>
      </w:r>
      <w:r w:rsidRPr="00AD352B">
        <w:rPr>
          <w:rFonts w:ascii="Arial" w:hAnsi="Arial" w:cs="Arial"/>
          <w:b/>
          <w:sz w:val="24"/>
          <w:szCs w:val="24"/>
          <w:lang w:val="es-AR"/>
        </w:rPr>
        <w:t>54.589,97</w:t>
      </w:r>
      <w:r w:rsidR="004630F0" w:rsidRPr="00AD352B">
        <w:rPr>
          <w:rFonts w:ascii="Arial" w:hAnsi="Arial" w:cs="Arial"/>
          <w:b/>
          <w:sz w:val="24"/>
          <w:szCs w:val="24"/>
          <w:lang w:val="es-AR"/>
        </w:rPr>
        <w:t xml:space="preserve"> mil</w:t>
      </w:r>
      <w:r w:rsidR="004630F0" w:rsidRPr="00113554">
        <w:rPr>
          <w:rFonts w:ascii="Arial" w:hAnsi="Arial" w:cs="Arial"/>
          <w:sz w:val="24"/>
          <w:szCs w:val="24"/>
          <w:lang w:val="es-AR"/>
        </w:rPr>
        <w:t>, de acuerdo al siguiente detalle:</w:t>
      </w:r>
    </w:p>
    <w:p w:rsidR="004630F0" w:rsidRDefault="004630F0" w:rsidP="00CD6F67">
      <w:pPr>
        <w:ind w:left="720" w:right="567"/>
        <w:contextualSpacing/>
        <w:jc w:val="both"/>
        <w:rPr>
          <w:rFonts w:ascii="Arial" w:hAnsi="Arial" w:cs="Arial"/>
          <w:color w:val="FF0000"/>
          <w:sz w:val="22"/>
          <w:szCs w:val="22"/>
          <w:lang w:val="es-AR"/>
        </w:rPr>
      </w:pPr>
    </w:p>
    <w:p w:rsidR="004630F0" w:rsidRPr="004630F0" w:rsidRDefault="006E11C1" w:rsidP="004630F0">
      <w:pPr>
        <w:ind w:left="720" w:right="567"/>
        <w:contextualSpacing/>
        <w:jc w:val="center"/>
        <w:rPr>
          <w:rFonts w:ascii="Arial" w:hAnsi="Arial" w:cs="Arial"/>
          <w:sz w:val="22"/>
          <w:szCs w:val="22"/>
          <w:lang w:val="es-AR"/>
        </w:rPr>
      </w:pPr>
      <w:r>
        <w:rPr>
          <w:noProof/>
          <w:lang w:val="es-MX" w:eastAsia="es-MX"/>
        </w:rPr>
        <w:drawing>
          <wp:inline distT="0" distB="0" distL="0" distR="0" wp14:anchorId="01FBA7E3" wp14:editId="2E646018">
            <wp:extent cx="5343277" cy="1060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45861" cy="1060963"/>
                    </a:xfrm>
                    <a:prstGeom prst="rect">
                      <a:avLst/>
                    </a:prstGeom>
                  </pic:spPr>
                </pic:pic>
              </a:graphicData>
            </a:graphic>
          </wp:inline>
        </w:drawing>
      </w:r>
    </w:p>
    <w:p w:rsidR="00D16FC4" w:rsidRPr="00767C7C" w:rsidRDefault="00D16FC4" w:rsidP="00D16FC4">
      <w:pPr>
        <w:pStyle w:val="Prrafodelista"/>
        <w:ind w:left="1080"/>
        <w:contextualSpacing/>
        <w:jc w:val="both"/>
        <w:rPr>
          <w:rFonts w:ascii="Arial" w:hAnsi="Arial" w:cs="Arial"/>
          <w:b/>
          <w:sz w:val="20"/>
          <w:szCs w:val="20"/>
        </w:rPr>
      </w:pPr>
    </w:p>
    <w:p w:rsidR="00D16FC4" w:rsidRPr="00767C7C" w:rsidRDefault="00D16FC4" w:rsidP="00D16FC4">
      <w:pPr>
        <w:pStyle w:val="Prrafodelista"/>
        <w:ind w:left="1080"/>
        <w:contextualSpacing/>
        <w:jc w:val="both"/>
        <w:rPr>
          <w:rFonts w:ascii="Arial" w:hAnsi="Arial" w:cs="Arial"/>
          <w:b/>
          <w:sz w:val="20"/>
          <w:szCs w:val="20"/>
        </w:rPr>
      </w:pPr>
    </w:p>
    <w:p w:rsidR="007B3D99" w:rsidRDefault="007B3D99" w:rsidP="00015A4E">
      <w:pPr>
        <w:pStyle w:val="Prrafodelista"/>
        <w:ind w:left="1080"/>
        <w:contextualSpacing/>
        <w:jc w:val="center"/>
        <w:rPr>
          <w:rFonts w:ascii="Trebuchet MS" w:hAnsi="Trebuchet MS" w:cs="Arial"/>
          <w:b/>
        </w:rPr>
      </w:pPr>
    </w:p>
    <w:p w:rsidR="007B3D99" w:rsidRDefault="007B3D99" w:rsidP="00015A4E">
      <w:pPr>
        <w:pStyle w:val="Prrafodelista"/>
        <w:ind w:left="1080"/>
        <w:contextualSpacing/>
        <w:jc w:val="center"/>
        <w:rPr>
          <w:rFonts w:ascii="Trebuchet MS" w:hAnsi="Trebuchet MS" w:cs="Arial"/>
          <w:b/>
        </w:rPr>
      </w:pPr>
    </w:p>
    <w:p w:rsidR="007B3D99" w:rsidRDefault="007B3D99" w:rsidP="00015A4E">
      <w:pPr>
        <w:pStyle w:val="Prrafodelista"/>
        <w:ind w:left="1080"/>
        <w:contextualSpacing/>
        <w:jc w:val="center"/>
        <w:rPr>
          <w:rFonts w:ascii="Trebuchet MS" w:hAnsi="Trebuchet MS" w:cs="Arial"/>
          <w:b/>
        </w:rPr>
      </w:pPr>
    </w:p>
    <w:p w:rsidR="00E175B0" w:rsidRDefault="00E175B0" w:rsidP="00015A4E">
      <w:pPr>
        <w:pStyle w:val="Prrafodelista"/>
        <w:ind w:left="1080"/>
        <w:contextualSpacing/>
        <w:jc w:val="center"/>
        <w:rPr>
          <w:rFonts w:ascii="Trebuchet MS" w:hAnsi="Trebuchet MS" w:cs="Arial"/>
          <w:b/>
        </w:rPr>
      </w:pPr>
    </w:p>
    <w:p w:rsidR="00E175B0" w:rsidRDefault="00E175B0" w:rsidP="00015A4E">
      <w:pPr>
        <w:pStyle w:val="Prrafodelista"/>
        <w:ind w:left="1080"/>
        <w:contextualSpacing/>
        <w:jc w:val="center"/>
        <w:rPr>
          <w:rFonts w:ascii="Trebuchet MS" w:hAnsi="Trebuchet MS" w:cs="Arial"/>
          <w:b/>
        </w:rPr>
      </w:pPr>
    </w:p>
    <w:p w:rsidR="00E175B0" w:rsidRDefault="00E175B0" w:rsidP="00015A4E">
      <w:pPr>
        <w:pStyle w:val="Prrafodelista"/>
        <w:ind w:left="1080"/>
        <w:contextualSpacing/>
        <w:jc w:val="center"/>
        <w:rPr>
          <w:rFonts w:ascii="Trebuchet MS" w:hAnsi="Trebuchet MS" w:cs="Arial"/>
          <w:b/>
        </w:rPr>
      </w:pPr>
    </w:p>
    <w:p w:rsidR="00E175B0" w:rsidRDefault="00E175B0" w:rsidP="00015A4E">
      <w:pPr>
        <w:pStyle w:val="Prrafodelista"/>
        <w:ind w:left="1080"/>
        <w:contextualSpacing/>
        <w:jc w:val="center"/>
        <w:rPr>
          <w:rFonts w:ascii="Trebuchet MS" w:hAnsi="Trebuchet MS" w:cs="Arial"/>
          <w:b/>
        </w:rPr>
      </w:pPr>
    </w:p>
    <w:p w:rsidR="005C0CA7" w:rsidRDefault="005C0CA7" w:rsidP="00015A4E">
      <w:pPr>
        <w:pStyle w:val="Prrafodelista"/>
        <w:ind w:left="1080"/>
        <w:contextualSpacing/>
        <w:jc w:val="center"/>
        <w:rPr>
          <w:rFonts w:ascii="Trebuchet MS" w:hAnsi="Trebuchet MS" w:cs="Arial"/>
          <w:b/>
        </w:rPr>
      </w:pPr>
    </w:p>
    <w:p w:rsidR="005C0CA7" w:rsidRDefault="005C0CA7" w:rsidP="00015A4E">
      <w:pPr>
        <w:pStyle w:val="Prrafodelista"/>
        <w:ind w:left="1080"/>
        <w:contextualSpacing/>
        <w:jc w:val="center"/>
        <w:rPr>
          <w:rFonts w:ascii="Trebuchet MS" w:hAnsi="Trebuchet MS" w:cs="Arial"/>
          <w:b/>
        </w:rPr>
      </w:pPr>
    </w:p>
    <w:p w:rsidR="005C0CA7" w:rsidRDefault="005C0CA7" w:rsidP="00015A4E">
      <w:pPr>
        <w:pStyle w:val="Prrafodelista"/>
        <w:ind w:left="1080"/>
        <w:contextualSpacing/>
        <w:jc w:val="center"/>
        <w:rPr>
          <w:rFonts w:ascii="Trebuchet MS" w:hAnsi="Trebuchet MS" w:cs="Arial"/>
          <w:b/>
        </w:rPr>
      </w:pPr>
    </w:p>
    <w:p w:rsidR="00E175B0" w:rsidRDefault="00E175B0" w:rsidP="00015A4E">
      <w:pPr>
        <w:pStyle w:val="Prrafodelista"/>
        <w:ind w:left="1080"/>
        <w:contextualSpacing/>
        <w:jc w:val="center"/>
        <w:rPr>
          <w:rFonts w:ascii="Trebuchet MS" w:hAnsi="Trebuchet MS" w:cs="Arial"/>
          <w:b/>
        </w:rPr>
      </w:pPr>
    </w:p>
    <w:p w:rsidR="00E175B0" w:rsidRDefault="00E175B0" w:rsidP="00015A4E">
      <w:pPr>
        <w:pStyle w:val="Prrafodelista"/>
        <w:ind w:left="1080"/>
        <w:contextualSpacing/>
        <w:jc w:val="center"/>
        <w:rPr>
          <w:rFonts w:ascii="Trebuchet MS" w:hAnsi="Trebuchet MS" w:cs="Arial"/>
          <w:b/>
        </w:rPr>
      </w:pPr>
    </w:p>
    <w:p w:rsidR="00BA19E5" w:rsidRDefault="00BA19E5" w:rsidP="00015A4E">
      <w:pPr>
        <w:pStyle w:val="Prrafodelista"/>
        <w:ind w:left="1080"/>
        <w:contextualSpacing/>
        <w:jc w:val="center"/>
        <w:rPr>
          <w:rFonts w:ascii="Trebuchet MS" w:hAnsi="Trebuchet MS" w:cs="Arial"/>
          <w:b/>
        </w:rPr>
      </w:pPr>
    </w:p>
    <w:p w:rsidR="00BA19E5" w:rsidRDefault="00BA19E5" w:rsidP="00015A4E">
      <w:pPr>
        <w:pStyle w:val="Prrafodelista"/>
        <w:ind w:left="1080"/>
        <w:contextualSpacing/>
        <w:jc w:val="center"/>
        <w:rPr>
          <w:rFonts w:ascii="Trebuchet MS" w:hAnsi="Trebuchet MS" w:cs="Arial"/>
          <w:b/>
        </w:rPr>
      </w:pPr>
    </w:p>
    <w:p w:rsidR="007B3D99" w:rsidRDefault="007B3D99" w:rsidP="00015A4E">
      <w:pPr>
        <w:pStyle w:val="Prrafodelista"/>
        <w:ind w:left="1080"/>
        <w:contextualSpacing/>
        <w:jc w:val="center"/>
        <w:rPr>
          <w:rFonts w:ascii="Trebuchet MS" w:hAnsi="Trebuchet MS" w:cs="Arial"/>
          <w:b/>
        </w:rPr>
      </w:pPr>
    </w:p>
    <w:p w:rsidR="007B3D99" w:rsidRDefault="007B3D99" w:rsidP="00015A4E">
      <w:pPr>
        <w:pStyle w:val="Prrafodelista"/>
        <w:ind w:left="1080"/>
        <w:contextualSpacing/>
        <w:jc w:val="center"/>
        <w:rPr>
          <w:rFonts w:ascii="Trebuchet MS" w:hAnsi="Trebuchet MS" w:cs="Arial"/>
          <w:b/>
        </w:rPr>
      </w:pPr>
    </w:p>
    <w:p w:rsidR="007B3D99" w:rsidRDefault="007B3D99" w:rsidP="00015A4E">
      <w:pPr>
        <w:pStyle w:val="Prrafodelista"/>
        <w:ind w:left="1080"/>
        <w:contextualSpacing/>
        <w:jc w:val="center"/>
        <w:rPr>
          <w:rFonts w:ascii="Trebuchet MS" w:hAnsi="Trebuchet MS" w:cs="Arial"/>
          <w:b/>
        </w:rPr>
      </w:pPr>
    </w:p>
    <w:p w:rsidR="00D16FC4" w:rsidRPr="00767C7C" w:rsidRDefault="00015A4E" w:rsidP="00015A4E">
      <w:pPr>
        <w:pStyle w:val="Prrafodelista"/>
        <w:ind w:left="1080"/>
        <w:contextualSpacing/>
        <w:jc w:val="center"/>
        <w:rPr>
          <w:rFonts w:ascii="Trebuchet MS" w:hAnsi="Trebuchet MS" w:cs="Arial"/>
          <w:b/>
        </w:rPr>
      </w:pPr>
      <w:r>
        <w:rPr>
          <w:rFonts w:ascii="Trebuchet MS" w:hAnsi="Trebuchet MS" w:cs="Arial"/>
          <w:b/>
        </w:rPr>
        <w:t>Estado de Resultados Consolidado</w:t>
      </w:r>
    </w:p>
    <w:p w:rsidR="00015A4E" w:rsidRPr="00015A4E" w:rsidRDefault="00015A4E" w:rsidP="00015A4E">
      <w:pPr>
        <w:pStyle w:val="Prrafodelista"/>
        <w:ind w:left="1080"/>
        <w:contextualSpacing/>
        <w:jc w:val="center"/>
        <w:rPr>
          <w:rFonts w:ascii="Arial" w:hAnsi="Arial" w:cs="Arial"/>
          <w:b/>
        </w:rPr>
      </w:pPr>
      <w:r w:rsidRPr="00015A4E">
        <w:rPr>
          <w:rFonts w:ascii="Arial" w:hAnsi="Arial" w:cs="Arial"/>
          <w:b/>
        </w:rPr>
        <w:t>Fideicomiso 544 FONAFIFO CONSOLIDADO – BNCR</w:t>
      </w:r>
    </w:p>
    <w:p w:rsidR="00015A4E" w:rsidRPr="00015A4E" w:rsidRDefault="00AD0577" w:rsidP="00015A4E">
      <w:pPr>
        <w:pStyle w:val="Prrafodelista"/>
        <w:ind w:left="1080"/>
        <w:contextualSpacing/>
        <w:jc w:val="center"/>
        <w:rPr>
          <w:rFonts w:ascii="Arial" w:hAnsi="Arial" w:cs="Arial"/>
          <w:b/>
        </w:rPr>
      </w:pPr>
      <w:r>
        <w:rPr>
          <w:rFonts w:ascii="Arial" w:hAnsi="Arial" w:cs="Arial"/>
          <w:b/>
        </w:rPr>
        <w:t xml:space="preserve">Del 01 de </w:t>
      </w:r>
      <w:r w:rsidR="005A4966">
        <w:rPr>
          <w:rFonts w:ascii="Arial" w:hAnsi="Arial" w:cs="Arial"/>
          <w:b/>
        </w:rPr>
        <w:t>enero</w:t>
      </w:r>
      <w:r>
        <w:rPr>
          <w:rFonts w:ascii="Arial" w:hAnsi="Arial" w:cs="Arial"/>
          <w:b/>
        </w:rPr>
        <w:t xml:space="preserve"> a</w:t>
      </w:r>
      <w:r w:rsidR="00015A4E" w:rsidRPr="00015A4E">
        <w:rPr>
          <w:rFonts w:ascii="Arial" w:hAnsi="Arial" w:cs="Arial"/>
          <w:b/>
        </w:rPr>
        <w:t xml:space="preserve">l </w:t>
      </w:r>
      <w:r w:rsidR="00315DD2">
        <w:rPr>
          <w:rFonts w:ascii="Arial" w:hAnsi="Arial" w:cs="Arial"/>
          <w:b/>
        </w:rPr>
        <w:t>3</w:t>
      </w:r>
      <w:r>
        <w:rPr>
          <w:rFonts w:ascii="Arial" w:hAnsi="Arial" w:cs="Arial"/>
          <w:b/>
        </w:rPr>
        <w:t>1</w:t>
      </w:r>
      <w:r w:rsidR="00315DD2">
        <w:rPr>
          <w:rFonts w:ascii="Arial" w:hAnsi="Arial" w:cs="Arial"/>
          <w:b/>
        </w:rPr>
        <w:t xml:space="preserve"> de </w:t>
      </w:r>
      <w:r>
        <w:rPr>
          <w:rFonts w:ascii="Arial" w:hAnsi="Arial" w:cs="Arial"/>
          <w:b/>
        </w:rPr>
        <w:t>diciembre</w:t>
      </w:r>
      <w:r w:rsidR="00221468">
        <w:rPr>
          <w:rFonts w:ascii="Arial" w:hAnsi="Arial" w:cs="Arial"/>
          <w:b/>
        </w:rPr>
        <w:t xml:space="preserve"> </w:t>
      </w:r>
      <w:r w:rsidR="00015A4E" w:rsidRPr="00015A4E">
        <w:rPr>
          <w:rFonts w:ascii="Arial" w:hAnsi="Arial" w:cs="Arial"/>
          <w:b/>
        </w:rPr>
        <w:t>del 201</w:t>
      </w:r>
      <w:r w:rsidR="001F005C">
        <w:rPr>
          <w:rFonts w:ascii="Arial" w:hAnsi="Arial" w:cs="Arial"/>
          <w:b/>
        </w:rPr>
        <w:t>7</w:t>
      </w:r>
      <w:r w:rsidR="00015A4E" w:rsidRPr="00015A4E">
        <w:rPr>
          <w:rFonts w:ascii="Arial" w:hAnsi="Arial" w:cs="Arial"/>
          <w:b/>
        </w:rPr>
        <w:t xml:space="preserve"> y 201</w:t>
      </w:r>
      <w:r w:rsidR="001F005C">
        <w:rPr>
          <w:rFonts w:ascii="Arial" w:hAnsi="Arial" w:cs="Arial"/>
          <w:b/>
        </w:rPr>
        <w:t>8</w:t>
      </w:r>
    </w:p>
    <w:p w:rsidR="00353A87" w:rsidRPr="00221468" w:rsidRDefault="00015A4E" w:rsidP="00221468">
      <w:pPr>
        <w:pStyle w:val="Prrafodelista"/>
        <w:ind w:left="1080"/>
        <w:contextualSpacing/>
        <w:jc w:val="center"/>
        <w:rPr>
          <w:rFonts w:ascii="Arial" w:hAnsi="Arial" w:cs="Arial"/>
          <w:b/>
        </w:rPr>
      </w:pPr>
      <w:r w:rsidRPr="00015A4E">
        <w:rPr>
          <w:rFonts w:ascii="Arial" w:hAnsi="Arial" w:cs="Arial"/>
          <w:b/>
        </w:rPr>
        <w:t>Cifras en co</w:t>
      </w:r>
      <w:r w:rsidR="00221468">
        <w:rPr>
          <w:rFonts w:ascii="Arial" w:hAnsi="Arial" w:cs="Arial"/>
          <w:b/>
        </w:rPr>
        <w:t>lones con dos decimales</w:t>
      </w:r>
    </w:p>
    <w:tbl>
      <w:tblPr>
        <w:tblW w:w="10794" w:type="dxa"/>
        <w:tblInd w:w="-294" w:type="dxa"/>
        <w:tblCellMar>
          <w:left w:w="70" w:type="dxa"/>
          <w:right w:w="70" w:type="dxa"/>
        </w:tblCellMar>
        <w:tblLook w:val="04A0" w:firstRow="1" w:lastRow="0" w:firstColumn="1" w:lastColumn="0" w:noHBand="0" w:noVBand="1"/>
      </w:tblPr>
      <w:tblGrid>
        <w:gridCol w:w="3305"/>
        <w:gridCol w:w="913"/>
        <w:gridCol w:w="2116"/>
        <w:gridCol w:w="2051"/>
        <w:gridCol w:w="456"/>
        <w:gridCol w:w="1499"/>
        <w:gridCol w:w="454"/>
      </w:tblGrid>
      <w:tr w:rsidR="005A4966" w:rsidRPr="005A4966" w:rsidTr="005A4966">
        <w:trPr>
          <w:trHeight w:val="232"/>
        </w:trPr>
        <w:tc>
          <w:tcPr>
            <w:tcW w:w="3305" w:type="dxa"/>
            <w:tcBorders>
              <w:top w:val="single" w:sz="8" w:space="0" w:color="auto"/>
              <w:left w:val="single" w:sz="8" w:space="0" w:color="auto"/>
              <w:bottom w:val="single" w:sz="8" w:space="0" w:color="auto"/>
              <w:right w:val="nil"/>
            </w:tcBorders>
            <w:shd w:val="clear" w:color="000000" w:fill="00B050"/>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Detalle</w:t>
            </w:r>
          </w:p>
        </w:tc>
        <w:tc>
          <w:tcPr>
            <w:tcW w:w="913" w:type="dxa"/>
            <w:tcBorders>
              <w:top w:val="single" w:sz="8" w:space="0" w:color="auto"/>
              <w:left w:val="nil"/>
              <w:bottom w:val="single" w:sz="8" w:space="0" w:color="auto"/>
              <w:right w:val="nil"/>
            </w:tcBorders>
            <w:shd w:val="clear" w:color="000000" w:fill="00B050"/>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Nota</w:t>
            </w:r>
          </w:p>
        </w:tc>
        <w:tc>
          <w:tcPr>
            <w:tcW w:w="2116" w:type="dxa"/>
            <w:tcBorders>
              <w:top w:val="single" w:sz="8" w:space="0" w:color="auto"/>
              <w:left w:val="nil"/>
              <w:bottom w:val="single" w:sz="8" w:space="0" w:color="auto"/>
              <w:right w:val="nil"/>
            </w:tcBorders>
            <w:shd w:val="clear" w:color="000000" w:fill="00B050"/>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Saldos a Diciembre 2017</w:t>
            </w:r>
          </w:p>
        </w:tc>
        <w:tc>
          <w:tcPr>
            <w:tcW w:w="2507" w:type="dxa"/>
            <w:gridSpan w:val="2"/>
            <w:tcBorders>
              <w:top w:val="single" w:sz="8" w:space="0" w:color="auto"/>
              <w:left w:val="nil"/>
              <w:bottom w:val="single" w:sz="8" w:space="0" w:color="auto"/>
              <w:right w:val="nil"/>
            </w:tcBorders>
            <w:shd w:val="clear" w:color="000000" w:fill="00B050"/>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Movimiento Interanual</w:t>
            </w:r>
          </w:p>
        </w:tc>
        <w:tc>
          <w:tcPr>
            <w:tcW w:w="1953" w:type="dxa"/>
            <w:gridSpan w:val="2"/>
            <w:tcBorders>
              <w:top w:val="single" w:sz="8" w:space="0" w:color="auto"/>
              <w:left w:val="nil"/>
              <w:bottom w:val="single" w:sz="8" w:space="0" w:color="auto"/>
              <w:right w:val="single" w:sz="8" w:space="0" w:color="auto"/>
            </w:tcBorders>
            <w:shd w:val="clear" w:color="000000" w:fill="00B050"/>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Saldo a Diciembre 2018</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Ingresos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Ingresos Operativos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Productos por cartera de crédito</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24</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174.455.581,16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17.827.070,63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156.628.510,53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Disminución Estimaciones por incobrables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25</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8.451.477,72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128.125.720,57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136.577.198,29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Ingresos por Bienes Realizables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26</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7.039.168,34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Ingresos por Afectaciones-PSA</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27</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49.909,29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36.975.433,29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37.025.342,58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Ingresos por formalizaciones de Crédito</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28</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375.000,00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375.000,00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Otros Ingresos Operativos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29</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399.487.708,51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189.363.126,91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588.850.835,42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Total Ingresoso operativos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582.819.676,68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343.301.378,48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926.121.055,16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Ingresos Financieros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Ingresos Financieros por Disponibilidades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30</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3.496,32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2.869,04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627,28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Ingreso por diferencial cambiario</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31</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14.405.557,30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3.559.824,16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17.965.381,46 </w:t>
            </w:r>
          </w:p>
        </w:tc>
      </w:tr>
      <w:tr w:rsidR="005A4966" w:rsidRPr="005A4966" w:rsidTr="005A4966">
        <w:trPr>
          <w:gridAfter w:val="1"/>
          <w:wAfter w:w="454" w:type="dxa"/>
          <w:trHeight w:val="232"/>
        </w:trPr>
        <w:tc>
          <w:tcPr>
            <w:tcW w:w="3305" w:type="dxa"/>
            <w:tcBorders>
              <w:top w:val="nil"/>
              <w:left w:val="single" w:sz="8" w:space="0" w:color="auto"/>
              <w:bottom w:val="single" w:sz="8" w:space="0" w:color="auto"/>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Total ingresos financieros</w:t>
            </w:r>
          </w:p>
        </w:tc>
        <w:tc>
          <w:tcPr>
            <w:tcW w:w="913" w:type="dxa"/>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w:t>
            </w:r>
          </w:p>
        </w:tc>
        <w:tc>
          <w:tcPr>
            <w:tcW w:w="2116" w:type="dxa"/>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14.409.053,62 </w:t>
            </w:r>
          </w:p>
        </w:tc>
        <w:tc>
          <w:tcPr>
            <w:tcW w:w="2051" w:type="dxa"/>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3.556.955,12 </w:t>
            </w:r>
          </w:p>
        </w:tc>
        <w:tc>
          <w:tcPr>
            <w:tcW w:w="1955" w:type="dxa"/>
            <w:gridSpan w:val="2"/>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17.966.008,74 </w:t>
            </w:r>
          </w:p>
        </w:tc>
      </w:tr>
      <w:tr w:rsidR="005A4966" w:rsidRPr="005A4966" w:rsidTr="005A4966">
        <w:trPr>
          <w:gridAfter w:val="1"/>
          <w:wAfter w:w="454" w:type="dxa"/>
          <w:trHeight w:val="232"/>
        </w:trPr>
        <w:tc>
          <w:tcPr>
            <w:tcW w:w="3305" w:type="dxa"/>
            <w:tcBorders>
              <w:top w:val="nil"/>
              <w:left w:val="single" w:sz="8" w:space="0" w:color="auto"/>
              <w:bottom w:val="single" w:sz="8" w:space="0" w:color="auto"/>
              <w:right w:val="nil"/>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Total ingresos</w:t>
            </w:r>
          </w:p>
        </w:tc>
        <w:tc>
          <w:tcPr>
            <w:tcW w:w="913" w:type="dxa"/>
            <w:tcBorders>
              <w:top w:val="nil"/>
              <w:left w:val="nil"/>
              <w:bottom w:val="single" w:sz="8" w:space="0" w:color="auto"/>
              <w:right w:val="nil"/>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w:t>
            </w:r>
          </w:p>
        </w:tc>
        <w:tc>
          <w:tcPr>
            <w:tcW w:w="2116" w:type="dxa"/>
            <w:tcBorders>
              <w:top w:val="nil"/>
              <w:left w:val="nil"/>
              <w:bottom w:val="single" w:sz="8" w:space="0" w:color="auto"/>
              <w:right w:val="nil"/>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597.228.730,30 </w:t>
            </w:r>
          </w:p>
        </w:tc>
        <w:tc>
          <w:tcPr>
            <w:tcW w:w="2051" w:type="dxa"/>
            <w:tcBorders>
              <w:top w:val="nil"/>
              <w:left w:val="nil"/>
              <w:bottom w:val="single" w:sz="8" w:space="0" w:color="auto"/>
              <w:right w:val="nil"/>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346.858.333,60 </w:t>
            </w:r>
          </w:p>
        </w:tc>
        <w:tc>
          <w:tcPr>
            <w:tcW w:w="1955" w:type="dxa"/>
            <w:gridSpan w:val="2"/>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944.087.063,90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Egresos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Gastos operativos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por estimación cartera crédito</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32</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166.139.265,74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78.989.772,27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87.149.493,47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por Bienes Realizables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33</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35.496.450,26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29.539.634,70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65.036.084,96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Servicios Ambietales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34</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7.303.417,70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7.303.417,70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Comisión por servicios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35</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122.720.551,56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3.148.660,20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125.869.211,76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Otros gastos operativos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36</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22.390.187,81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18.668.786,59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3.721.401,22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Total Gastos Operativos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354.049.873,07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72.273.681,66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281.776.191,41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Gastos Financieros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Diferencial cambiario</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37</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4.086.131,64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470.796,51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3.615.335,13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Total gastos Financieros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4.086.131,64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470.796,51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3.615.335,13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Gastos de Administración</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de personal</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38</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250.366.066,56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20.632.936,44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229.733.130,12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por provisiones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39</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84.434.332,25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4.120.804,04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88.555.136,29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por servicios externos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40</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315.111.647,75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241.552.384,02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556.664.031,77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de movilidad y comunicaciones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41</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29.604.450,57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2.455.955,15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27.148.495,42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de infraestructura</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42</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67.333.843,29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3.763.012,79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63.570.830,50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generales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43</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99.543.256,05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53.770.290,11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45.772.965,94 </w:t>
            </w:r>
          </w:p>
        </w:tc>
      </w:tr>
      <w:tr w:rsidR="005A4966" w:rsidRPr="005A4966" w:rsidTr="005A4966">
        <w:trPr>
          <w:gridAfter w:val="1"/>
          <w:wAfter w:w="454" w:type="dxa"/>
          <w:trHeight w:val="222"/>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Gastos por cencelación de servicios ambientales</w:t>
            </w:r>
          </w:p>
        </w:tc>
        <w:tc>
          <w:tcPr>
            <w:tcW w:w="913"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44</w:t>
            </w:r>
          </w:p>
        </w:tc>
        <w:tc>
          <w:tcPr>
            <w:tcW w:w="2116"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   </w:t>
            </w:r>
          </w:p>
        </w:tc>
        <w:tc>
          <w:tcPr>
            <w:tcW w:w="2051" w:type="dxa"/>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1.840.913,92 </w:t>
            </w:r>
          </w:p>
        </w:tc>
        <w:tc>
          <w:tcPr>
            <w:tcW w:w="1955" w:type="dxa"/>
            <w:gridSpan w:val="2"/>
            <w:tcBorders>
              <w:top w:val="nil"/>
              <w:left w:val="nil"/>
              <w:bottom w:val="nil"/>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xml:space="preserve">                      1.840.913,92 </w:t>
            </w:r>
          </w:p>
        </w:tc>
      </w:tr>
      <w:tr w:rsidR="005A4966" w:rsidRPr="005A4966" w:rsidTr="005A4966">
        <w:trPr>
          <w:gridAfter w:val="1"/>
          <w:wAfter w:w="454" w:type="dxa"/>
          <w:trHeight w:val="71"/>
        </w:trPr>
        <w:tc>
          <w:tcPr>
            <w:tcW w:w="3305" w:type="dxa"/>
            <w:tcBorders>
              <w:top w:val="nil"/>
              <w:left w:val="single" w:sz="8" w:space="0" w:color="auto"/>
              <w:bottom w:val="nil"/>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Total Gastos Administrativos </w:t>
            </w:r>
          </w:p>
        </w:tc>
        <w:tc>
          <w:tcPr>
            <w:tcW w:w="913" w:type="dxa"/>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846.393.596,47 </w:t>
            </w:r>
          </w:p>
        </w:tc>
        <w:tc>
          <w:tcPr>
            <w:tcW w:w="2051" w:type="dxa"/>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166.891.907,49 </w:t>
            </w:r>
          </w:p>
        </w:tc>
        <w:tc>
          <w:tcPr>
            <w:tcW w:w="1955" w:type="dxa"/>
            <w:gridSpan w:val="2"/>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1.013.285.503,96 </w:t>
            </w:r>
          </w:p>
        </w:tc>
      </w:tr>
      <w:tr w:rsidR="005A4966" w:rsidRPr="005A4966" w:rsidTr="005A4966">
        <w:trPr>
          <w:gridAfter w:val="1"/>
          <w:wAfter w:w="454" w:type="dxa"/>
          <w:trHeight w:val="232"/>
        </w:trPr>
        <w:tc>
          <w:tcPr>
            <w:tcW w:w="3305" w:type="dxa"/>
            <w:tcBorders>
              <w:top w:val="single" w:sz="8" w:space="0" w:color="auto"/>
              <w:left w:val="single" w:sz="8" w:space="0" w:color="auto"/>
              <w:bottom w:val="single" w:sz="8" w:space="0" w:color="auto"/>
              <w:right w:val="nil"/>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Total  Egresos</w:t>
            </w:r>
          </w:p>
        </w:tc>
        <w:tc>
          <w:tcPr>
            <w:tcW w:w="913" w:type="dxa"/>
            <w:tcBorders>
              <w:top w:val="nil"/>
              <w:left w:val="nil"/>
              <w:bottom w:val="single" w:sz="8" w:space="0" w:color="auto"/>
              <w:right w:val="nil"/>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single" w:sz="8" w:space="0" w:color="auto"/>
              <w:right w:val="nil"/>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1.204.529.601,18 </w:t>
            </w:r>
          </w:p>
        </w:tc>
        <w:tc>
          <w:tcPr>
            <w:tcW w:w="2051" w:type="dxa"/>
            <w:tcBorders>
              <w:top w:val="nil"/>
              <w:left w:val="nil"/>
              <w:bottom w:val="single" w:sz="8" w:space="0" w:color="auto"/>
              <w:right w:val="nil"/>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94.147.429,32 </w:t>
            </w:r>
          </w:p>
        </w:tc>
        <w:tc>
          <w:tcPr>
            <w:tcW w:w="1955" w:type="dxa"/>
            <w:gridSpan w:val="2"/>
            <w:tcBorders>
              <w:top w:val="nil"/>
              <w:left w:val="nil"/>
              <w:bottom w:val="single" w:sz="8" w:space="0" w:color="auto"/>
              <w:right w:val="single" w:sz="4"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1.298.677.030,50 </w:t>
            </w:r>
          </w:p>
        </w:tc>
      </w:tr>
      <w:tr w:rsidR="005A4966" w:rsidRPr="005A4966" w:rsidTr="005A4966">
        <w:trPr>
          <w:gridAfter w:val="1"/>
          <w:wAfter w:w="454" w:type="dxa"/>
          <w:trHeight w:val="222"/>
        </w:trPr>
        <w:tc>
          <w:tcPr>
            <w:tcW w:w="3305" w:type="dxa"/>
            <w:tcBorders>
              <w:top w:val="nil"/>
              <w:left w:val="single" w:sz="8" w:space="0" w:color="auto"/>
              <w:bottom w:val="nil"/>
              <w:right w:val="nil"/>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w:t>
            </w:r>
          </w:p>
        </w:tc>
        <w:tc>
          <w:tcPr>
            <w:tcW w:w="913" w:type="dxa"/>
            <w:tcBorders>
              <w:top w:val="nil"/>
              <w:left w:val="nil"/>
              <w:bottom w:val="nil"/>
              <w:right w:val="nil"/>
            </w:tcBorders>
            <w:shd w:val="clear" w:color="000000" w:fill="FFFFFF"/>
            <w:noWrap/>
            <w:vAlign w:val="bottom"/>
            <w:hideMark/>
          </w:tcPr>
          <w:p w:rsidR="005A4966" w:rsidRPr="005A4966" w:rsidRDefault="005A4966" w:rsidP="005A4966">
            <w:pPr>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116" w:type="dxa"/>
            <w:tcBorders>
              <w:top w:val="nil"/>
              <w:left w:val="nil"/>
              <w:bottom w:val="nil"/>
              <w:right w:val="nil"/>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2051" w:type="dxa"/>
            <w:tcBorders>
              <w:top w:val="nil"/>
              <w:left w:val="nil"/>
              <w:bottom w:val="nil"/>
              <w:right w:val="nil"/>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c>
          <w:tcPr>
            <w:tcW w:w="1955" w:type="dxa"/>
            <w:gridSpan w:val="2"/>
            <w:tcBorders>
              <w:top w:val="nil"/>
              <w:left w:val="nil"/>
              <w:bottom w:val="nil"/>
              <w:right w:val="single" w:sz="4" w:space="0" w:color="auto"/>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 </w:t>
            </w:r>
          </w:p>
        </w:tc>
      </w:tr>
      <w:tr w:rsidR="005A4966" w:rsidRPr="005A4966" w:rsidTr="005A4966">
        <w:trPr>
          <w:gridAfter w:val="1"/>
          <w:wAfter w:w="454" w:type="dxa"/>
          <w:trHeight w:val="71"/>
        </w:trPr>
        <w:tc>
          <w:tcPr>
            <w:tcW w:w="3305" w:type="dxa"/>
            <w:tcBorders>
              <w:top w:val="nil"/>
              <w:left w:val="single" w:sz="8" w:space="0" w:color="auto"/>
              <w:bottom w:val="single" w:sz="8" w:space="0" w:color="auto"/>
              <w:right w:val="nil"/>
            </w:tcBorders>
            <w:shd w:val="clear" w:color="000000" w:fill="FFFFFF"/>
            <w:noWrap/>
            <w:vAlign w:val="bottom"/>
            <w:hideMark/>
          </w:tcPr>
          <w:p w:rsidR="005A4966" w:rsidRPr="005A4966" w:rsidRDefault="005A4966" w:rsidP="005A4966">
            <w:pPr>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Utilidad o (Perdida)</w:t>
            </w:r>
          </w:p>
        </w:tc>
        <w:tc>
          <w:tcPr>
            <w:tcW w:w="913" w:type="dxa"/>
            <w:tcBorders>
              <w:top w:val="nil"/>
              <w:left w:val="nil"/>
              <w:bottom w:val="single" w:sz="8" w:space="0" w:color="auto"/>
              <w:right w:val="nil"/>
            </w:tcBorders>
            <w:shd w:val="clear" w:color="000000" w:fill="FFFFFF"/>
            <w:noWrap/>
            <w:vAlign w:val="bottom"/>
            <w:hideMark/>
          </w:tcPr>
          <w:p w:rsidR="005A4966" w:rsidRPr="005A4966" w:rsidRDefault="005A4966" w:rsidP="005A4966">
            <w:pPr>
              <w:jc w:val="right"/>
              <w:rPr>
                <w:rFonts w:ascii="Arial" w:eastAsia="Times New Roman" w:hAnsi="Arial" w:cs="Arial"/>
                <w:color w:val="000000"/>
                <w:sz w:val="14"/>
                <w:szCs w:val="14"/>
                <w:lang w:val="es-MX" w:eastAsia="es-MX"/>
              </w:rPr>
            </w:pPr>
            <w:r w:rsidRPr="005A4966">
              <w:rPr>
                <w:rFonts w:ascii="Arial" w:eastAsia="Times New Roman" w:hAnsi="Arial" w:cs="Arial"/>
                <w:color w:val="000000"/>
                <w:sz w:val="14"/>
                <w:szCs w:val="14"/>
                <w:lang w:val="es-MX" w:eastAsia="es-MX"/>
              </w:rPr>
              <w:t>22</w:t>
            </w:r>
          </w:p>
        </w:tc>
        <w:tc>
          <w:tcPr>
            <w:tcW w:w="2116" w:type="dxa"/>
            <w:tcBorders>
              <w:top w:val="nil"/>
              <w:left w:val="nil"/>
              <w:bottom w:val="single" w:sz="8" w:space="0" w:color="auto"/>
              <w:right w:val="nil"/>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607.300.870,88 </w:t>
            </w:r>
          </w:p>
        </w:tc>
        <w:tc>
          <w:tcPr>
            <w:tcW w:w="2051" w:type="dxa"/>
            <w:tcBorders>
              <w:top w:val="nil"/>
              <w:left w:val="nil"/>
              <w:bottom w:val="single" w:sz="8" w:space="0" w:color="auto"/>
              <w:right w:val="nil"/>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252.710.904,28 </w:t>
            </w:r>
          </w:p>
        </w:tc>
        <w:tc>
          <w:tcPr>
            <w:tcW w:w="1955" w:type="dxa"/>
            <w:gridSpan w:val="2"/>
            <w:tcBorders>
              <w:top w:val="nil"/>
              <w:left w:val="nil"/>
              <w:bottom w:val="single" w:sz="8" w:space="0" w:color="auto"/>
              <w:right w:val="single" w:sz="8" w:space="0" w:color="auto"/>
            </w:tcBorders>
            <w:shd w:val="clear" w:color="000000" w:fill="FFFFFF"/>
            <w:noWrap/>
            <w:vAlign w:val="bottom"/>
            <w:hideMark/>
          </w:tcPr>
          <w:p w:rsidR="005A4966" w:rsidRPr="005A4966" w:rsidRDefault="005A4966" w:rsidP="005A4966">
            <w:pPr>
              <w:jc w:val="right"/>
              <w:rPr>
                <w:rFonts w:ascii="Arial" w:eastAsia="Times New Roman" w:hAnsi="Arial" w:cs="Arial"/>
                <w:b/>
                <w:bCs/>
                <w:color w:val="000000"/>
                <w:sz w:val="14"/>
                <w:szCs w:val="14"/>
                <w:lang w:val="es-MX" w:eastAsia="es-MX"/>
              </w:rPr>
            </w:pPr>
            <w:r w:rsidRPr="005A4966">
              <w:rPr>
                <w:rFonts w:ascii="Arial" w:eastAsia="Times New Roman" w:hAnsi="Arial" w:cs="Arial"/>
                <w:b/>
                <w:bCs/>
                <w:color w:val="000000"/>
                <w:sz w:val="14"/>
                <w:szCs w:val="14"/>
                <w:lang w:val="es-MX" w:eastAsia="es-MX"/>
              </w:rPr>
              <w:t xml:space="preserve">-                354.589.966,60 </w:t>
            </w:r>
          </w:p>
        </w:tc>
      </w:tr>
    </w:tbl>
    <w:p w:rsidR="00015A4E" w:rsidRDefault="00015A4E" w:rsidP="00015A4E">
      <w:pPr>
        <w:contextualSpacing/>
        <w:jc w:val="both"/>
        <w:rPr>
          <w:rFonts w:ascii="Trebuchet MS" w:eastAsia="Times New Roman" w:hAnsi="Trebuchet MS" w:cs="Arial"/>
          <w:b/>
          <w:sz w:val="22"/>
          <w:szCs w:val="22"/>
          <w:lang w:eastAsia="en-US"/>
        </w:rPr>
      </w:pPr>
    </w:p>
    <w:p w:rsidR="00015A4E" w:rsidRDefault="00015A4E" w:rsidP="00015A4E">
      <w:pPr>
        <w:contextualSpacing/>
        <w:jc w:val="both"/>
        <w:rPr>
          <w:rFonts w:ascii="Trebuchet MS" w:hAnsi="Trebuchet MS" w:cs="Arial"/>
          <w:b/>
        </w:rPr>
      </w:pPr>
    </w:p>
    <w:p w:rsidR="0031149B" w:rsidRDefault="0031149B" w:rsidP="00015A4E">
      <w:pPr>
        <w:contextualSpacing/>
        <w:jc w:val="both"/>
        <w:rPr>
          <w:rFonts w:ascii="Trebuchet MS" w:hAnsi="Trebuchet MS" w:cs="Arial"/>
          <w:b/>
        </w:rPr>
      </w:pPr>
    </w:p>
    <w:p w:rsidR="00BA19E5" w:rsidRDefault="00BA19E5" w:rsidP="00015A4E">
      <w:pPr>
        <w:contextualSpacing/>
        <w:jc w:val="both"/>
        <w:rPr>
          <w:rFonts w:ascii="Trebuchet MS" w:hAnsi="Trebuchet MS" w:cs="Arial"/>
          <w:b/>
        </w:rPr>
      </w:pPr>
    </w:p>
    <w:p w:rsidR="00BA19E5" w:rsidRDefault="00BA19E5" w:rsidP="00015A4E">
      <w:pPr>
        <w:contextualSpacing/>
        <w:jc w:val="both"/>
        <w:rPr>
          <w:rFonts w:ascii="Trebuchet MS" w:hAnsi="Trebuchet MS" w:cs="Arial"/>
          <w:b/>
        </w:rPr>
      </w:pPr>
    </w:p>
    <w:p w:rsidR="0031149B" w:rsidRPr="00015A4E" w:rsidRDefault="0031149B" w:rsidP="00015A4E">
      <w:pPr>
        <w:contextualSpacing/>
        <w:jc w:val="both"/>
        <w:rPr>
          <w:rFonts w:ascii="Trebuchet MS" w:hAnsi="Trebuchet MS" w:cs="Arial"/>
          <w:b/>
        </w:rPr>
      </w:pPr>
    </w:p>
    <w:p w:rsidR="00F1343B" w:rsidRPr="00637712" w:rsidRDefault="00F1343B" w:rsidP="005D360F">
      <w:pPr>
        <w:contextualSpacing/>
        <w:jc w:val="both"/>
        <w:rPr>
          <w:rFonts w:ascii="Trebuchet MS" w:hAnsi="Trebuchet MS" w:cs="Arial"/>
          <w:b/>
          <w:color w:val="FF0000"/>
        </w:rPr>
      </w:pPr>
    </w:p>
    <w:p w:rsidR="00353A87" w:rsidRPr="00D54C25" w:rsidRDefault="00353A87" w:rsidP="009B4919">
      <w:pPr>
        <w:pStyle w:val="Prrafodelista"/>
        <w:numPr>
          <w:ilvl w:val="1"/>
          <w:numId w:val="39"/>
        </w:numPr>
        <w:spacing w:after="0" w:line="240" w:lineRule="auto"/>
        <w:ind w:left="360" w:right="1372"/>
        <w:contextualSpacing/>
        <w:jc w:val="both"/>
        <w:outlineLvl w:val="1"/>
        <w:rPr>
          <w:rFonts w:ascii="Arial" w:eastAsia="SimSun" w:hAnsi="Arial" w:cs="Arial"/>
          <w:b/>
          <w:sz w:val="24"/>
          <w:szCs w:val="24"/>
          <w:lang w:eastAsia="es-ES"/>
        </w:rPr>
      </w:pPr>
      <w:bookmarkStart w:id="10" w:name="_Toc520729580"/>
      <w:r w:rsidRPr="00D54C25">
        <w:rPr>
          <w:rFonts w:ascii="Arial" w:eastAsia="SimSun" w:hAnsi="Arial" w:cs="Arial"/>
          <w:b/>
          <w:sz w:val="24"/>
          <w:szCs w:val="24"/>
          <w:lang w:eastAsia="es-ES"/>
        </w:rPr>
        <w:t>Estado de Resultados</w:t>
      </w:r>
      <w:bookmarkEnd w:id="10"/>
    </w:p>
    <w:p w:rsidR="00072ED7" w:rsidRPr="00637712" w:rsidRDefault="00072ED7" w:rsidP="00072ED7">
      <w:pPr>
        <w:pStyle w:val="Prrafodelista"/>
        <w:spacing w:after="0" w:line="240" w:lineRule="auto"/>
        <w:ind w:left="1080" w:right="1372"/>
        <w:contextualSpacing/>
        <w:jc w:val="both"/>
        <w:rPr>
          <w:rFonts w:ascii="Arial" w:eastAsia="SimSun" w:hAnsi="Arial" w:cs="Arial"/>
          <w:b/>
          <w:color w:val="FF0000"/>
          <w:lang w:eastAsia="es-ES"/>
        </w:rPr>
      </w:pPr>
    </w:p>
    <w:p w:rsidR="00353A87" w:rsidRPr="00B45E4F" w:rsidRDefault="00353A87" w:rsidP="00353A87">
      <w:pPr>
        <w:contextualSpacing/>
        <w:jc w:val="both"/>
        <w:rPr>
          <w:rFonts w:ascii="Arial" w:hAnsi="Arial" w:cs="Arial"/>
          <w:b/>
          <w:color w:val="FF0000"/>
          <w:sz w:val="24"/>
          <w:szCs w:val="24"/>
        </w:rPr>
      </w:pPr>
    </w:p>
    <w:p w:rsidR="00072ED7" w:rsidRPr="00B45E4F" w:rsidRDefault="00072ED7" w:rsidP="00FD4F24">
      <w:pPr>
        <w:ind w:left="567" w:right="567"/>
        <w:contextualSpacing/>
        <w:jc w:val="both"/>
        <w:rPr>
          <w:rFonts w:ascii="Arial" w:hAnsi="Arial" w:cs="Arial"/>
          <w:sz w:val="24"/>
          <w:szCs w:val="24"/>
        </w:rPr>
      </w:pPr>
      <w:r w:rsidRPr="00B45E4F">
        <w:rPr>
          <w:rFonts w:ascii="Arial" w:hAnsi="Arial" w:cs="Arial"/>
          <w:b/>
          <w:sz w:val="24"/>
          <w:szCs w:val="24"/>
        </w:rPr>
        <w:t>Ingresos operativos</w:t>
      </w:r>
      <w:r w:rsidR="00353A87" w:rsidRPr="00B45E4F">
        <w:rPr>
          <w:rFonts w:ascii="Arial" w:hAnsi="Arial" w:cs="Arial"/>
          <w:sz w:val="24"/>
          <w:szCs w:val="24"/>
        </w:rPr>
        <w:t xml:space="preserve">, corresponden a ingresos </w:t>
      </w:r>
      <w:r w:rsidR="00227E75" w:rsidRPr="00B45E4F">
        <w:rPr>
          <w:rFonts w:ascii="Arial" w:hAnsi="Arial" w:cs="Arial"/>
          <w:sz w:val="24"/>
          <w:szCs w:val="24"/>
        </w:rPr>
        <w:t>derivados de</w:t>
      </w:r>
      <w:r w:rsidRPr="00B45E4F">
        <w:rPr>
          <w:rFonts w:ascii="Arial" w:hAnsi="Arial" w:cs="Arial"/>
          <w:sz w:val="24"/>
          <w:szCs w:val="24"/>
        </w:rPr>
        <w:t xml:space="preserve"> transferencias por concepto de donaciones y convenios.</w:t>
      </w:r>
      <w:r w:rsidR="00C61B92" w:rsidRPr="00B45E4F">
        <w:rPr>
          <w:rFonts w:ascii="Arial" w:hAnsi="Arial" w:cs="Arial"/>
          <w:sz w:val="24"/>
          <w:szCs w:val="24"/>
        </w:rPr>
        <w:t xml:space="preserve"> Entre los cuales encontramos:</w:t>
      </w:r>
    </w:p>
    <w:p w:rsidR="00A86876" w:rsidRPr="00B45E4F" w:rsidRDefault="00A86876" w:rsidP="00FD4F24">
      <w:pPr>
        <w:ind w:left="567" w:right="567"/>
        <w:contextualSpacing/>
        <w:jc w:val="both"/>
        <w:rPr>
          <w:rFonts w:ascii="Arial" w:hAnsi="Arial" w:cs="Arial"/>
          <w:sz w:val="24"/>
          <w:szCs w:val="24"/>
        </w:rPr>
      </w:pPr>
    </w:p>
    <w:p w:rsidR="00A86876" w:rsidRPr="00B45E4F" w:rsidRDefault="00A86876" w:rsidP="00A86876">
      <w:pPr>
        <w:pStyle w:val="Prrafodelista"/>
        <w:numPr>
          <w:ilvl w:val="0"/>
          <w:numId w:val="23"/>
        </w:numPr>
        <w:ind w:left="1548" w:right="567" w:hanging="357"/>
        <w:contextualSpacing/>
        <w:jc w:val="both"/>
        <w:rPr>
          <w:rFonts w:ascii="Arial" w:hAnsi="Arial" w:cs="Arial"/>
          <w:sz w:val="24"/>
          <w:szCs w:val="24"/>
        </w:rPr>
      </w:pPr>
      <w:r w:rsidRPr="00B45E4F">
        <w:rPr>
          <w:rFonts w:ascii="Arial" w:hAnsi="Arial" w:cs="Arial"/>
          <w:b/>
          <w:sz w:val="24"/>
          <w:szCs w:val="24"/>
        </w:rPr>
        <w:t xml:space="preserve">Productos por intereses corrientes y moratorios, </w:t>
      </w:r>
      <w:r w:rsidRPr="00B45E4F">
        <w:rPr>
          <w:rFonts w:ascii="Arial" w:hAnsi="Arial" w:cs="Arial"/>
          <w:sz w:val="24"/>
          <w:szCs w:val="24"/>
        </w:rPr>
        <w:t>son los ingresos obtenidos por los intereses ganados sobre préstamos que corresponden a la causación mensual que genera cada uno de los préstamos de la cartera de crédito concedidos a</w:t>
      </w:r>
      <w:r w:rsidR="003D3415" w:rsidRPr="00B45E4F">
        <w:rPr>
          <w:rFonts w:ascii="Arial" w:hAnsi="Arial" w:cs="Arial"/>
          <w:sz w:val="24"/>
          <w:szCs w:val="24"/>
        </w:rPr>
        <w:t xml:space="preserve"> pequeño y medianos productores, por un total de </w:t>
      </w:r>
      <w:r w:rsidR="00227E75" w:rsidRPr="00B45E4F">
        <w:rPr>
          <w:rFonts w:ascii="Arial" w:hAnsi="Arial" w:cs="Arial"/>
          <w:b/>
          <w:sz w:val="24"/>
          <w:szCs w:val="24"/>
        </w:rPr>
        <w:t>¢</w:t>
      </w:r>
      <w:r w:rsidR="00AF6A39">
        <w:rPr>
          <w:rFonts w:ascii="Arial" w:hAnsi="Arial" w:cs="Arial"/>
          <w:b/>
          <w:sz w:val="24"/>
          <w:szCs w:val="24"/>
        </w:rPr>
        <w:t>156.628,51</w:t>
      </w:r>
      <w:r w:rsidR="00044961" w:rsidRPr="00B45E4F">
        <w:rPr>
          <w:rFonts w:ascii="Arial" w:hAnsi="Arial" w:cs="Arial"/>
          <w:b/>
          <w:sz w:val="24"/>
          <w:szCs w:val="24"/>
        </w:rPr>
        <w:t xml:space="preserve"> </w:t>
      </w:r>
      <w:r w:rsidR="00044961" w:rsidRPr="00B45E4F">
        <w:rPr>
          <w:rFonts w:ascii="Arial" w:hAnsi="Arial" w:cs="Arial"/>
          <w:sz w:val="24"/>
          <w:szCs w:val="24"/>
        </w:rPr>
        <w:t>mil.</w:t>
      </w:r>
      <w:r w:rsidRPr="00B45E4F">
        <w:rPr>
          <w:rFonts w:ascii="Arial" w:hAnsi="Arial" w:cs="Arial"/>
          <w:sz w:val="24"/>
          <w:szCs w:val="24"/>
        </w:rPr>
        <w:t xml:space="preserve"> </w:t>
      </w:r>
    </w:p>
    <w:p w:rsidR="00B45E4F" w:rsidRDefault="00B45E4F" w:rsidP="00B45E4F">
      <w:pPr>
        <w:pStyle w:val="Prrafodelista"/>
        <w:ind w:left="1548" w:right="567"/>
        <w:contextualSpacing/>
        <w:jc w:val="both"/>
        <w:rPr>
          <w:rFonts w:ascii="Arial" w:hAnsi="Arial" w:cs="Arial"/>
        </w:rPr>
      </w:pPr>
    </w:p>
    <w:p w:rsidR="00B45E4F" w:rsidRPr="00B45E4F" w:rsidRDefault="00B45E4F" w:rsidP="00B45E4F">
      <w:pPr>
        <w:pStyle w:val="Prrafodelista"/>
        <w:numPr>
          <w:ilvl w:val="0"/>
          <w:numId w:val="23"/>
        </w:numPr>
        <w:ind w:left="1548" w:right="567" w:hanging="357"/>
        <w:contextualSpacing/>
        <w:jc w:val="both"/>
        <w:rPr>
          <w:rFonts w:ascii="Arial" w:hAnsi="Arial" w:cs="Arial"/>
          <w:sz w:val="24"/>
          <w:szCs w:val="24"/>
        </w:rPr>
      </w:pPr>
      <w:r w:rsidRPr="00B45E4F">
        <w:rPr>
          <w:rFonts w:ascii="Arial" w:hAnsi="Arial" w:cs="Arial"/>
          <w:b/>
          <w:sz w:val="24"/>
          <w:szCs w:val="24"/>
        </w:rPr>
        <w:t>Disminución estimaciones por incobrables y bienes realizables</w:t>
      </w:r>
    </w:p>
    <w:p w:rsidR="00B45E4F" w:rsidRPr="00B45E4F" w:rsidRDefault="006B723F" w:rsidP="00B45E4F">
      <w:pPr>
        <w:pStyle w:val="Prrafodelista"/>
        <w:ind w:left="1548" w:right="567"/>
        <w:contextualSpacing/>
        <w:jc w:val="both"/>
        <w:rPr>
          <w:rFonts w:ascii="Arial" w:hAnsi="Arial" w:cs="Arial"/>
          <w:sz w:val="24"/>
          <w:szCs w:val="24"/>
        </w:rPr>
      </w:pPr>
      <w:r>
        <w:rPr>
          <w:rFonts w:ascii="Arial" w:hAnsi="Arial" w:cs="Arial"/>
          <w:sz w:val="24"/>
          <w:szCs w:val="24"/>
        </w:rPr>
        <w:t xml:space="preserve">Al cierre del año 2018 se dio una estimación total por incobrables de </w:t>
      </w:r>
      <w:r w:rsidR="00B45E4F" w:rsidRPr="00E5392F">
        <w:rPr>
          <w:rFonts w:ascii="Arial" w:hAnsi="Arial" w:cs="Arial"/>
          <w:b/>
          <w:sz w:val="24"/>
          <w:szCs w:val="24"/>
        </w:rPr>
        <w:t>¢</w:t>
      </w:r>
      <w:r>
        <w:rPr>
          <w:rFonts w:ascii="Arial" w:hAnsi="Arial" w:cs="Arial"/>
          <w:b/>
          <w:sz w:val="24"/>
          <w:szCs w:val="24"/>
        </w:rPr>
        <w:t>136.577,20</w:t>
      </w:r>
      <w:r w:rsidR="00E5392F">
        <w:rPr>
          <w:rFonts w:ascii="Arial" w:hAnsi="Arial" w:cs="Arial"/>
          <w:sz w:val="24"/>
          <w:szCs w:val="24"/>
        </w:rPr>
        <w:t xml:space="preserve"> mil</w:t>
      </w:r>
      <w:r w:rsidR="00B45E4F">
        <w:rPr>
          <w:rFonts w:ascii="Arial" w:hAnsi="Arial" w:cs="Arial"/>
          <w:sz w:val="24"/>
          <w:szCs w:val="24"/>
        </w:rPr>
        <w:t>, c</w:t>
      </w:r>
      <w:r w:rsidR="00B45E4F" w:rsidRPr="00B45E4F">
        <w:rPr>
          <w:rFonts w:ascii="Arial" w:hAnsi="Arial" w:cs="Arial"/>
          <w:sz w:val="24"/>
          <w:szCs w:val="24"/>
        </w:rPr>
        <w:t>orresponde a la recuperación de créditos en cobro dudoso de cuentas por cobrar y Bienes Realizables, por lo que en algún momento le fue aplicada su respectiva estimación por incobrabilidad según política de estimación aprobada por el Fideicomiso.</w:t>
      </w:r>
    </w:p>
    <w:p w:rsidR="00B45E4F" w:rsidRPr="009731FC" w:rsidRDefault="00B45E4F" w:rsidP="00B45E4F">
      <w:pPr>
        <w:pStyle w:val="Prrafodelista"/>
        <w:ind w:left="1548" w:right="567"/>
        <w:contextualSpacing/>
        <w:jc w:val="both"/>
        <w:rPr>
          <w:rFonts w:ascii="Arial" w:hAnsi="Arial" w:cs="Arial"/>
          <w:sz w:val="24"/>
          <w:szCs w:val="24"/>
        </w:rPr>
      </w:pPr>
    </w:p>
    <w:p w:rsidR="00A12C95" w:rsidRPr="009731FC" w:rsidRDefault="00A86876" w:rsidP="00B84EFC">
      <w:pPr>
        <w:pStyle w:val="Prrafodelista"/>
        <w:numPr>
          <w:ilvl w:val="0"/>
          <w:numId w:val="23"/>
        </w:numPr>
        <w:ind w:left="1548" w:right="567" w:hanging="357"/>
        <w:contextualSpacing/>
        <w:jc w:val="both"/>
        <w:rPr>
          <w:rFonts w:ascii="Arial" w:hAnsi="Arial" w:cs="Arial"/>
          <w:sz w:val="24"/>
          <w:szCs w:val="24"/>
        </w:rPr>
      </w:pPr>
      <w:r w:rsidRPr="009731FC">
        <w:rPr>
          <w:rFonts w:ascii="Arial" w:hAnsi="Arial" w:cs="Arial"/>
          <w:sz w:val="24"/>
          <w:szCs w:val="24"/>
        </w:rPr>
        <w:t xml:space="preserve"> </w:t>
      </w:r>
      <w:r w:rsidRPr="009731FC">
        <w:rPr>
          <w:rFonts w:ascii="Arial" w:hAnsi="Arial" w:cs="Arial"/>
          <w:b/>
          <w:sz w:val="24"/>
          <w:szCs w:val="24"/>
        </w:rPr>
        <w:t>Ingresos por afectaciones–PSA</w:t>
      </w:r>
      <w:r w:rsidRPr="009731FC">
        <w:rPr>
          <w:rFonts w:ascii="Arial" w:hAnsi="Arial" w:cs="Arial"/>
          <w:sz w:val="24"/>
          <w:szCs w:val="24"/>
        </w:rPr>
        <w:t>,</w:t>
      </w:r>
      <w:r w:rsidR="008C6CB0" w:rsidRPr="009731FC">
        <w:rPr>
          <w:rFonts w:ascii="Arial" w:hAnsi="Arial" w:cs="Arial"/>
          <w:sz w:val="24"/>
          <w:szCs w:val="24"/>
        </w:rPr>
        <w:t xml:space="preserve"> </w:t>
      </w:r>
    </w:p>
    <w:p w:rsidR="00A12C95" w:rsidRDefault="00A0625F" w:rsidP="00A12C95">
      <w:pPr>
        <w:pStyle w:val="Prrafodelista"/>
        <w:tabs>
          <w:tab w:val="left" w:pos="6663"/>
        </w:tabs>
        <w:ind w:left="1548" w:right="567"/>
        <w:contextualSpacing/>
        <w:jc w:val="both"/>
        <w:rPr>
          <w:rFonts w:ascii="Arial" w:hAnsi="Arial" w:cs="Arial"/>
          <w:sz w:val="24"/>
          <w:szCs w:val="24"/>
        </w:rPr>
      </w:pPr>
      <w:r>
        <w:rPr>
          <w:noProof/>
          <w:lang w:val="es-MX" w:eastAsia="es-MX"/>
        </w:rPr>
        <w:drawing>
          <wp:anchor distT="0" distB="0" distL="114300" distR="114300" simplePos="0" relativeHeight="251657216" behindDoc="0" locked="0" layoutInCell="1" allowOverlap="1" wp14:anchorId="5BC74E23" wp14:editId="080D8842">
            <wp:simplePos x="0" y="0"/>
            <wp:positionH relativeFrom="column">
              <wp:posOffset>1068705</wp:posOffset>
            </wp:positionH>
            <wp:positionV relativeFrom="paragraph">
              <wp:posOffset>1323340</wp:posOffset>
            </wp:positionV>
            <wp:extent cx="4897755" cy="207518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97755" cy="2075180"/>
                    </a:xfrm>
                    <a:prstGeom prst="rect">
                      <a:avLst/>
                    </a:prstGeom>
                  </pic:spPr>
                </pic:pic>
              </a:graphicData>
            </a:graphic>
            <wp14:sizeRelH relativeFrom="page">
              <wp14:pctWidth>0</wp14:pctWidth>
            </wp14:sizeRelH>
            <wp14:sizeRelV relativeFrom="page">
              <wp14:pctHeight>0</wp14:pctHeight>
            </wp14:sizeRelV>
          </wp:anchor>
        </w:drawing>
      </w:r>
      <w:r w:rsidR="00A12C95" w:rsidRPr="009731FC">
        <w:rPr>
          <w:rFonts w:ascii="Arial" w:hAnsi="Arial" w:cs="Arial"/>
          <w:sz w:val="24"/>
          <w:szCs w:val="24"/>
        </w:rPr>
        <w:t xml:space="preserve">Las afectaciones son una retención del 0.6% que se </w:t>
      </w:r>
      <w:r w:rsidR="007A7697" w:rsidRPr="009731FC">
        <w:rPr>
          <w:rFonts w:ascii="Arial" w:hAnsi="Arial" w:cs="Arial"/>
          <w:sz w:val="24"/>
          <w:szCs w:val="24"/>
        </w:rPr>
        <w:t>les</w:t>
      </w:r>
      <w:r w:rsidR="00A12C95" w:rsidRPr="009731FC">
        <w:rPr>
          <w:rFonts w:ascii="Arial" w:hAnsi="Arial" w:cs="Arial"/>
          <w:sz w:val="24"/>
          <w:szCs w:val="24"/>
        </w:rPr>
        <w:t xml:space="preserve"> realiza a</w:t>
      </w:r>
      <w:r w:rsidR="008C6CB0" w:rsidRPr="009731FC">
        <w:rPr>
          <w:rFonts w:ascii="Arial" w:hAnsi="Arial" w:cs="Arial"/>
          <w:sz w:val="24"/>
          <w:szCs w:val="24"/>
        </w:rPr>
        <w:t xml:space="preserve"> los contratos que tiene FONAFIFO con los beneficiarios </w:t>
      </w:r>
      <w:r w:rsidR="00A12C95" w:rsidRPr="009731FC">
        <w:rPr>
          <w:rFonts w:ascii="Arial" w:hAnsi="Arial" w:cs="Arial"/>
          <w:sz w:val="24"/>
          <w:szCs w:val="24"/>
        </w:rPr>
        <w:t xml:space="preserve">por </w:t>
      </w:r>
      <w:r w:rsidR="008C6CB0" w:rsidRPr="009731FC">
        <w:rPr>
          <w:rFonts w:ascii="Arial" w:hAnsi="Arial" w:cs="Arial"/>
          <w:sz w:val="24"/>
          <w:szCs w:val="24"/>
        </w:rPr>
        <w:t xml:space="preserve">pago </w:t>
      </w:r>
      <w:r w:rsidR="00A12C95" w:rsidRPr="009731FC">
        <w:rPr>
          <w:rFonts w:ascii="Arial" w:hAnsi="Arial" w:cs="Arial"/>
          <w:sz w:val="24"/>
          <w:szCs w:val="24"/>
        </w:rPr>
        <w:t>de</w:t>
      </w:r>
      <w:r w:rsidR="008C6CB0" w:rsidRPr="009731FC">
        <w:rPr>
          <w:rFonts w:ascii="Arial" w:hAnsi="Arial" w:cs="Arial"/>
          <w:sz w:val="24"/>
          <w:szCs w:val="24"/>
        </w:rPr>
        <w:t xml:space="preserve"> servicios ambientales</w:t>
      </w:r>
      <w:r w:rsidR="00A12C95" w:rsidRPr="009731FC">
        <w:rPr>
          <w:rFonts w:ascii="Arial" w:hAnsi="Arial" w:cs="Arial"/>
          <w:sz w:val="24"/>
          <w:szCs w:val="24"/>
        </w:rPr>
        <w:t xml:space="preserve">, con la finalidad de afectar la propiedad ante el Registro Nacional, producto de dicha retención se han generado ingresos por un monto de </w:t>
      </w:r>
      <w:r w:rsidR="00A12C95" w:rsidRPr="00E5392F">
        <w:rPr>
          <w:rFonts w:ascii="Arial" w:hAnsi="Arial" w:cs="Arial"/>
          <w:b/>
          <w:sz w:val="24"/>
          <w:szCs w:val="24"/>
        </w:rPr>
        <w:t>¢</w:t>
      </w:r>
      <w:r w:rsidR="00FF7065">
        <w:rPr>
          <w:rFonts w:ascii="Arial" w:hAnsi="Arial" w:cs="Arial"/>
          <w:b/>
          <w:sz w:val="24"/>
          <w:szCs w:val="24"/>
        </w:rPr>
        <w:t>37.025,34</w:t>
      </w:r>
      <w:r w:rsidR="00BA19E5">
        <w:rPr>
          <w:rFonts w:ascii="Arial" w:hAnsi="Arial" w:cs="Arial"/>
          <w:sz w:val="24"/>
          <w:szCs w:val="24"/>
        </w:rPr>
        <w:t xml:space="preserve"> mil</w:t>
      </w:r>
      <w:r>
        <w:rPr>
          <w:rFonts w:ascii="Arial" w:hAnsi="Arial" w:cs="Arial"/>
          <w:sz w:val="24"/>
          <w:szCs w:val="24"/>
        </w:rPr>
        <w:t>, como se muestra en el siguiente detalle:</w:t>
      </w:r>
    </w:p>
    <w:p w:rsidR="00A0625F" w:rsidRDefault="00A0625F" w:rsidP="00A12C95">
      <w:pPr>
        <w:pStyle w:val="Prrafodelista"/>
        <w:tabs>
          <w:tab w:val="left" w:pos="6663"/>
        </w:tabs>
        <w:ind w:left="1548" w:right="567"/>
        <w:contextualSpacing/>
        <w:jc w:val="both"/>
        <w:rPr>
          <w:rFonts w:ascii="Arial" w:hAnsi="Arial" w:cs="Arial"/>
          <w:sz w:val="24"/>
          <w:szCs w:val="24"/>
        </w:rPr>
      </w:pPr>
    </w:p>
    <w:p w:rsidR="00A0625F" w:rsidRPr="009731FC" w:rsidRDefault="00A0625F" w:rsidP="00A12C95">
      <w:pPr>
        <w:pStyle w:val="Prrafodelista"/>
        <w:tabs>
          <w:tab w:val="left" w:pos="6663"/>
        </w:tabs>
        <w:ind w:left="1548" w:right="567"/>
        <w:contextualSpacing/>
        <w:jc w:val="both"/>
        <w:rPr>
          <w:rFonts w:ascii="Arial" w:hAnsi="Arial" w:cs="Arial"/>
          <w:sz w:val="24"/>
          <w:szCs w:val="24"/>
        </w:rPr>
      </w:pPr>
    </w:p>
    <w:p w:rsidR="00A12C95" w:rsidRPr="00EF6567" w:rsidRDefault="00A12C95" w:rsidP="00A12C95">
      <w:pPr>
        <w:pStyle w:val="Prrafodelista"/>
        <w:tabs>
          <w:tab w:val="left" w:pos="6663"/>
        </w:tabs>
        <w:ind w:left="1548" w:right="567"/>
        <w:contextualSpacing/>
        <w:jc w:val="both"/>
        <w:rPr>
          <w:rFonts w:ascii="Arial" w:hAnsi="Arial" w:cs="Arial"/>
          <w:sz w:val="24"/>
          <w:szCs w:val="24"/>
        </w:rPr>
      </w:pPr>
    </w:p>
    <w:p w:rsidR="00353A87" w:rsidRPr="00EF6567" w:rsidRDefault="00EF6567" w:rsidP="00FD4F24">
      <w:pPr>
        <w:pStyle w:val="Prrafodelista"/>
        <w:ind w:left="567" w:right="567"/>
        <w:contextualSpacing/>
        <w:jc w:val="both"/>
        <w:rPr>
          <w:rFonts w:ascii="Arial" w:hAnsi="Arial" w:cs="Arial"/>
          <w:b/>
          <w:sz w:val="24"/>
          <w:szCs w:val="24"/>
        </w:rPr>
      </w:pPr>
      <w:r w:rsidRPr="00EF6567">
        <w:rPr>
          <w:rFonts w:ascii="Arial" w:hAnsi="Arial" w:cs="Arial"/>
          <w:b/>
          <w:sz w:val="24"/>
          <w:szCs w:val="24"/>
        </w:rPr>
        <w:t>Gastos Operativos</w:t>
      </w:r>
    </w:p>
    <w:p w:rsidR="00EF6567" w:rsidRPr="00EF6567" w:rsidRDefault="00EF6567" w:rsidP="00FD4F24">
      <w:pPr>
        <w:pStyle w:val="Prrafodelista"/>
        <w:ind w:left="567" w:right="567"/>
        <w:contextualSpacing/>
        <w:jc w:val="both"/>
        <w:rPr>
          <w:rFonts w:ascii="Arial" w:hAnsi="Arial" w:cs="Arial"/>
          <w:b/>
          <w:sz w:val="24"/>
          <w:szCs w:val="24"/>
        </w:rPr>
      </w:pPr>
      <w:r w:rsidRPr="00EF6567">
        <w:rPr>
          <w:rFonts w:ascii="Arial" w:hAnsi="Arial" w:cs="Arial"/>
          <w:b/>
          <w:sz w:val="24"/>
          <w:szCs w:val="24"/>
        </w:rPr>
        <w:t xml:space="preserve">Gastos por Estimación de </w:t>
      </w:r>
      <w:r w:rsidR="00FD69BD">
        <w:rPr>
          <w:rFonts w:ascii="Arial" w:hAnsi="Arial" w:cs="Arial"/>
          <w:b/>
          <w:sz w:val="24"/>
          <w:szCs w:val="24"/>
        </w:rPr>
        <w:t>d</w:t>
      </w:r>
      <w:r w:rsidRPr="00EF6567">
        <w:rPr>
          <w:rFonts w:ascii="Arial" w:hAnsi="Arial" w:cs="Arial"/>
          <w:b/>
          <w:sz w:val="24"/>
          <w:szCs w:val="24"/>
        </w:rPr>
        <w:t xml:space="preserve">eterioro </w:t>
      </w:r>
      <w:r w:rsidR="00B5737F">
        <w:rPr>
          <w:rFonts w:ascii="Arial" w:hAnsi="Arial" w:cs="Arial"/>
          <w:b/>
          <w:sz w:val="24"/>
          <w:szCs w:val="24"/>
        </w:rPr>
        <w:t>d</w:t>
      </w:r>
      <w:r w:rsidRPr="00EF6567">
        <w:rPr>
          <w:rFonts w:ascii="Arial" w:hAnsi="Arial" w:cs="Arial"/>
          <w:b/>
          <w:sz w:val="24"/>
          <w:szCs w:val="24"/>
        </w:rPr>
        <w:t xml:space="preserve">e </w:t>
      </w:r>
      <w:r w:rsidR="00FD69BD">
        <w:rPr>
          <w:rFonts w:ascii="Arial" w:hAnsi="Arial" w:cs="Arial"/>
          <w:b/>
          <w:sz w:val="24"/>
          <w:szCs w:val="24"/>
        </w:rPr>
        <w:t>c</w:t>
      </w:r>
      <w:r w:rsidRPr="00EF6567">
        <w:rPr>
          <w:rFonts w:ascii="Arial" w:hAnsi="Arial" w:cs="Arial"/>
          <w:b/>
          <w:sz w:val="24"/>
          <w:szCs w:val="24"/>
        </w:rPr>
        <w:t xml:space="preserve">artera de </w:t>
      </w:r>
      <w:r w:rsidR="00FD69BD">
        <w:rPr>
          <w:rFonts w:ascii="Arial" w:hAnsi="Arial" w:cs="Arial"/>
          <w:b/>
          <w:sz w:val="24"/>
          <w:szCs w:val="24"/>
        </w:rPr>
        <w:t>c</w:t>
      </w:r>
      <w:r w:rsidRPr="00EF6567">
        <w:rPr>
          <w:rFonts w:ascii="Arial" w:hAnsi="Arial" w:cs="Arial"/>
          <w:b/>
          <w:sz w:val="24"/>
          <w:szCs w:val="24"/>
        </w:rPr>
        <w:t>rédito, comisiones y cuentas por Cobrar</w:t>
      </w:r>
    </w:p>
    <w:p w:rsidR="00EF6567" w:rsidRDefault="00EF6567" w:rsidP="00FD4F24">
      <w:pPr>
        <w:pStyle w:val="Prrafodelista"/>
        <w:ind w:left="567" w:right="567"/>
        <w:contextualSpacing/>
        <w:jc w:val="both"/>
        <w:rPr>
          <w:rFonts w:ascii="Arial" w:hAnsi="Arial" w:cs="Arial"/>
          <w:sz w:val="24"/>
          <w:szCs w:val="24"/>
        </w:rPr>
      </w:pPr>
      <w:r w:rsidRPr="00EF6567">
        <w:rPr>
          <w:rFonts w:ascii="Arial" w:hAnsi="Arial" w:cs="Arial"/>
          <w:sz w:val="24"/>
          <w:szCs w:val="24"/>
        </w:rPr>
        <w:t>Contempla el registro del gasto de la estimación del deterioro de la cartera de crédito, comisiones y cuentas por cobrar de la cartera de crédito que mantiene el fideicomiso según las políticas de estimación establecidas por el Fideicomiso</w:t>
      </w:r>
      <w:r w:rsidR="00B5737F">
        <w:rPr>
          <w:rFonts w:ascii="Arial" w:hAnsi="Arial" w:cs="Arial"/>
          <w:sz w:val="24"/>
          <w:szCs w:val="24"/>
        </w:rPr>
        <w:t xml:space="preserve">, al </w:t>
      </w:r>
      <w:r w:rsidR="00FD69BD">
        <w:rPr>
          <w:rFonts w:ascii="Arial" w:hAnsi="Arial" w:cs="Arial"/>
          <w:sz w:val="24"/>
          <w:szCs w:val="24"/>
        </w:rPr>
        <w:t xml:space="preserve">cierre del año 2018 fue por un total de </w:t>
      </w:r>
      <w:r w:rsidR="00B5737F" w:rsidRPr="00B5737F">
        <w:rPr>
          <w:rFonts w:ascii="Arial" w:hAnsi="Arial" w:cs="Arial"/>
          <w:b/>
          <w:sz w:val="24"/>
          <w:szCs w:val="24"/>
        </w:rPr>
        <w:t>¢</w:t>
      </w:r>
      <w:r w:rsidR="00FD69BD">
        <w:rPr>
          <w:rFonts w:ascii="Arial" w:hAnsi="Arial" w:cs="Arial"/>
          <w:b/>
          <w:sz w:val="24"/>
          <w:szCs w:val="24"/>
        </w:rPr>
        <w:t>87.149,49</w:t>
      </w:r>
      <w:r w:rsidR="00B5737F">
        <w:rPr>
          <w:rFonts w:ascii="Arial" w:hAnsi="Arial" w:cs="Arial"/>
          <w:sz w:val="24"/>
          <w:szCs w:val="24"/>
        </w:rPr>
        <w:t xml:space="preserve"> mil</w:t>
      </w:r>
      <w:r w:rsidRPr="00EF6567">
        <w:rPr>
          <w:rFonts w:ascii="Arial" w:hAnsi="Arial" w:cs="Arial"/>
          <w:sz w:val="24"/>
          <w:szCs w:val="24"/>
        </w:rPr>
        <w:t>.</w:t>
      </w:r>
    </w:p>
    <w:p w:rsidR="00B5737F" w:rsidRDefault="00B5737F" w:rsidP="00FD4F24">
      <w:pPr>
        <w:pStyle w:val="Prrafodelista"/>
        <w:ind w:left="567" w:right="567"/>
        <w:contextualSpacing/>
        <w:jc w:val="both"/>
        <w:rPr>
          <w:rFonts w:ascii="Arial" w:hAnsi="Arial" w:cs="Arial"/>
          <w:sz w:val="24"/>
          <w:szCs w:val="24"/>
        </w:rPr>
      </w:pPr>
    </w:p>
    <w:p w:rsidR="00AA0341" w:rsidRPr="00AA0341" w:rsidRDefault="00AA0341" w:rsidP="00FD4F24">
      <w:pPr>
        <w:pStyle w:val="Prrafodelista"/>
        <w:ind w:left="567" w:right="567"/>
        <w:contextualSpacing/>
        <w:jc w:val="both"/>
        <w:rPr>
          <w:rFonts w:ascii="Arial" w:hAnsi="Arial" w:cs="Arial"/>
          <w:b/>
          <w:sz w:val="24"/>
          <w:szCs w:val="24"/>
        </w:rPr>
      </w:pPr>
      <w:r w:rsidRPr="00AA0341">
        <w:rPr>
          <w:rFonts w:ascii="Arial" w:hAnsi="Arial" w:cs="Arial"/>
          <w:b/>
          <w:sz w:val="24"/>
          <w:szCs w:val="24"/>
        </w:rPr>
        <w:t>Gastos por Bienes Realizables</w:t>
      </w:r>
    </w:p>
    <w:p w:rsidR="00ED5CD5" w:rsidRDefault="00AA0341" w:rsidP="00FD4F24">
      <w:pPr>
        <w:pStyle w:val="Prrafodelista"/>
        <w:ind w:left="567" w:right="567"/>
        <w:contextualSpacing/>
        <w:jc w:val="both"/>
        <w:rPr>
          <w:rFonts w:ascii="Arial" w:hAnsi="Arial" w:cs="Arial"/>
          <w:sz w:val="24"/>
          <w:szCs w:val="24"/>
        </w:rPr>
      </w:pPr>
      <w:r w:rsidRPr="00AA0341">
        <w:rPr>
          <w:rFonts w:ascii="Arial" w:hAnsi="Arial" w:cs="Arial"/>
          <w:sz w:val="24"/>
          <w:szCs w:val="24"/>
        </w:rPr>
        <w:t>En esta cuenta se registran los gastos incurridos en el período relacionadas con el deterioro de los bienes realizables, así como los gastos por su mantenimiento e impuestos municipales; reparaciones y las pérdidas por desvalorización de dichos bienes en el período</w:t>
      </w:r>
      <w:r>
        <w:rPr>
          <w:rFonts w:ascii="Arial" w:hAnsi="Arial" w:cs="Arial"/>
          <w:sz w:val="24"/>
          <w:szCs w:val="24"/>
        </w:rPr>
        <w:t xml:space="preserve">, </w:t>
      </w:r>
      <w:r w:rsidR="00650550">
        <w:rPr>
          <w:rFonts w:ascii="Arial" w:hAnsi="Arial" w:cs="Arial"/>
          <w:sz w:val="24"/>
          <w:szCs w:val="24"/>
        </w:rPr>
        <w:t>al cierre</w:t>
      </w:r>
      <w:r w:rsidR="006464B0">
        <w:rPr>
          <w:rFonts w:ascii="Arial" w:hAnsi="Arial" w:cs="Arial"/>
          <w:sz w:val="24"/>
          <w:szCs w:val="24"/>
        </w:rPr>
        <w:t xml:space="preserve"> del año 2018 fue por un monto total de </w:t>
      </w:r>
      <w:r w:rsidRPr="00B5737F">
        <w:rPr>
          <w:rFonts w:ascii="Arial" w:hAnsi="Arial" w:cs="Arial"/>
          <w:b/>
          <w:sz w:val="24"/>
          <w:szCs w:val="24"/>
        </w:rPr>
        <w:t>¢</w:t>
      </w:r>
      <w:r w:rsidR="006464B0">
        <w:rPr>
          <w:rFonts w:ascii="Arial" w:hAnsi="Arial" w:cs="Arial"/>
          <w:b/>
          <w:sz w:val="24"/>
          <w:szCs w:val="24"/>
        </w:rPr>
        <w:t>65.036,08</w:t>
      </w:r>
      <w:r>
        <w:rPr>
          <w:rFonts w:ascii="Arial" w:hAnsi="Arial" w:cs="Arial"/>
          <w:b/>
          <w:sz w:val="24"/>
          <w:szCs w:val="24"/>
        </w:rPr>
        <w:t xml:space="preserve"> </w:t>
      </w:r>
      <w:r w:rsidRPr="00AA0341">
        <w:rPr>
          <w:rFonts w:ascii="Arial" w:hAnsi="Arial" w:cs="Arial"/>
          <w:sz w:val="24"/>
          <w:szCs w:val="24"/>
        </w:rPr>
        <w:t>mil.</w:t>
      </w:r>
    </w:p>
    <w:p w:rsidR="00353A87" w:rsidRPr="00096615" w:rsidRDefault="00532B92" w:rsidP="00FD4F24">
      <w:pPr>
        <w:ind w:left="567" w:right="567"/>
        <w:contextualSpacing/>
        <w:jc w:val="both"/>
        <w:rPr>
          <w:rFonts w:ascii="Arial" w:hAnsi="Arial" w:cs="Arial"/>
          <w:sz w:val="24"/>
          <w:szCs w:val="24"/>
        </w:rPr>
      </w:pPr>
      <w:r w:rsidRPr="00096615">
        <w:rPr>
          <w:rFonts w:ascii="Arial" w:hAnsi="Arial" w:cs="Arial"/>
          <w:b/>
          <w:sz w:val="24"/>
          <w:szCs w:val="24"/>
        </w:rPr>
        <w:t xml:space="preserve">Gastos Financieros, </w:t>
      </w:r>
      <w:r w:rsidRPr="00096615">
        <w:rPr>
          <w:rFonts w:ascii="Arial" w:hAnsi="Arial" w:cs="Arial"/>
          <w:sz w:val="24"/>
          <w:szCs w:val="24"/>
        </w:rPr>
        <w:t xml:space="preserve">corresponden a los gastos en que incurra la institución y en que el fideicomiso será el responsable de realizar el gasto o desembolso. </w:t>
      </w:r>
      <w:r w:rsidR="003D3415" w:rsidRPr="00096615">
        <w:rPr>
          <w:rFonts w:ascii="Arial" w:hAnsi="Arial" w:cs="Arial"/>
          <w:sz w:val="24"/>
          <w:szCs w:val="24"/>
        </w:rPr>
        <w:t>Entre los cuales encontramos:</w:t>
      </w:r>
    </w:p>
    <w:p w:rsidR="00A6130F" w:rsidRPr="0083405A" w:rsidRDefault="00A6130F" w:rsidP="003D3415">
      <w:pPr>
        <w:ind w:right="567"/>
        <w:contextualSpacing/>
        <w:jc w:val="both"/>
        <w:rPr>
          <w:rFonts w:ascii="Arial" w:hAnsi="Arial" w:cs="Arial"/>
          <w:sz w:val="22"/>
          <w:szCs w:val="22"/>
        </w:rPr>
      </w:pPr>
    </w:p>
    <w:p w:rsidR="007F3D8B" w:rsidRPr="0083405A" w:rsidRDefault="00B71DDA" w:rsidP="00FD4F24">
      <w:pPr>
        <w:pStyle w:val="Prrafodelista"/>
        <w:numPr>
          <w:ilvl w:val="0"/>
          <w:numId w:val="24"/>
        </w:numPr>
        <w:ind w:left="1548" w:right="567" w:hanging="357"/>
        <w:contextualSpacing/>
        <w:jc w:val="both"/>
        <w:rPr>
          <w:rFonts w:ascii="Arial" w:hAnsi="Arial" w:cs="Arial"/>
          <w:sz w:val="24"/>
          <w:szCs w:val="24"/>
        </w:rPr>
      </w:pPr>
      <w:r w:rsidRPr="0083405A">
        <w:rPr>
          <w:rFonts w:ascii="Arial" w:hAnsi="Arial" w:cs="Arial"/>
          <w:b/>
          <w:sz w:val="24"/>
          <w:szCs w:val="24"/>
        </w:rPr>
        <w:t>Gastos por personal</w:t>
      </w:r>
      <w:r w:rsidR="00265518" w:rsidRPr="0083405A">
        <w:rPr>
          <w:rFonts w:ascii="Arial" w:hAnsi="Arial" w:cs="Arial"/>
          <w:sz w:val="24"/>
          <w:szCs w:val="24"/>
        </w:rPr>
        <w:t xml:space="preserve"> </w:t>
      </w:r>
      <w:r w:rsidR="00265518" w:rsidRPr="0083405A">
        <w:rPr>
          <w:rFonts w:ascii="Arial" w:hAnsi="Arial" w:cs="Arial"/>
          <w:b/>
          <w:sz w:val="24"/>
          <w:szCs w:val="24"/>
        </w:rPr>
        <w:t>(remuneraciones)</w:t>
      </w:r>
    </w:p>
    <w:p w:rsidR="00B71DDA" w:rsidRPr="0083405A" w:rsidRDefault="007F3D8B" w:rsidP="007F3D8B">
      <w:pPr>
        <w:pStyle w:val="Prrafodelista"/>
        <w:ind w:left="1548" w:right="567"/>
        <w:contextualSpacing/>
        <w:jc w:val="both"/>
        <w:rPr>
          <w:rFonts w:ascii="Arial" w:hAnsi="Arial" w:cs="Arial"/>
          <w:sz w:val="24"/>
          <w:szCs w:val="24"/>
        </w:rPr>
      </w:pPr>
      <w:r w:rsidRPr="0083405A">
        <w:rPr>
          <w:rFonts w:ascii="Arial" w:hAnsi="Arial" w:cs="Arial"/>
          <w:sz w:val="24"/>
          <w:szCs w:val="24"/>
        </w:rPr>
        <w:t>C</w:t>
      </w:r>
      <w:r w:rsidR="00A6130F" w:rsidRPr="0083405A">
        <w:rPr>
          <w:rFonts w:ascii="Arial" w:hAnsi="Arial" w:cs="Arial"/>
          <w:sz w:val="24"/>
          <w:szCs w:val="24"/>
        </w:rPr>
        <w:t>orresponde al gasto registrado por concepto de la planilla y demás beneficios a los colaboradores del Fideicomiso.</w:t>
      </w:r>
      <w:r w:rsidR="00B71DDA" w:rsidRPr="0083405A">
        <w:rPr>
          <w:rFonts w:ascii="Arial" w:hAnsi="Arial" w:cs="Arial"/>
          <w:sz w:val="24"/>
          <w:szCs w:val="24"/>
        </w:rPr>
        <w:t xml:space="preserve"> </w:t>
      </w:r>
      <w:r w:rsidR="000564CD" w:rsidRPr="0083405A">
        <w:rPr>
          <w:rFonts w:ascii="Arial" w:hAnsi="Arial" w:cs="Arial"/>
          <w:sz w:val="24"/>
          <w:szCs w:val="24"/>
        </w:rPr>
        <w:t xml:space="preserve">Al cierre del periodo el monto es por un total de </w:t>
      </w:r>
      <w:r w:rsidR="00175E5E" w:rsidRPr="0083405A">
        <w:rPr>
          <w:rFonts w:ascii="Arial" w:hAnsi="Arial" w:cs="Arial"/>
          <w:b/>
          <w:sz w:val="24"/>
          <w:szCs w:val="24"/>
        </w:rPr>
        <w:t>¢</w:t>
      </w:r>
      <w:r w:rsidR="00372F36">
        <w:rPr>
          <w:rFonts w:ascii="Arial" w:hAnsi="Arial" w:cs="Arial"/>
          <w:b/>
          <w:sz w:val="24"/>
          <w:szCs w:val="24"/>
        </w:rPr>
        <w:t>229.733,13</w:t>
      </w:r>
      <w:r w:rsidR="00175E5E" w:rsidRPr="0083405A">
        <w:rPr>
          <w:rFonts w:ascii="Arial" w:hAnsi="Arial" w:cs="Arial"/>
          <w:b/>
          <w:sz w:val="24"/>
          <w:szCs w:val="24"/>
        </w:rPr>
        <w:t xml:space="preserve"> </w:t>
      </w:r>
      <w:r w:rsidR="00175E5E" w:rsidRPr="0083405A">
        <w:rPr>
          <w:rFonts w:ascii="Arial" w:hAnsi="Arial" w:cs="Arial"/>
          <w:sz w:val="24"/>
          <w:szCs w:val="24"/>
        </w:rPr>
        <w:t>mil.</w:t>
      </w:r>
    </w:p>
    <w:p w:rsidR="0083405A" w:rsidRPr="0083405A" w:rsidRDefault="0083405A" w:rsidP="007F3D8B">
      <w:pPr>
        <w:pStyle w:val="Prrafodelista"/>
        <w:ind w:left="1548" w:right="567"/>
        <w:contextualSpacing/>
        <w:jc w:val="both"/>
        <w:rPr>
          <w:rFonts w:ascii="Arial" w:hAnsi="Arial" w:cs="Arial"/>
          <w:sz w:val="24"/>
          <w:szCs w:val="24"/>
        </w:rPr>
      </w:pPr>
    </w:p>
    <w:p w:rsidR="007F3D8B" w:rsidRPr="0083405A" w:rsidRDefault="007F3D8B" w:rsidP="00FD4F24">
      <w:pPr>
        <w:pStyle w:val="Prrafodelista"/>
        <w:numPr>
          <w:ilvl w:val="0"/>
          <w:numId w:val="24"/>
        </w:numPr>
        <w:ind w:left="1548" w:right="567" w:hanging="357"/>
        <w:contextualSpacing/>
        <w:jc w:val="both"/>
        <w:rPr>
          <w:rFonts w:ascii="Arial" w:hAnsi="Arial" w:cs="Arial"/>
          <w:sz w:val="24"/>
          <w:szCs w:val="24"/>
        </w:rPr>
      </w:pPr>
      <w:r w:rsidRPr="0083405A">
        <w:rPr>
          <w:rFonts w:ascii="Arial" w:hAnsi="Arial" w:cs="Arial"/>
          <w:b/>
          <w:sz w:val="24"/>
          <w:szCs w:val="24"/>
        </w:rPr>
        <w:t>Gastos por provisiones</w:t>
      </w:r>
    </w:p>
    <w:p w:rsidR="007F3D8B" w:rsidRPr="0083405A" w:rsidRDefault="007F3D8B" w:rsidP="007F3D8B">
      <w:pPr>
        <w:pStyle w:val="Prrafodelista"/>
        <w:ind w:left="1548" w:right="567"/>
        <w:contextualSpacing/>
        <w:jc w:val="both"/>
        <w:rPr>
          <w:rFonts w:ascii="Arial" w:hAnsi="Arial" w:cs="Arial"/>
          <w:sz w:val="24"/>
          <w:szCs w:val="24"/>
        </w:rPr>
      </w:pPr>
      <w:r w:rsidRPr="0083405A">
        <w:rPr>
          <w:rFonts w:ascii="Arial" w:hAnsi="Arial" w:cs="Arial"/>
          <w:sz w:val="24"/>
          <w:szCs w:val="24"/>
        </w:rPr>
        <w:t xml:space="preserve">En esta cuenta se registran las provisiones legales como vacaciones, aguinaldo, cargas patronales y fondo de capitalización por el personal contratado por el fideicomiso, al </w:t>
      </w:r>
      <w:r w:rsidR="006B29BC">
        <w:rPr>
          <w:rFonts w:ascii="Arial" w:hAnsi="Arial" w:cs="Arial"/>
          <w:sz w:val="24"/>
          <w:szCs w:val="24"/>
        </w:rPr>
        <w:t>cierre del 2018 presentó un monto total de</w:t>
      </w:r>
      <w:r w:rsidR="00DB6488" w:rsidRPr="0083405A">
        <w:rPr>
          <w:rFonts w:ascii="Arial" w:hAnsi="Arial" w:cs="Arial"/>
          <w:sz w:val="24"/>
          <w:szCs w:val="24"/>
        </w:rPr>
        <w:t xml:space="preserve"> </w:t>
      </w:r>
      <w:r w:rsidR="00DB6488" w:rsidRPr="0083405A">
        <w:rPr>
          <w:rFonts w:ascii="Arial" w:hAnsi="Arial" w:cs="Arial"/>
          <w:b/>
          <w:sz w:val="24"/>
          <w:szCs w:val="24"/>
        </w:rPr>
        <w:t>¢</w:t>
      </w:r>
      <w:r w:rsidR="006B29BC">
        <w:rPr>
          <w:rFonts w:ascii="Arial" w:hAnsi="Arial" w:cs="Arial"/>
          <w:b/>
          <w:sz w:val="24"/>
          <w:szCs w:val="24"/>
        </w:rPr>
        <w:t>88.555,14</w:t>
      </w:r>
      <w:r w:rsidR="00DB6488" w:rsidRPr="0083405A">
        <w:rPr>
          <w:rFonts w:ascii="Arial" w:hAnsi="Arial" w:cs="Arial"/>
          <w:b/>
          <w:sz w:val="24"/>
          <w:szCs w:val="24"/>
        </w:rPr>
        <w:t xml:space="preserve"> </w:t>
      </w:r>
      <w:r w:rsidR="00DB6488" w:rsidRPr="0083405A">
        <w:rPr>
          <w:rFonts w:ascii="Arial" w:hAnsi="Arial" w:cs="Arial"/>
          <w:sz w:val="24"/>
          <w:szCs w:val="24"/>
        </w:rPr>
        <w:t>mil.</w:t>
      </w:r>
    </w:p>
    <w:p w:rsidR="0083405A" w:rsidRPr="0083405A" w:rsidRDefault="0083405A" w:rsidP="007F3D8B">
      <w:pPr>
        <w:pStyle w:val="Prrafodelista"/>
        <w:ind w:left="1548" w:right="567"/>
        <w:contextualSpacing/>
        <w:jc w:val="both"/>
        <w:rPr>
          <w:rFonts w:ascii="Arial" w:hAnsi="Arial" w:cs="Arial"/>
          <w:sz w:val="24"/>
          <w:szCs w:val="24"/>
        </w:rPr>
      </w:pPr>
    </w:p>
    <w:p w:rsidR="0083405A" w:rsidRPr="0083405A" w:rsidRDefault="0083405A" w:rsidP="00FD4F24">
      <w:pPr>
        <w:pStyle w:val="Prrafodelista"/>
        <w:numPr>
          <w:ilvl w:val="0"/>
          <w:numId w:val="24"/>
        </w:numPr>
        <w:ind w:left="1548" w:right="567" w:hanging="357"/>
        <w:contextualSpacing/>
        <w:jc w:val="both"/>
        <w:rPr>
          <w:rFonts w:ascii="Arial" w:hAnsi="Arial" w:cs="Arial"/>
          <w:sz w:val="24"/>
          <w:szCs w:val="24"/>
        </w:rPr>
      </w:pPr>
      <w:r w:rsidRPr="0083405A">
        <w:rPr>
          <w:rFonts w:ascii="Arial" w:hAnsi="Arial" w:cs="Arial"/>
          <w:b/>
          <w:sz w:val="24"/>
          <w:szCs w:val="24"/>
        </w:rPr>
        <w:t>Gastos por servicios externos</w:t>
      </w:r>
    </w:p>
    <w:p w:rsidR="007C1246" w:rsidRDefault="0083405A" w:rsidP="0083405A">
      <w:pPr>
        <w:pStyle w:val="Prrafodelista"/>
        <w:ind w:left="1548" w:right="567"/>
        <w:contextualSpacing/>
        <w:jc w:val="both"/>
        <w:rPr>
          <w:rFonts w:ascii="Arial" w:hAnsi="Arial" w:cs="Arial"/>
          <w:sz w:val="24"/>
          <w:szCs w:val="24"/>
        </w:rPr>
      </w:pPr>
      <w:r w:rsidRPr="0083405A">
        <w:rPr>
          <w:rFonts w:ascii="Arial" w:hAnsi="Arial" w:cs="Arial"/>
          <w:sz w:val="24"/>
          <w:szCs w:val="24"/>
        </w:rPr>
        <w:t>C</w:t>
      </w:r>
      <w:r w:rsidR="003463CE" w:rsidRPr="0083405A">
        <w:rPr>
          <w:rFonts w:ascii="Arial" w:hAnsi="Arial" w:cs="Arial"/>
          <w:sz w:val="24"/>
          <w:szCs w:val="24"/>
        </w:rPr>
        <w:t>onstituyen los gastos por servicios</w:t>
      </w:r>
      <w:r w:rsidR="0011658E" w:rsidRPr="0083405A">
        <w:rPr>
          <w:rFonts w:ascii="Arial" w:hAnsi="Arial" w:cs="Arial"/>
          <w:b/>
          <w:sz w:val="24"/>
          <w:szCs w:val="24"/>
        </w:rPr>
        <w:t xml:space="preserve"> </w:t>
      </w:r>
      <w:r w:rsidR="0011658E" w:rsidRPr="0083405A">
        <w:rPr>
          <w:rFonts w:ascii="Arial" w:hAnsi="Arial" w:cs="Arial"/>
          <w:sz w:val="24"/>
          <w:szCs w:val="24"/>
        </w:rPr>
        <w:t xml:space="preserve">profesionales, </w:t>
      </w:r>
      <w:r w:rsidR="00424DB9" w:rsidRPr="0083405A">
        <w:rPr>
          <w:rFonts w:ascii="Arial" w:hAnsi="Arial" w:cs="Arial"/>
          <w:sz w:val="24"/>
          <w:szCs w:val="24"/>
        </w:rPr>
        <w:t>técnicos con</w:t>
      </w:r>
      <w:r w:rsidR="0011658E" w:rsidRPr="0083405A">
        <w:rPr>
          <w:rFonts w:ascii="Arial" w:hAnsi="Arial" w:cs="Arial"/>
          <w:sz w:val="24"/>
          <w:szCs w:val="24"/>
        </w:rPr>
        <w:t xml:space="preserve"> personas físicas o jurídicas, para trabajos específicos como los</w:t>
      </w:r>
      <w:r w:rsidR="0011658E" w:rsidRPr="0083405A">
        <w:rPr>
          <w:rFonts w:ascii="Arial" w:hAnsi="Arial" w:cs="Arial"/>
          <w:b/>
          <w:sz w:val="24"/>
          <w:szCs w:val="24"/>
        </w:rPr>
        <w:t xml:space="preserve"> </w:t>
      </w:r>
      <w:r w:rsidR="0011658E" w:rsidRPr="0083405A">
        <w:rPr>
          <w:rFonts w:ascii="Arial" w:hAnsi="Arial" w:cs="Arial"/>
          <w:sz w:val="24"/>
          <w:szCs w:val="24"/>
        </w:rPr>
        <w:t>gastos por servicios de información, se</w:t>
      </w:r>
      <w:r w:rsidR="00D83AB2" w:rsidRPr="0083405A">
        <w:rPr>
          <w:rFonts w:ascii="Arial" w:hAnsi="Arial" w:cs="Arial"/>
          <w:sz w:val="24"/>
          <w:szCs w:val="24"/>
        </w:rPr>
        <w:t xml:space="preserve">rvicios jurídicos, entre otros. El total de gastos por servicios externos </w:t>
      </w:r>
      <w:r w:rsidR="00D030A8">
        <w:rPr>
          <w:rFonts w:ascii="Arial" w:hAnsi="Arial" w:cs="Arial"/>
          <w:sz w:val="24"/>
          <w:szCs w:val="24"/>
        </w:rPr>
        <w:t xml:space="preserve">fue </w:t>
      </w:r>
      <w:r w:rsidR="00D83AB2" w:rsidRPr="0083405A">
        <w:rPr>
          <w:rFonts w:ascii="Arial" w:hAnsi="Arial" w:cs="Arial"/>
          <w:sz w:val="24"/>
          <w:szCs w:val="24"/>
        </w:rPr>
        <w:t xml:space="preserve">por </w:t>
      </w:r>
      <w:r w:rsidR="00175E5E" w:rsidRPr="0083405A">
        <w:rPr>
          <w:rFonts w:ascii="Arial" w:hAnsi="Arial" w:cs="Arial"/>
          <w:b/>
          <w:sz w:val="24"/>
          <w:szCs w:val="24"/>
        </w:rPr>
        <w:t>¢</w:t>
      </w:r>
      <w:r w:rsidR="00D030A8">
        <w:rPr>
          <w:rFonts w:ascii="Arial" w:hAnsi="Arial" w:cs="Arial"/>
          <w:b/>
          <w:sz w:val="24"/>
          <w:szCs w:val="24"/>
        </w:rPr>
        <w:t>556.664,03</w:t>
      </w:r>
      <w:r w:rsidR="00175E5E" w:rsidRPr="0083405A">
        <w:rPr>
          <w:rFonts w:ascii="Arial" w:hAnsi="Arial" w:cs="Arial"/>
          <w:b/>
          <w:sz w:val="24"/>
          <w:szCs w:val="24"/>
        </w:rPr>
        <w:t xml:space="preserve"> </w:t>
      </w:r>
      <w:r w:rsidR="00175E5E" w:rsidRPr="0083405A">
        <w:rPr>
          <w:rFonts w:ascii="Arial" w:hAnsi="Arial" w:cs="Arial"/>
          <w:sz w:val="24"/>
          <w:szCs w:val="24"/>
        </w:rPr>
        <w:t>mil.</w:t>
      </w:r>
    </w:p>
    <w:p w:rsidR="000D5CB2" w:rsidRDefault="000D5CB2" w:rsidP="0083405A">
      <w:pPr>
        <w:pStyle w:val="Prrafodelista"/>
        <w:ind w:left="1548" w:right="567"/>
        <w:contextualSpacing/>
        <w:jc w:val="both"/>
        <w:rPr>
          <w:rFonts w:ascii="Arial" w:hAnsi="Arial" w:cs="Arial"/>
          <w:sz w:val="24"/>
          <w:szCs w:val="24"/>
        </w:rPr>
      </w:pPr>
    </w:p>
    <w:p w:rsidR="000D5CB2" w:rsidRDefault="000D5CB2" w:rsidP="0083405A">
      <w:pPr>
        <w:pStyle w:val="Prrafodelista"/>
        <w:ind w:left="1548" w:right="567"/>
        <w:contextualSpacing/>
        <w:jc w:val="both"/>
        <w:rPr>
          <w:rFonts w:ascii="Arial" w:hAnsi="Arial" w:cs="Arial"/>
          <w:sz w:val="24"/>
          <w:szCs w:val="24"/>
        </w:rPr>
      </w:pPr>
    </w:p>
    <w:p w:rsidR="000D5CB2" w:rsidRDefault="000D5CB2" w:rsidP="0083405A">
      <w:pPr>
        <w:pStyle w:val="Prrafodelista"/>
        <w:ind w:left="1548" w:right="567"/>
        <w:contextualSpacing/>
        <w:jc w:val="both"/>
        <w:rPr>
          <w:rFonts w:ascii="Arial" w:hAnsi="Arial" w:cs="Arial"/>
          <w:sz w:val="24"/>
          <w:szCs w:val="24"/>
        </w:rPr>
      </w:pPr>
    </w:p>
    <w:p w:rsidR="000D5CB2" w:rsidRDefault="000D5CB2" w:rsidP="0083405A">
      <w:pPr>
        <w:pStyle w:val="Prrafodelista"/>
        <w:ind w:left="1548" w:right="567"/>
        <w:contextualSpacing/>
        <w:jc w:val="both"/>
        <w:rPr>
          <w:rFonts w:ascii="Arial" w:hAnsi="Arial" w:cs="Arial"/>
          <w:sz w:val="24"/>
          <w:szCs w:val="24"/>
        </w:rPr>
      </w:pPr>
    </w:p>
    <w:p w:rsidR="00E175B0" w:rsidRDefault="00E175B0" w:rsidP="0083405A">
      <w:pPr>
        <w:pStyle w:val="Prrafodelista"/>
        <w:ind w:left="1548" w:right="567"/>
        <w:contextualSpacing/>
        <w:jc w:val="both"/>
        <w:rPr>
          <w:rFonts w:ascii="Arial" w:hAnsi="Arial" w:cs="Arial"/>
          <w:sz w:val="24"/>
          <w:szCs w:val="24"/>
        </w:rPr>
      </w:pPr>
    </w:p>
    <w:p w:rsidR="008D3A3F" w:rsidRDefault="008D3A3F" w:rsidP="0011658E">
      <w:pPr>
        <w:jc w:val="center"/>
        <w:rPr>
          <w:rFonts w:ascii="Trebuchet MS" w:eastAsia="Times New Roman" w:hAnsi="Trebuchet MS" w:cs="Arial"/>
          <w:b/>
          <w:sz w:val="22"/>
          <w:szCs w:val="22"/>
          <w:lang w:eastAsia="en-US"/>
        </w:rPr>
      </w:pPr>
    </w:p>
    <w:p w:rsidR="006B4A79" w:rsidRPr="0011658E" w:rsidRDefault="006B4A79" w:rsidP="0011658E">
      <w:pPr>
        <w:jc w:val="center"/>
        <w:rPr>
          <w:rFonts w:ascii="Trebuchet MS" w:eastAsia="Times New Roman" w:hAnsi="Trebuchet MS" w:cs="Arial"/>
          <w:b/>
          <w:sz w:val="22"/>
          <w:szCs w:val="22"/>
          <w:lang w:eastAsia="en-US"/>
        </w:rPr>
      </w:pPr>
      <w:r w:rsidRPr="0005071D">
        <w:rPr>
          <w:rFonts w:ascii="Trebuchet MS" w:eastAsia="Times New Roman" w:hAnsi="Trebuchet MS" w:cs="Arial"/>
          <w:b/>
          <w:sz w:val="22"/>
          <w:szCs w:val="22"/>
          <w:lang w:eastAsia="en-US"/>
        </w:rPr>
        <w:t>Estado de Flujo de Efectivo</w:t>
      </w:r>
    </w:p>
    <w:p w:rsidR="006B4A79" w:rsidRDefault="006B4A79" w:rsidP="006B4A79">
      <w:pPr>
        <w:pStyle w:val="Prrafodelista"/>
        <w:ind w:left="1080"/>
        <w:contextualSpacing/>
        <w:jc w:val="center"/>
        <w:rPr>
          <w:rFonts w:ascii="Trebuchet MS" w:hAnsi="Trebuchet MS" w:cs="Arial"/>
          <w:b/>
        </w:rPr>
      </w:pPr>
      <w:r w:rsidRPr="006B4A79">
        <w:rPr>
          <w:rFonts w:ascii="Trebuchet MS" w:hAnsi="Trebuchet MS" w:cs="Arial"/>
          <w:b/>
        </w:rPr>
        <w:t xml:space="preserve">Para el periodo terminado al </w:t>
      </w:r>
      <w:r w:rsidR="00315DD2">
        <w:rPr>
          <w:rFonts w:ascii="Trebuchet MS" w:hAnsi="Trebuchet MS" w:cs="Arial"/>
          <w:b/>
        </w:rPr>
        <w:t>3</w:t>
      </w:r>
      <w:r w:rsidR="00EE14EF">
        <w:rPr>
          <w:rFonts w:ascii="Trebuchet MS" w:hAnsi="Trebuchet MS" w:cs="Arial"/>
          <w:b/>
        </w:rPr>
        <w:t>1</w:t>
      </w:r>
      <w:r w:rsidR="00315DD2">
        <w:rPr>
          <w:rFonts w:ascii="Trebuchet MS" w:hAnsi="Trebuchet MS" w:cs="Arial"/>
          <w:b/>
        </w:rPr>
        <w:t xml:space="preserve"> de </w:t>
      </w:r>
      <w:r w:rsidR="00EE14EF">
        <w:rPr>
          <w:rFonts w:ascii="Trebuchet MS" w:hAnsi="Trebuchet MS" w:cs="Arial"/>
          <w:b/>
        </w:rPr>
        <w:t>diciembre</w:t>
      </w:r>
      <w:r w:rsidR="0005071D">
        <w:rPr>
          <w:rFonts w:ascii="Trebuchet MS" w:hAnsi="Trebuchet MS" w:cs="Arial"/>
          <w:b/>
        </w:rPr>
        <w:t xml:space="preserve"> </w:t>
      </w:r>
      <w:r w:rsidRPr="006B4A79">
        <w:rPr>
          <w:rFonts w:ascii="Trebuchet MS" w:hAnsi="Trebuchet MS" w:cs="Arial"/>
          <w:b/>
        </w:rPr>
        <w:t>de 201</w:t>
      </w:r>
      <w:r w:rsidR="006712FB">
        <w:rPr>
          <w:rFonts w:ascii="Trebuchet MS" w:hAnsi="Trebuchet MS" w:cs="Arial"/>
          <w:b/>
        </w:rPr>
        <w:t>7</w:t>
      </w:r>
      <w:r w:rsidRPr="006B4A79">
        <w:rPr>
          <w:rFonts w:ascii="Trebuchet MS" w:hAnsi="Trebuchet MS" w:cs="Arial"/>
          <w:b/>
        </w:rPr>
        <w:t xml:space="preserve"> y 201</w:t>
      </w:r>
      <w:r w:rsidR="006712FB">
        <w:rPr>
          <w:rFonts w:ascii="Trebuchet MS" w:hAnsi="Trebuchet MS" w:cs="Arial"/>
          <w:b/>
        </w:rPr>
        <w:t>8</w:t>
      </w:r>
    </w:p>
    <w:p w:rsidR="006B4A79" w:rsidRDefault="006B4A79" w:rsidP="006B4A79">
      <w:pPr>
        <w:pStyle w:val="Prrafodelista"/>
        <w:ind w:left="1080"/>
        <w:contextualSpacing/>
        <w:jc w:val="center"/>
        <w:rPr>
          <w:rFonts w:ascii="Trebuchet MS" w:hAnsi="Trebuchet MS" w:cs="Arial"/>
          <w:b/>
        </w:rPr>
      </w:pPr>
      <w:r w:rsidRPr="006B4A79">
        <w:rPr>
          <w:rFonts w:ascii="Trebuchet MS" w:hAnsi="Trebuchet MS" w:cs="Arial"/>
          <w:b/>
        </w:rPr>
        <w:t>(Expresado en colones costarricenses sin decimales)</w:t>
      </w:r>
    </w:p>
    <w:tbl>
      <w:tblPr>
        <w:tblW w:w="10873" w:type="dxa"/>
        <w:tblInd w:w="-214" w:type="dxa"/>
        <w:tblLayout w:type="fixed"/>
        <w:tblCellMar>
          <w:left w:w="70" w:type="dxa"/>
          <w:right w:w="70" w:type="dxa"/>
        </w:tblCellMar>
        <w:tblLook w:val="04A0" w:firstRow="1" w:lastRow="0" w:firstColumn="1" w:lastColumn="0" w:noHBand="0" w:noVBand="1"/>
      </w:tblPr>
      <w:tblGrid>
        <w:gridCol w:w="5696"/>
        <w:gridCol w:w="1208"/>
        <w:gridCol w:w="2071"/>
        <w:gridCol w:w="1898"/>
      </w:tblGrid>
      <w:tr w:rsidR="00687203" w:rsidRPr="00687203" w:rsidTr="00DD6009">
        <w:trPr>
          <w:trHeight w:val="217"/>
        </w:trPr>
        <w:tc>
          <w:tcPr>
            <w:tcW w:w="5696" w:type="dxa"/>
            <w:tcBorders>
              <w:top w:val="single" w:sz="8" w:space="0" w:color="auto"/>
              <w:left w:val="single" w:sz="8" w:space="0" w:color="auto"/>
              <w:bottom w:val="single" w:sz="8" w:space="0" w:color="auto"/>
              <w:right w:val="single" w:sz="4" w:space="0" w:color="auto"/>
            </w:tcBorders>
            <w:shd w:val="clear" w:color="000000" w:fill="00B050"/>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w:t>
            </w:r>
          </w:p>
        </w:tc>
        <w:tc>
          <w:tcPr>
            <w:tcW w:w="1208" w:type="dxa"/>
            <w:tcBorders>
              <w:top w:val="single" w:sz="8" w:space="0" w:color="auto"/>
              <w:left w:val="nil"/>
              <w:bottom w:val="single" w:sz="8" w:space="0" w:color="auto"/>
              <w:right w:val="single" w:sz="4" w:space="0" w:color="auto"/>
            </w:tcBorders>
            <w:shd w:val="clear" w:color="000000" w:fill="00B050"/>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w:t>
            </w:r>
          </w:p>
        </w:tc>
        <w:tc>
          <w:tcPr>
            <w:tcW w:w="2071" w:type="dxa"/>
            <w:tcBorders>
              <w:top w:val="single" w:sz="8" w:space="0" w:color="auto"/>
              <w:left w:val="nil"/>
              <w:bottom w:val="single" w:sz="8" w:space="0" w:color="auto"/>
              <w:right w:val="single" w:sz="8" w:space="0" w:color="auto"/>
            </w:tcBorders>
            <w:shd w:val="clear" w:color="000000" w:fill="00B050"/>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w:t>
            </w:r>
          </w:p>
        </w:tc>
        <w:tc>
          <w:tcPr>
            <w:tcW w:w="1898" w:type="dxa"/>
            <w:tcBorders>
              <w:top w:val="single" w:sz="8" w:space="0" w:color="auto"/>
              <w:left w:val="nil"/>
              <w:bottom w:val="single" w:sz="8" w:space="0" w:color="auto"/>
              <w:right w:val="single" w:sz="4" w:space="0" w:color="auto"/>
            </w:tcBorders>
            <w:shd w:val="clear" w:color="000000" w:fill="00B050"/>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w:t>
            </w:r>
          </w:p>
        </w:tc>
      </w:tr>
      <w:tr w:rsidR="00687203" w:rsidRPr="00687203" w:rsidTr="00DD6009">
        <w:trPr>
          <w:trHeight w:val="217"/>
        </w:trPr>
        <w:tc>
          <w:tcPr>
            <w:tcW w:w="5696" w:type="dxa"/>
            <w:tcBorders>
              <w:top w:val="nil"/>
              <w:left w:val="single" w:sz="8" w:space="0" w:color="auto"/>
              <w:bottom w:val="single" w:sz="8" w:space="0" w:color="auto"/>
              <w:right w:val="single" w:sz="4" w:space="0" w:color="auto"/>
            </w:tcBorders>
            <w:shd w:val="clear" w:color="000000" w:fill="00B050"/>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Detalle de partidas</w:t>
            </w:r>
          </w:p>
        </w:tc>
        <w:tc>
          <w:tcPr>
            <w:tcW w:w="1208" w:type="dxa"/>
            <w:tcBorders>
              <w:top w:val="nil"/>
              <w:left w:val="nil"/>
              <w:bottom w:val="single" w:sz="8" w:space="0" w:color="auto"/>
              <w:right w:val="single" w:sz="4" w:space="0" w:color="auto"/>
            </w:tcBorders>
            <w:shd w:val="clear" w:color="000000" w:fill="00B050"/>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Nota</w:t>
            </w:r>
          </w:p>
        </w:tc>
        <w:tc>
          <w:tcPr>
            <w:tcW w:w="2071" w:type="dxa"/>
            <w:tcBorders>
              <w:top w:val="nil"/>
              <w:left w:val="nil"/>
              <w:bottom w:val="single" w:sz="8" w:space="0" w:color="auto"/>
              <w:right w:val="single" w:sz="8" w:space="0" w:color="auto"/>
            </w:tcBorders>
            <w:shd w:val="clear" w:color="000000" w:fill="00B050"/>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Junio 2018</w:t>
            </w:r>
          </w:p>
        </w:tc>
        <w:tc>
          <w:tcPr>
            <w:tcW w:w="1898" w:type="dxa"/>
            <w:tcBorders>
              <w:top w:val="nil"/>
              <w:left w:val="nil"/>
              <w:bottom w:val="single" w:sz="8" w:space="0" w:color="auto"/>
              <w:right w:val="single" w:sz="8" w:space="0" w:color="auto"/>
            </w:tcBorders>
            <w:shd w:val="clear" w:color="000000" w:fill="00B050"/>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Junio 2017</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Actividades de Operación</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Utilidad o pérdida del periodo</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354.589.967,00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- 607.300.871,00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Partidas que no requieren (proveen) efectivo:</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Gasto por depreciación</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30.310.915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20.744.216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Estimación por incobrables cartera de crédito</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19.972.227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157.687.788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Estimación por deterioro de bienes realizables</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64.608.287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34.999.358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Amortización de Sofware</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3.330.106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417.992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Ajustes periodos anteriores/Liquidación Fondos</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Efectivo  provisto por (usado para) cambios en:</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Tesorería Nacional Caja Única del Estado</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463.756.627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430.473.701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Efectivo restringido</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Otras cuentas por cobrar</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1.384.596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75.372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Anticipos a Proveedores</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992.107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101.460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Gastos Judiciales de cartera de crédito</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1.075.461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8.002.838 </w:t>
            </w:r>
          </w:p>
        </w:tc>
      </w:tr>
      <w:tr w:rsidR="00687203" w:rsidRPr="00687203" w:rsidTr="00DD6009">
        <w:trPr>
          <w:trHeight w:val="217"/>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Cuentas por pagar y gastos acumulados</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16.089.511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4.325.593 </w:t>
            </w:r>
          </w:p>
        </w:tc>
      </w:tr>
      <w:tr w:rsidR="00687203" w:rsidRPr="00687203" w:rsidTr="00DD6009">
        <w:trPr>
          <w:trHeight w:val="217"/>
        </w:trPr>
        <w:tc>
          <w:tcPr>
            <w:tcW w:w="5696" w:type="dxa"/>
            <w:tcBorders>
              <w:top w:val="single" w:sz="8" w:space="0" w:color="auto"/>
              <w:left w:val="single" w:sz="8" w:space="0" w:color="auto"/>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Efectivo Provisto (utilizado) por las actividades de Operación</w:t>
            </w:r>
          </w:p>
        </w:tc>
        <w:tc>
          <w:tcPr>
            <w:tcW w:w="1208" w:type="dxa"/>
            <w:tcBorders>
              <w:top w:val="single" w:sz="8" w:space="0" w:color="auto"/>
              <w:left w:val="nil"/>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w:t>
            </w:r>
          </w:p>
        </w:tc>
        <w:tc>
          <w:tcPr>
            <w:tcW w:w="2071" w:type="dxa"/>
            <w:tcBorders>
              <w:top w:val="single" w:sz="8" w:space="0" w:color="auto"/>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                     172.037.202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           33.318.851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Actividades de Inversión</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Préstamos</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411.082.703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44.458.870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Adiciones de mobiliario y equipo</w:t>
            </w:r>
          </w:p>
        </w:tc>
        <w:tc>
          <w:tcPr>
            <w:tcW w:w="1208" w:type="dxa"/>
            <w:tcBorders>
              <w:top w:val="nil"/>
              <w:left w:val="nil"/>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60.639.102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33.790.300 </w:t>
            </w:r>
          </w:p>
        </w:tc>
      </w:tr>
      <w:tr w:rsidR="00687203" w:rsidRPr="00687203" w:rsidTr="00DD6009">
        <w:trPr>
          <w:trHeight w:val="217"/>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(Aumento) disminución de Activo Fijo</w:t>
            </w:r>
          </w:p>
        </w:tc>
        <w:tc>
          <w:tcPr>
            <w:tcW w:w="120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63.358.848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222.020 </w:t>
            </w:r>
          </w:p>
        </w:tc>
      </w:tr>
      <w:tr w:rsidR="00687203" w:rsidRPr="00687203" w:rsidTr="00DD6009">
        <w:trPr>
          <w:trHeight w:val="217"/>
        </w:trPr>
        <w:tc>
          <w:tcPr>
            <w:tcW w:w="5696" w:type="dxa"/>
            <w:tcBorders>
              <w:top w:val="single" w:sz="8" w:space="0" w:color="auto"/>
              <w:left w:val="single" w:sz="8" w:space="0" w:color="auto"/>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Efectivo utilizado para las actividades de inversión</w:t>
            </w:r>
          </w:p>
        </w:tc>
        <w:tc>
          <w:tcPr>
            <w:tcW w:w="1208" w:type="dxa"/>
            <w:tcBorders>
              <w:top w:val="nil"/>
              <w:left w:val="nil"/>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w:t>
            </w:r>
          </w:p>
        </w:tc>
        <w:tc>
          <w:tcPr>
            <w:tcW w:w="2071"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                   535.080.653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         78.471.190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Actividades de Financiamiento</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Aportes patrimoniales</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359.871.303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565.045.700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Retiro de Aportaciones</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543.239.015 </w:t>
            </w:r>
          </w:p>
        </w:tc>
      </w:tr>
      <w:tr w:rsidR="00687203" w:rsidRPr="00687203" w:rsidTr="00DD6009">
        <w:trPr>
          <w:trHeight w:val="217"/>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Aporte en Especie</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single" w:sz="8" w:space="0" w:color="auto"/>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   </w:t>
            </w:r>
          </w:p>
        </w:tc>
      </w:tr>
      <w:tr w:rsidR="00687203" w:rsidRPr="00687203" w:rsidTr="00DD6009">
        <w:trPr>
          <w:trHeight w:val="217"/>
        </w:trPr>
        <w:tc>
          <w:tcPr>
            <w:tcW w:w="5696" w:type="dxa"/>
            <w:tcBorders>
              <w:top w:val="single" w:sz="8" w:space="0" w:color="auto"/>
              <w:left w:val="single" w:sz="8" w:space="0" w:color="auto"/>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Efectivo (usado) provisto por actividades de financiamiento</w:t>
            </w:r>
          </w:p>
        </w:tc>
        <w:tc>
          <w:tcPr>
            <w:tcW w:w="1208" w:type="dxa"/>
            <w:tcBorders>
              <w:top w:val="single" w:sz="8" w:space="0" w:color="auto"/>
              <w:left w:val="nil"/>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w:t>
            </w:r>
          </w:p>
        </w:tc>
        <w:tc>
          <w:tcPr>
            <w:tcW w:w="2071"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                     359.871.303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           21.806.685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06"/>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Aumento (disminuación) en efectivo y equivalentes de efectivo</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3.172.147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23.345.655 </w:t>
            </w:r>
          </w:p>
        </w:tc>
      </w:tr>
      <w:tr w:rsidR="00687203" w:rsidRPr="00687203" w:rsidTr="00DD6009">
        <w:trPr>
          <w:trHeight w:val="217"/>
        </w:trPr>
        <w:tc>
          <w:tcPr>
            <w:tcW w:w="5696" w:type="dxa"/>
            <w:tcBorders>
              <w:top w:val="nil"/>
              <w:left w:val="single" w:sz="8" w:space="0" w:color="auto"/>
              <w:bottom w:val="nil"/>
              <w:right w:val="single" w:sz="8" w:space="0" w:color="auto"/>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Efectivo y equivalente de efectivo al inicio del periodo </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single" w:sz="8" w:space="0" w:color="auto"/>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6.510.122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29.855.778 </w:t>
            </w:r>
          </w:p>
        </w:tc>
      </w:tr>
      <w:tr w:rsidR="00687203" w:rsidRPr="00687203" w:rsidTr="00DD6009">
        <w:trPr>
          <w:trHeight w:val="217"/>
        </w:trPr>
        <w:tc>
          <w:tcPr>
            <w:tcW w:w="5696" w:type="dxa"/>
            <w:tcBorders>
              <w:top w:val="single" w:sz="8" w:space="0" w:color="auto"/>
              <w:left w:val="single" w:sz="8" w:space="0" w:color="auto"/>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Efectivo y equivalente de efectivo al inicio del periodo </w:t>
            </w:r>
          </w:p>
        </w:tc>
        <w:tc>
          <w:tcPr>
            <w:tcW w:w="12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87203" w:rsidRPr="00687203" w:rsidRDefault="00687203" w:rsidP="00687203">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4</w:t>
            </w:r>
          </w:p>
        </w:tc>
        <w:tc>
          <w:tcPr>
            <w:tcW w:w="2071"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                         3.337.975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 xml:space="preserve">             6.510.123 </w:t>
            </w:r>
          </w:p>
        </w:tc>
      </w:tr>
      <w:tr w:rsidR="00687203" w:rsidRPr="00687203" w:rsidTr="00DD6009">
        <w:trPr>
          <w:trHeight w:val="206"/>
        </w:trPr>
        <w:tc>
          <w:tcPr>
            <w:tcW w:w="5696" w:type="dxa"/>
            <w:tcBorders>
              <w:top w:val="nil"/>
              <w:left w:val="single" w:sz="8" w:space="0" w:color="auto"/>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208" w:type="dxa"/>
            <w:tcBorders>
              <w:top w:val="nil"/>
              <w:left w:val="nil"/>
              <w:bottom w:val="nil"/>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nil"/>
              <w:right w:val="nil"/>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1898" w:type="dxa"/>
            <w:tcBorders>
              <w:top w:val="nil"/>
              <w:left w:val="nil"/>
              <w:bottom w:val="nil"/>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r>
      <w:tr w:rsidR="00687203" w:rsidRPr="00687203" w:rsidTr="00DD6009">
        <w:trPr>
          <w:trHeight w:val="217"/>
        </w:trPr>
        <w:tc>
          <w:tcPr>
            <w:tcW w:w="5696" w:type="dxa"/>
            <w:tcBorders>
              <w:top w:val="nil"/>
              <w:left w:val="single" w:sz="8" w:space="0" w:color="auto"/>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b/>
                <w:bCs/>
                <w:color w:val="000000"/>
                <w:sz w:val="14"/>
                <w:szCs w:val="14"/>
                <w:lang w:eastAsia="es-CR"/>
              </w:rPr>
            </w:pPr>
            <w:r w:rsidRPr="00687203">
              <w:rPr>
                <w:rFonts w:ascii="Arial" w:eastAsia="Times New Roman" w:hAnsi="Arial" w:cs="Arial"/>
                <w:b/>
                <w:bCs/>
                <w:color w:val="000000"/>
                <w:sz w:val="14"/>
                <w:szCs w:val="14"/>
                <w:lang w:eastAsia="es-CR"/>
              </w:rPr>
              <w:t>Las notas adjuntas son parte integral de estos estados finanancieros</w:t>
            </w:r>
          </w:p>
        </w:tc>
        <w:tc>
          <w:tcPr>
            <w:tcW w:w="1208" w:type="dxa"/>
            <w:tcBorders>
              <w:top w:val="nil"/>
              <w:left w:val="nil"/>
              <w:bottom w:val="single" w:sz="8" w:space="0" w:color="auto"/>
              <w:right w:val="nil"/>
            </w:tcBorders>
            <w:shd w:val="clear" w:color="000000" w:fill="FFFFFF"/>
            <w:noWrap/>
            <w:vAlign w:val="bottom"/>
            <w:hideMark/>
          </w:tcPr>
          <w:p w:rsidR="00687203" w:rsidRPr="00687203" w:rsidRDefault="00687203" w:rsidP="00687203">
            <w:pPr>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w:t>
            </w:r>
          </w:p>
        </w:tc>
        <w:tc>
          <w:tcPr>
            <w:tcW w:w="2071" w:type="dxa"/>
            <w:tcBorders>
              <w:top w:val="nil"/>
              <w:left w:val="nil"/>
              <w:bottom w:val="single" w:sz="8" w:space="0" w:color="auto"/>
              <w:right w:val="nil"/>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3.337.975 </w:t>
            </w:r>
          </w:p>
        </w:tc>
        <w:tc>
          <w:tcPr>
            <w:tcW w:w="1898" w:type="dxa"/>
            <w:tcBorders>
              <w:top w:val="nil"/>
              <w:left w:val="nil"/>
              <w:bottom w:val="single" w:sz="8" w:space="0" w:color="auto"/>
              <w:right w:val="single" w:sz="8" w:space="0" w:color="auto"/>
            </w:tcBorders>
            <w:shd w:val="clear" w:color="000000" w:fill="FFFFFF"/>
            <w:noWrap/>
            <w:vAlign w:val="bottom"/>
            <w:hideMark/>
          </w:tcPr>
          <w:p w:rsidR="00687203" w:rsidRPr="00687203" w:rsidRDefault="00687203" w:rsidP="00D95700">
            <w:pPr>
              <w:jc w:val="right"/>
              <w:rPr>
                <w:rFonts w:ascii="Arial" w:eastAsia="Times New Roman" w:hAnsi="Arial" w:cs="Arial"/>
                <w:color w:val="000000"/>
                <w:sz w:val="14"/>
                <w:szCs w:val="14"/>
                <w:lang w:eastAsia="es-CR"/>
              </w:rPr>
            </w:pPr>
            <w:r w:rsidRPr="00687203">
              <w:rPr>
                <w:rFonts w:ascii="Arial" w:eastAsia="Times New Roman" w:hAnsi="Arial" w:cs="Arial"/>
                <w:color w:val="000000"/>
                <w:sz w:val="14"/>
                <w:szCs w:val="14"/>
                <w:lang w:eastAsia="es-CR"/>
              </w:rPr>
              <w:t xml:space="preserve">             6.510.123 </w:t>
            </w:r>
          </w:p>
        </w:tc>
      </w:tr>
    </w:tbl>
    <w:p w:rsidR="006B4A79" w:rsidRDefault="006B4A79" w:rsidP="006B4A79">
      <w:pPr>
        <w:contextualSpacing/>
        <w:jc w:val="both"/>
        <w:rPr>
          <w:rFonts w:ascii="Trebuchet MS" w:hAnsi="Trebuchet MS" w:cs="Arial"/>
          <w:b/>
        </w:rPr>
      </w:pPr>
    </w:p>
    <w:p w:rsidR="00040204" w:rsidRDefault="00040204" w:rsidP="006B4A79">
      <w:pPr>
        <w:contextualSpacing/>
        <w:jc w:val="both"/>
        <w:rPr>
          <w:rFonts w:ascii="Trebuchet MS" w:hAnsi="Trebuchet MS" w:cs="Arial"/>
          <w:b/>
        </w:rPr>
      </w:pPr>
    </w:p>
    <w:p w:rsidR="00906CB7" w:rsidRDefault="00906CB7" w:rsidP="006B4A79">
      <w:pPr>
        <w:contextualSpacing/>
        <w:jc w:val="center"/>
        <w:rPr>
          <w:rFonts w:ascii="Arial" w:eastAsia="Times New Roman" w:hAnsi="Arial" w:cs="Arial"/>
          <w:b/>
          <w:sz w:val="22"/>
          <w:szCs w:val="22"/>
          <w:lang w:eastAsia="en-US"/>
        </w:rPr>
      </w:pPr>
    </w:p>
    <w:p w:rsidR="00D95700" w:rsidRDefault="00D95700" w:rsidP="006B4A79">
      <w:pPr>
        <w:contextualSpacing/>
        <w:jc w:val="center"/>
        <w:rPr>
          <w:rFonts w:ascii="Arial" w:eastAsia="Times New Roman" w:hAnsi="Arial" w:cs="Arial"/>
          <w:b/>
          <w:sz w:val="22"/>
          <w:szCs w:val="22"/>
          <w:lang w:eastAsia="en-US"/>
        </w:rPr>
      </w:pPr>
    </w:p>
    <w:p w:rsidR="00D95700" w:rsidRDefault="00D95700" w:rsidP="006B4A79">
      <w:pPr>
        <w:contextualSpacing/>
        <w:jc w:val="center"/>
        <w:rPr>
          <w:rFonts w:ascii="Arial" w:eastAsia="Times New Roman" w:hAnsi="Arial" w:cs="Arial"/>
          <w:b/>
          <w:sz w:val="22"/>
          <w:szCs w:val="22"/>
          <w:lang w:eastAsia="en-US"/>
        </w:rPr>
      </w:pPr>
    </w:p>
    <w:p w:rsidR="00DF21F5" w:rsidRDefault="00DF21F5" w:rsidP="006B4A79">
      <w:pPr>
        <w:contextualSpacing/>
        <w:jc w:val="center"/>
        <w:rPr>
          <w:rFonts w:ascii="Arial" w:eastAsia="Times New Roman" w:hAnsi="Arial" w:cs="Arial"/>
          <w:b/>
          <w:sz w:val="22"/>
          <w:szCs w:val="22"/>
          <w:lang w:eastAsia="en-US"/>
        </w:rPr>
      </w:pPr>
    </w:p>
    <w:p w:rsidR="00DF21F5" w:rsidRDefault="00DF21F5" w:rsidP="006B4A79">
      <w:pPr>
        <w:contextualSpacing/>
        <w:jc w:val="center"/>
        <w:rPr>
          <w:rFonts w:ascii="Arial" w:eastAsia="Times New Roman" w:hAnsi="Arial" w:cs="Arial"/>
          <w:b/>
          <w:sz w:val="22"/>
          <w:szCs w:val="22"/>
          <w:lang w:eastAsia="en-US"/>
        </w:rPr>
      </w:pPr>
    </w:p>
    <w:p w:rsidR="00DF21F5" w:rsidRDefault="00DF21F5" w:rsidP="006B4A79">
      <w:pPr>
        <w:contextualSpacing/>
        <w:jc w:val="center"/>
        <w:rPr>
          <w:rFonts w:ascii="Arial" w:eastAsia="Times New Roman" w:hAnsi="Arial" w:cs="Arial"/>
          <w:b/>
          <w:sz w:val="22"/>
          <w:szCs w:val="22"/>
          <w:lang w:eastAsia="en-US"/>
        </w:rPr>
      </w:pPr>
    </w:p>
    <w:p w:rsidR="000D5CB2" w:rsidRDefault="000D5CB2" w:rsidP="006B4A79">
      <w:pPr>
        <w:contextualSpacing/>
        <w:jc w:val="center"/>
        <w:rPr>
          <w:rFonts w:ascii="Arial" w:eastAsia="Times New Roman" w:hAnsi="Arial" w:cs="Arial"/>
          <w:b/>
          <w:sz w:val="22"/>
          <w:szCs w:val="22"/>
          <w:lang w:eastAsia="en-US"/>
        </w:rPr>
      </w:pPr>
    </w:p>
    <w:p w:rsidR="000D5CB2" w:rsidRDefault="000D5CB2" w:rsidP="006B4A79">
      <w:pPr>
        <w:contextualSpacing/>
        <w:jc w:val="center"/>
        <w:rPr>
          <w:rFonts w:ascii="Arial" w:eastAsia="Times New Roman" w:hAnsi="Arial" w:cs="Arial"/>
          <w:b/>
          <w:sz w:val="22"/>
          <w:szCs w:val="22"/>
          <w:lang w:eastAsia="en-US"/>
        </w:rPr>
      </w:pPr>
    </w:p>
    <w:p w:rsidR="00DF21F5" w:rsidRDefault="00DF21F5" w:rsidP="006B4A79">
      <w:pPr>
        <w:contextualSpacing/>
        <w:jc w:val="center"/>
        <w:rPr>
          <w:rFonts w:ascii="Arial" w:eastAsia="Times New Roman" w:hAnsi="Arial" w:cs="Arial"/>
          <w:b/>
          <w:sz w:val="22"/>
          <w:szCs w:val="22"/>
          <w:lang w:eastAsia="en-US"/>
        </w:rPr>
      </w:pPr>
    </w:p>
    <w:p w:rsidR="00DF21F5" w:rsidRDefault="00DF21F5" w:rsidP="006B4A79">
      <w:pPr>
        <w:contextualSpacing/>
        <w:jc w:val="center"/>
        <w:rPr>
          <w:rFonts w:ascii="Arial" w:eastAsia="Times New Roman" w:hAnsi="Arial" w:cs="Arial"/>
          <w:b/>
          <w:sz w:val="22"/>
          <w:szCs w:val="22"/>
          <w:lang w:eastAsia="en-US"/>
        </w:rPr>
      </w:pPr>
    </w:p>
    <w:p w:rsidR="00DF21F5" w:rsidRDefault="00DF21F5" w:rsidP="006B4A79">
      <w:pPr>
        <w:contextualSpacing/>
        <w:jc w:val="center"/>
        <w:rPr>
          <w:rFonts w:ascii="Arial" w:eastAsia="Times New Roman" w:hAnsi="Arial" w:cs="Arial"/>
          <w:b/>
          <w:sz w:val="22"/>
          <w:szCs w:val="22"/>
          <w:lang w:eastAsia="en-US"/>
        </w:rPr>
      </w:pPr>
    </w:p>
    <w:p w:rsidR="00DF21F5" w:rsidRDefault="00DF21F5" w:rsidP="006B4A79">
      <w:pPr>
        <w:contextualSpacing/>
        <w:jc w:val="center"/>
        <w:rPr>
          <w:rFonts w:ascii="Arial" w:eastAsia="Times New Roman" w:hAnsi="Arial" w:cs="Arial"/>
          <w:b/>
          <w:sz w:val="22"/>
          <w:szCs w:val="22"/>
          <w:lang w:eastAsia="en-US"/>
        </w:rPr>
      </w:pPr>
    </w:p>
    <w:p w:rsidR="00CD3226" w:rsidRDefault="00CD3226" w:rsidP="006B4A79">
      <w:pPr>
        <w:contextualSpacing/>
        <w:jc w:val="center"/>
        <w:rPr>
          <w:rFonts w:ascii="Arial" w:eastAsia="Times New Roman" w:hAnsi="Arial" w:cs="Arial"/>
          <w:b/>
          <w:sz w:val="22"/>
          <w:szCs w:val="22"/>
          <w:lang w:eastAsia="en-US"/>
        </w:rPr>
      </w:pPr>
    </w:p>
    <w:p w:rsidR="006B4A79" w:rsidRPr="006B4A79" w:rsidRDefault="006B4A79" w:rsidP="006B4A79">
      <w:pPr>
        <w:contextualSpacing/>
        <w:jc w:val="center"/>
        <w:rPr>
          <w:rFonts w:ascii="Arial" w:eastAsia="Times New Roman" w:hAnsi="Arial" w:cs="Arial"/>
          <w:b/>
          <w:sz w:val="22"/>
          <w:szCs w:val="22"/>
          <w:lang w:eastAsia="en-US"/>
        </w:rPr>
      </w:pPr>
      <w:r w:rsidRPr="006B4A79">
        <w:rPr>
          <w:rFonts w:ascii="Arial" w:eastAsia="Times New Roman" w:hAnsi="Arial" w:cs="Arial"/>
          <w:b/>
          <w:sz w:val="22"/>
          <w:szCs w:val="22"/>
          <w:lang w:eastAsia="en-US"/>
        </w:rPr>
        <w:t>Estado de Cambio en el Patrimonio-Consolidado</w:t>
      </w:r>
    </w:p>
    <w:p w:rsidR="006B4A79" w:rsidRPr="006B4A79" w:rsidRDefault="006B4A79" w:rsidP="006B4A79">
      <w:pPr>
        <w:contextualSpacing/>
        <w:jc w:val="center"/>
        <w:rPr>
          <w:rFonts w:ascii="Arial" w:eastAsia="Times New Roman" w:hAnsi="Arial" w:cs="Arial"/>
          <w:b/>
          <w:sz w:val="22"/>
          <w:szCs w:val="22"/>
          <w:lang w:eastAsia="en-US"/>
        </w:rPr>
      </w:pPr>
      <w:r w:rsidRPr="006B4A79">
        <w:rPr>
          <w:rFonts w:ascii="Arial" w:eastAsia="Times New Roman" w:hAnsi="Arial" w:cs="Arial"/>
          <w:b/>
          <w:sz w:val="22"/>
          <w:szCs w:val="22"/>
          <w:lang w:eastAsia="en-US"/>
        </w:rPr>
        <w:t>Fideicomiso 544 FONAFIFO - BNCR</w:t>
      </w:r>
    </w:p>
    <w:p w:rsidR="006B4A79" w:rsidRPr="006B4A79" w:rsidRDefault="006B4A79" w:rsidP="006B4A79">
      <w:pPr>
        <w:contextualSpacing/>
        <w:rPr>
          <w:rFonts w:ascii="Arial" w:hAnsi="Arial" w:cs="Arial"/>
          <w:b/>
          <w:sz w:val="22"/>
          <w:szCs w:val="22"/>
        </w:rPr>
      </w:pPr>
      <w:r w:rsidRPr="006B4A79">
        <w:rPr>
          <w:rFonts w:ascii="Arial" w:hAnsi="Arial" w:cs="Arial"/>
          <w:b/>
          <w:sz w:val="22"/>
          <w:szCs w:val="22"/>
        </w:rPr>
        <w:t xml:space="preserve">                                                              Al </w:t>
      </w:r>
      <w:r w:rsidR="00315DD2">
        <w:rPr>
          <w:rFonts w:ascii="Arial" w:hAnsi="Arial" w:cs="Arial"/>
          <w:b/>
          <w:sz w:val="22"/>
          <w:szCs w:val="22"/>
        </w:rPr>
        <w:t>3</w:t>
      </w:r>
      <w:r w:rsidR="000E7CA0">
        <w:rPr>
          <w:rFonts w:ascii="Arial" w:hAnsi="Arial" w:cs="Arial"/>
          <w:b/>
          <w:sz w:val="22"/>
          <w:szCs w:val="22"/>
        </w:rPr>
        <w:t>1</w:t>
      </w:r>
      <w:r w:rsidR="00CD3226">
        <w:rPr>
          <w:rFonts w:ascii="Arial" w:hAnsi="Arial" w:cs="Arial"/>
          <w:b/>
          <w:sz w:val="22"/>
          <w:szCs w:val="22"/>
        </w:rPr>
        <w:t xml:space="preserve"> de </w:t>
      </w:r>
      <w:r w:rsidR="000E7CA0">
        <w:rPr>
          <w:rFonts w:ascii="Arial" w:hAnsi="Arial" w:cs="Arial"/>
          <w:b/>
          <w:sz w:val="22"/>
          <w:szCs w:val="22"/>
        </w:rPr>
        <w:t>diciembre</w:t>
      </w:r>
      <w:r w:rsidR="0005071D">
        <w:rPr>
          <w:rFonts w:ascii="Arial" w:hAnsi="Arial" w:cs="Arial"/>
          <w:b/>
          <w:sz w:val="22"/>
          <w:szCs w:val="22"/>
        </w:rPr>
        <w:t xml:space="preserve"> </w:t>
      </w:r>
      <w:r w:rsidRPr="006B4A79">
        <w:rPr>
          <w:rFonts w:ascii="Arial" w:hAnsi="Arial" w:cs="Arial"/>
          <w:b/>
          <w:sz w:val="22"/>
          <w:szCs w:val="22"/>
        </w:rPr>
        <w:t>del 201</w:t>
      </w:r>
      <w:r w:rsidR="003F7BB5">
        <w:rPr>
          <w:rFonts w:ascii="Arial" w:hAnsi="Arial" w:cs="Arial"/>
          <w:b/>
          <w:sz w:val="22"/>
          <w:szCs w:val="22"/>
        </w:rPr>
        <w:t>7</w:t>
      </w:r>
      <w:r w:rsidRPr="006B4A79">
        <w:rPr>
          <w:rFonts w:ascii="Arial" w:hAnsi="Arial" w:cs="Arial"/>
          <w:b/>
          <w:sz w:val="22"/>
          <w:szCs w:val="22"/>
        </w:rPr>
        <w:t xml:space="preserve"> y 201</w:t>
      </w:r>
      <w:r w:rsidR="00C0330A">
        <w:rPr>
          <w:rFonts w:ascii="Arial" w:hAnsi="Arial" w:cs="Arial"/>
          <w:b/>
          <w:sz w:val="22"/>
          <w:szCs w:val="22"/>
        </w:rPr>
        <w:t>8</w:t>
      </w:r>
    </w:p>
    <w:p w:rsidR="006B4A79" w:rsidRPr="006B4A79" w:rsidRDefault="006B4A79" w:rsidP="006B4A79">
      <w:pPr>
        <w:contextualSpacing/>
        <w:rPr>
          <w:rFonts w:ascii="Arial" w:hAnsi="Arial" w:cs="Arial"/>
          <w:b/>
          <w:sz w:val="22"/>
          <w:szCs w:val="22"/>
        </w:rPr>
      </w:pPr>
      <w:r w:rsidRPr="006B4A79">
        <w:rPr>
          <w:rFonts w:ascii="Arial" w:hAnsi="Arial" w:cs="Arial"/>
          <w:b/>
          <w:sz w:val="22"/>
          <w:szCs w:val="22"/>
        </w:rPr>
        <w:t xml:space="preserve">                                                     Cifras en colones con dos decimales</w:t>
      </w:r>
    </w:p>
    <w:p w:rsidR="00D10AFA" w:rsidRPr="00767C7C" w:rsidRDefault="00D10AFA" w:rsidP="00B560B7">
      <w:pPr>
        <w:contextualSpacing/>
        <w:jc w:val="both"/>
        <w:rPr>
          <w:rFonts w:ascii="Trebuchet MS" w:hAnsi="Trebuchet MS" w:cs="Arial"/>
          <w:b/>
        </w:rPr>
      </w:pPr>
    </w:p>
    <w:p w:rsidR="00D10AFA" w:rsidRPr="00767C7C" w:rsidRDefault="00D10AFA" w:rsidP="0005071D">
      <w:pPr>
        <w:contextualSpacing/>
        <w:jc w:val="center"/>
        <w:rPr>
          <w:rFonts w:ascii="Trebuchet MS" w:hAnsi="Trebuchet MS" w:cs="Arial"/>
          <w:b/>
        </w:rPr>
      </w:pPr>
    </w:p>
    <w:tbl>
      <w:tblPr>
        <w:tblW w:w="10218" w:type="dxa"/>
        <w:tblInd w:w="-72" w:type="dxa"/>
        <w:tblCellMar>
          <w:left w:w="70" w:type="dxa"/>
          <w:right w:w="70" w:type="dxa"/>
        </w:tblCellMar>
        <w:tblLook w:val="04A0" w:firstRow="1" w:lastRow="0" w:firstColumn="1" w:lastColumn="0" w:noHBand="0" w:noVBand="1"/>
      </w:tblPr>
      <w:tblGrid>
        <w:gridCol w:w="2725"/>
        <w:gridCol w:w="366"/>
        <w:gridCol w:w="2715"/>
        <w:gridCol w:w="1502"/>
        <w:gridCol w:w="1371"/>
        <w:gridCol w:w="1539"/>
      </w:tblGrid>
      <w:tr w:rsidR="006C6CD4" w:rsidRPr="006C6CD4" w:rsidTr="006C6CD4">
        <w:trPr>
          <w:trHeight w:val="613"/>
        </w:trPr>
        <w:tc>
          <w:tcPr>
            <w:tcW w:w="2725" w:type="dxa"/>
            <w:tcBorders>
              <w:top w:val="single" w:sz="8" w:space="0" w:color="auto"/>
              <w:left w:val="single" w:sz="8" w:space="0" w:color="auto"/>
              <w:bottom w:val="single" w:sz="8" w:space="0" w:color="auto"/>
              <w:right w:val="nil"/>
            </w:tcBorders>
            <w:shd w:val="clear" w:color="000000" w:fill="00B050"/>
            <w:noWrap/>
            <w:vAlign w:val="center"/>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Detalle de las cuentas patrimoniales</w:t>
            </w:r>
          </w:p>
        </w:tc>
        <w:tc>
          <w:tcPr>
            <w:tcW w:w="0" w:type="auto"/>
            <w:tcBorders>
              <w:top w:val="single" w:sz="8" w:space="0" w:color="auto"/>
              <w:left w:val="nil"/>
              <w:bottom w:val="single" w:sz="8" w:space="0" w:color="auto"/>
              <w:right w:val="nil"/>
            </w:tcBorders>
            <w:shd w:val="clear" w:color="000000" w:fill="00B050"/>
            <w:noWrap/>
            <w:vAlign w:val="center"/>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Ref</w:t>
            </w:r>
          </w:p>
        </w:tc>
        <w:tc>
          <w:tcPr>
            <w:tcW w:w="0" w:type="auto"/>
            <w:tcBorders>
              <w:top w:val="single" w:sz="8" w:space="0" w:color="auto"/>
              <w:left w:val="nil"/>
              <w:bottom w:val="single" w:sz="8" w:space="0" w:color="auto"/>
              <w:right w:val="nil"/>
            </w:tcBorders>
            <w:shd w:val="clear" w:color="000000" w:fill="00B050"/>
            <w:noWrap/>
            <w:vAlign w:val="center"/>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Aportaciones de Fideicomitentes</w:t>
            </w:r>
          </w:p>
        </w:tc>
        <w:tc>
          <w:tcPr>
            <w:tcW w:w="0" w:type="auto"/>
            <w:tcBorders>
              <w:top w:val="single" w:sz="8" w:space="0" w:color="auto"/>
              <w:left w:val="nil"/>
              <w:bottom w:val="single" w:sz="8" w:space="0" w:color="auto"/>
              <w:right w:val="nil"/>
            </w:tcBorders>
            <w:shd w:val="clear" w:color="000000" w:fill="00B050"/>
            <w:vAlign w:val="center"/>
            <w:hideMark/>
          </w:tcPr>
          <w:p w:rsidR="006C6CD4" w:rsidRPr="006C6CD4" w:rsidRDefault="006C6CD4" w:rsidP="006C6CD4">
            <w:pPr>
              <w:jc w:val="cente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Excedentes acumulados</w:t>
            </w:r>
          </w:p>
        </w:tc>
        <w:tc>
          <w:tcPr>
            <w:tcW w:w="0" w:type="auto"/>
            <w:tcBorders>
              <w:top w:val="single" w:sz="8" w:space="0" w:color="auto"/>
              <w:left w:val="nil"/>
              <w:bottom w:val="single" w:sz="8" w:space="0" w:color="auto"/>
              <w:right w:val="nil"/>
            </w:tcBorders>
            <w:shd w:val="clear" w:color="000000" w:fill="00B050"/>
            <w:vAlign w:val="center"/>
            <w:hideMark/>
          </w:tcPr>
          <w:p w:rsidR="006C6CD4" w:rsidRPr="006C6CD4" w:rsidRDefault="006C6CD4" w:rsidP="006C6CD4">
            <w:pPr>
              <w:jc w:val="cente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Superavit por revaluación</w:t>
            </w:r>
          </w:p>
        </w:tc>
        <w:tc>
          <w:tcPr>
            <w:tcW w:w="1539" w:type="dxa"/>
            <w:tcBorders>
              <w:top w:val="single" w:sz="8" w:space="0" w:color="auto"/>
              <w:left w:val="nil"/>
              <w:bottom w:val="single" w:sz="8" w:space="0" w:color="auto"/>
              <w:right w:val="single" w:sz="8" w:space="0" w:color="auto"/>
            </w:tcBorders>
            <w:shd w:val="clear" w:color="000000" w:fill="00B050"/>
            <w:noWrap/>
            <w:vAlign w:val="center"/>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Total patrimonio</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single" w:sz="8" w:space="0" w:color="auto"/>
              <w:right w:val="single" w:sz="8" w:space="0" w:color="auto"/>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Saldo al 31 de diciembre del 2014</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4.485.477.830,57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2.184.077.267,64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131.367.000,00 </w:t>
            </w:r>
          </w:p>
        </w:tc>
        <w:tc>
          <w:tcPr>
            <w:tcW w:w="1539" w:type="dxa"/>
            <w:tcBorders>
              <w:top w:val="nil"/>
              <w:left w:val="nil"/>
              <w:bottom w:val="single" w:sz="8" w:space="0" w:color="auto"/>
              <w:right w:val="single" w:sz="8" w:space="0" w:color="auto"/>
            </w:tcBorders>
            <w:shd w:val="clear" w:color="000000" w:fill="00B050"/>
            <w:noWrap/>
            <w:vAlign w:val="bottom"/>
            <w:hideMark/>
          </w:tcPr>
          <w:p w:rsidR="006C6CD4" w:rsidRPr="006C6CD4" w:rsidRDefault="006C6CD4" w:rsidP="006C6CD4">
            <w:pPr>
              <w:jc w:val="right"/>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₡6.800.922.098,21</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Liquidación Fondos 544-005</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128.196.284,63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61.504.891,14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-₡189.701.175,77</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Aportes recibidos, netos</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185.680.000,00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₡185.680.000,00</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Utilidad o pérdida del periodo 2015</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794.421.163,82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-₡794.421.163,82</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Ajustes a periodos anteriores</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₡0,00</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single" w:sz="8" w:space="0" w:color="auto"/>
              <w:right w:val="single" w:sz="8" w:space="0" w:color="auto"/>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Saldo al 31 de diciembre del 2015</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4.542.961.545,94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1.328.151.212,67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131.367.000,00 </w:t>
            </w:r>
          </w:p>
        </w:tc>
        <w:tc>
          <w:tcPr>
            <w:tcW w:w="1539" w:type="dxa"/>
            <w:tcBorders>
              <w:top w:val="nil"/>
              <w:left w:val="nil"/>
              <w:bottom w:val="single" w:sz="8" w:space="0" w:color="auto"/>
              <w:right w:val="single" w:sz="8" w:space="0" w:color="auto"/>
            </w:tcBorders>
            <w:shd w:val="clear" w:color="000000" w:fill="00B050"/>
            <w:noWrap/>
            <w:vAlign w:val="bottom"/>
            <w:hideMark/>
          </w:tcPr>
          <w:p w:rsidR="006C6CD4" w:rsidRPr="006C6CD4" w:rsidRDefault="006C6CD4" w:rsidP="006C6CD4">
            <w:pPr>
              <w:jc w:val="right"/>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₡6.002.479.758,61</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Aportes en efectivo</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193.120.000,00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₡193.120.000,00</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Aportes en especies</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4.065.790,00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₡4.065.790,00</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Retiro de aportaciones en efectivo</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500.000.000,00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-₡500.000.000,00</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Utilidad o pérdida del periodo 2016</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525.720.560,26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single" w:sz="8" w:space="0" w:color="auto"/>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-₡525.720.560,26</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Saldo al 31 de Diciembre del 2016</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jc w:val="right"/>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19</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4.240.147.335,94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802.430.652,41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131.367.000,00 </w:t>
            </w:r>
          </w:p>
        </w:tc>
        <w:tc>
          <w:tcPr>
            <w:tcW w:w="1539" w:type="dxa"/>
            <w:tcBorders>
              <w:top w:val="nil"/>
              <w:left w:val="nil"/>
              <w:bottom w:val="single" w:sz="8" w:space="0" w:color="auto"/>
              <w:right w:val="single" w:sz="8" w:space="0" w:color="auto"/>
            </w:tcBorders>
            <w:shd w:val="clear" w:color="000000" w:fill="00B050"/>
            <w:noWrap/>
            <w:vAlign w:val="bottom"/>
            <w:hideMark/>
          </w:tcPr>
          <w:p w:rsidR="006C6CD4" w:rsidRPr="006C6CD4" w:rsidRDefault="006C6CD4" w:rsidP="006C6CD4">
            <w:pPr>
              <w:jc w:val="right"/>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₡5.173.944.988,35</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Aportes en efectivo</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281.716.533,53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₡281.716.533,53</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Aportes en especies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₡0,00</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Retiro de aportaciones en efectivo</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53.929.389,65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91.070.610,35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-₡145.000.000,00</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Utilidad o pérdida del periodo 2017</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607.300.870,88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1539" w:type="dxa"/>
            <w:tcBorders>
              <w:top w:val="nil"/>
              <w:left w:val="nil"/>
              <w:bottom w:val="single" w:sz="8" w:space="0" w:color="auto"/>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-₡607.300.870,88</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Saldo al 31 de diciembre del 2017</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jc w:val="right"/>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19</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4.467.934.479,82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104.059.171,18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131.367.000,00 </w:t>
            </w:r>
          </w:p>
        </w:tc>
        <w:tc>
          <w:tcPr>
            <w:tcW w:w="1539" w:type="dxa"/>
            <w:tcBorders>
              <w:top w:val="nil"/>
              <w:left w:val="nil"/>
              <w:bottom w:val="single" w:sz="8" w:space="0" w:color="auto"/>
              <w:right w:val="single" w:sz="8" w:space="0" w:color="auto"/>
            </w:tcBorders>
            <w:shd w:val="clear" w:color="000000" w:fill="00B050"/>
            <w:noWrap/>
            <w:vAlign w:val="bottom"/>
            <w:hideMark/>
          </w:tcPr>
          <w:p w:rsidR="006C6CD4" w:rsidRPr="006C6CD4" w:rsidRDefault="006C6CD4" w:rsidP="006C6CD4">
            <w:pPr>
              <w:jc w:val="right"/>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₡4.703.360.651,00</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Aportes en efectivo</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359.871.302,90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₡359.871.302,90</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Aportes en especies</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₡0,00</w:t>
            </w:r>
          </w:p>
        </w:tc>
      </w:tr>
      <w:tr w:rsidR="006C6CD4" w:rsidRPr="006C6CD4" w:rsidTr="006C6CD4">
        <w:trPr>
          <w:trHeight w:val="292"/>
        </w:trPr>
        <w:tc>
          <w:tcPr>
            <w:tcW w:w="2725" w:type="dxa"/>
            <w:tcBorders>
              <w:top w:val="nil"/>
              <w:left w:val="single" w:sz="8" w:space="0" w:color="auto"/>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Retiro de aportaciones en efctivo</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nil"/>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₡0,00</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Utilidad o pérdida del periodo 2018</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xml:space="preserve">-     354.589.966,60 </w:t>
            </w:r>
          </w:p>
        </w:tc>
        <w:tc>
          <w:tcPr>
            <w:tcW w:w="0" w:type="auto"/>
            <w:tcBorders>
              <w:top w:val="nil"/>
              <w:left w:val="nil"/>
              <w:bottom w:val="single" w:sz="8" w:space="0" w:color="auto"/>
              <w:right w:val="nil"/>
            </w:tcBorders>
            <w:shd w:val="clear" w:color="000000" w:fill="FFFFFF"/>
            <w:noWrap/>
            <w:vAlign w:val="bottom"/>
            <w:hideMark/>
          </w:tcPr>
          <w:p w:rsidR="006C6CD4" w:rsidRPr="006C6CD4" w:rsidRDefault="006C6CD4" w:rsidP="006C6CD4">
            <w:pPr>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 </w:t>
            </w:r>
          </w:p>
        </w:tc>
        <w:tc>
          <w:tcPr>
            <w:tcW w:w="1539" w:type="dxa"/>
            <w:tcBorders>
              <w:top w:val="nil"/>
              <w:left w:val="nil"/>
              <w:bottom w:val="single" w:sz="8" w:space="0" w:color="auto"/>
              <w:right w:val="single" w:sz="8" w:space="0" w:color="auto"/>
            </w:tcBorders>
            <w:shd w:val="clear" w:color="000000" w:fill="FFFFFF"/>
            <w:noWrap/>
            <w:vAlign w:val="bottom"/>
            <w:hideMark/>
          </w:tcPr>
          <w:p w:rsidR="006C6CD4" w:rsidRPr="006C6CD4" w:rsidRDefault="006C6CD4" w:rsidP="006C6CD4">
            <w:pPr>
              <w:jc w:val="right"/>
              <w:rPr>
                <w:rFonts w:ascii="Arial" w:eastAsia="Times New Roman" w:hAnsi="Arial" w:cs="Arial"/>
                <w:color w:val="000000"/>
                <w:sz w:val="14"/>
                <w:szCs w:val="14"/>
                <w:lang w:eastAsia="es-CR"/>
              </w:rPr>
            </w:pPr>
            <w:r w:rsidRPr="006C6CD4">
              <w:rPr>
                <w:rFonts w:ascii="Arial" w:eastAsia="Times New Roman" w:hAnsi="Arial" w:cs="Arial"/>
                <w:color w:val="000000"/>
                <w:sz w:val="14"/>
                <w:szCs w:val="14"/>
                <w:lang w:eastAsia="es-CR"/>
              </w:rPr>
              <w:t>-₡354.589.966,60</w:t>
            </w:r>
          </w:p>
        </w:tc>
      </w:tr>
      <w:tr w:rsidR="006C6CD4" w:rsidRPr="006C6CD4" w:rsidTr="006C6CD4">
        <w:trPr>
          <w:trHeight w:val="306"/>
        </w:trPr>
        <w:tc>
          <w:tcPr>
            <w:tcW w:w="2725" w:type="dxa"/>
            <w:tcBorders>
              <w:top w:val="nil"/>
              <w:left w:val="single" w:sz="8" w:space="0" w:color="auto"/>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Saldo al 31 de diciembre del 2018</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jc w:val="right"/>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19</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4.827.805.782,72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250.530.795,42 </w:t>
            </w:r>
          </w:p>
        </w:tc>
        <w:tc>
          <w:tcPr>
            <w:tcW w:w="0" w:type="auto"/>
            <w:tcBorders>
              <w:top w:val="nil"/>
              <w:left w:val="nil"/>
              <w:bottom w:val="single" w:sz="8" w:space="0" w:color="auto"/>
              <w:right w:val="nil"/>
            </w:tcBorders>
            <w:shd w:val="clear" w:color="000000" w:fill="00B050"/>
            <w:noWrap/>
            <w:vAlign w:val="bottom"/>
            <w:hideMark/>
          </w:tcPr>
          <w:p w:rsidR="006C6CD4" w:rsidRPr="006C6CD4" w:rsidRDefault="006C6CD4" w:rsidP="006C6CD4">
            <w:pPr>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 xml:space="preserve">   131.367.000,00 </w:t>
            </w:r>
          </w:p>
        </w:tc>
        <w:tc>
          <w:tcPr>
            <w:tcW w:w="1539" w:type="dxa"/>
            <w:tcBorders>
              <w:top w:val="nil"/>
              <w:left w:val="nil"/>
              <w:bottom w:val="single" w:sz="8" w:space="0" w:color="auto"/>
              <w:right w:val="single" w:sz="8" w:space="0" w:color="auto"/>
            </w:tcBorders>
            <w:shd w:val="clear" w:color="000000" w:fill="00B050"/>
            <w:noWrap/>
            <w:vAlign w:val="bottom"/>
            <w:hideMark/>
          </w:tcPr>
          <w:p w:rsidR="006C6CD4" w:rsidRPr="006C6CD4" w:rsidRDefault="006C6CD4" w:rsidP="006C6CD4">
            <w:pPr>
              <w:jc w:val="right"/>
              <w:rPr>
                <w:rFonts w:ascii="Arial" w:eastAsia="Times New Roman" w:hAnsi="Arial" w:cs="Arial"/>
                <w:b/>
                <w:bCs/>
                <w:color w:val="000000"/>
                <w:sz w:val="14"/>
                <w:szCs w:val="14"/>
                <w:lang w:eastAsia="es-CR"/>
              </w:rPr>
            </w:pPr>
            <w:r w:rsidRPr="006C6CD4">
              <w:rPr>
                <w:rFonts w:ascii="Arial" w:eastAsia="Times New Roman" w:hAnsi="Arial" w:cs="Arial"/>
                <w:b/>
                <w:bCs/>
                <w:color w:val="000000"/>
                <w:sz w:val="14"/>
                <w:szCs w:val="14"/>
                <w:lang w:eastAsia="es-CR"/>
              </w:rPr>
              <w:t>₡4.708.641.987,30</w:t>
            </w:r>
          </w:p>
        </w:tc>
      </w:tr>
    </w:tbl>
    <w:p w:rsidR="00D10AFA" w:rsidRPr="00767C7C" w:rsidRDefault="003F7BB5" w:rsidP="00B560B7">
      <w:pPr>
        <w:contextualSpacing/>
        <w:jc w:val="both"/>
        <w:rPr>
          <w:rFonts w:ascii="Trebuchet MS" w:hAnsi="Trebuchet MS" w:cs="Arial"/>
          <w:b/>
        </w:rPr>
      </w:pPr>
      <w:r>
        <w:rPr>
          <w:rFonts w:ascii="Trebuchet MS" w:hAnsi="Trebuchet MS" w:cs="Arial"/>
          <w:b/>
        </w:rPr>
        <w:tab/>
      </w:r>
    </w:p>
    <w:p w:rsidR="00D10AFA" w:rsidRPr="00767C7C" w:rsidRDefault="00D10AFA" w:rsidP="00B560B7">
      <w:pPr>
        <w:contextualSpacing/>
        <w:jc w:val="both"/>
        <w:rPr>
          <w:rFonts w:ascii="Trebuchet MS" w:hAnsi="Trebuchet MS" w:cs="Arial"/>
          <w:b/>
        </w:rPr>
      </w:pPr>
    </w:p>
    <w:p w:rsidR="00D10AFA" w:rsidRPr="00767C7C" w:rsidRDefault="00D10AFA" w:rsidP="00B560B7">
      <w:pPr>
        <w:contextualSpacing/>
        <w:jc w:val="both"/>
        <w:rPr>
          <w:rFonts w:ascii="Trebuchet MS" w:hAnsi="Trebuchet MS" w:cs="Arial"/>
          <w:b/>
        </w:rPr>
      </w:pPr>
    </w:p>
    <w:p w:rsidR="00D10AFA" w:rsidRPr="00767C7C" w:rsidRDefault="00D10AFA" w:rsidP="00B560B7">
      <w:pPr>
        <w:contextualSpacing/>
        <w:jc w:val="both"/>
        <w:rPr>
          <w:rFonts w:ascii="Trebuchet MS" w:hAnsi="Trebuchet MS" w:cs="Arial"/>
          <w:b/>
        </w:rPr>
      </w:pPr>
    </w:p>
    <w:p w:rsidR="00D10AFA" w:rsidRPr="00767C7C" w:rsidRDefault="00D10AFA" w:rsidP="00B560B7">
      <w:pPr>
        <w:contextualSpacing/>
        <w:jc w:val="both"/>
        <w:rPr>
          <w:rFonts w:ascii="Trebuchet MS" w:hAnsi="Trebuchet MS" w:cs="Arial"/>
          <w:b/>
        </w:rPr>
      </w:pPr>
    </w:p>
    <w:p w:rsidR="00D10AFA" w:rsidRPr="00767C7C" w:rsidRDefault="00D10AFA" w:rsidP="00B560B7">
      <w:pPr>
        <w:contextualSpacing/>
        <w:jc w:val="both"/>
        <w:rPr>
          <w:rFonts w:ascii="Trebuchet MS" w:hAnsi="Trebuchet MS" w:cs="Arial"/>
          <w:b/>
        </w:rPr>
      </w:pPr>
    </w:p>
    <w:p w:rsidR="006B4A79" w:rsidRDefault="006B4A79" w:rsidP="00D16FC4">
      <w:pPr>
        <w:pStyle w:val="Prrafodelista"/>
        <w:ind w:left="1080"/>
        <w:contextualSpacing/>
        <w:jc w:val="both"/>
        <w:rPr>
          <w:rFonts w:ascii="Trebuchet MS" w:hAnsi="Trebuchet MS" w:cs="Arial"/>
          <w:b/>
        </w:rPr>
      </w:pPr>
    </w:p>
    <w:p w:rsidR="006B4A79" w:rsidRDefault="006B4A79" w:rsidP="00D16FC4">
      <w:pPr>
        <w:pStyle w:val="Prrafodelista"/>
        <w:ind w:left="1080"/>
        <w:contextualSpacing/>
        <w:jc w:val="both"/>
        <w:rPr>
          <w:rFonts w:ascii="Trebuchet MS" w:hAnsi="Trebuchet MS" w:cs="Arial"/>
          <w:b/>
        </w:rPr>
      </w:pPr>
    </w:p>
    <w:p w:rsidR="00353A87" w:rsidRPr="00767C7C" w:rsidRDefault="00353A87" w:rsidP="009B4919">
      <w:pPr>
        <w:pStyle w:val="Prrafodelista"/>
        <w:numPr>
          <w:ilvl w:val="1"/>
          <w:numId w:val="39"/>
        </w:numPr>
        <w:spacing w:after="0" w:line="240" w:lineRule="auto"/>
        <w:ind w:left="360" w:right="1372"/>
        <w:contextualSpacing/>
        <w:jc w:val="both"/>
        <w:outlineLvl w:val="1"/>
        <w:rPr>
          <w:rFonts w:ascii="Arial" w:eastAsia="SimSun" w:hAnsi="Arial" w:cs="Arial"/>
          <w:b/>
          <w:lang w:val="es-ES_tradnl" w:eastAsia="es-ES"/>
        </w:rPr>
      </w:pPr>
      <w:bookmarkStart w:id="11" w:name="_Toc520729581"/>
      <w:r w:rsidRPr="00767C7C">
        <w:rPr>
          <w:rFonts w:ascii="Arial" w:eastAsia="SimSun" w:hAnsi="Arial" w:cs="Arial"/>
          <w:b/>
          <w:lang w:eastAsia="es-ES"/>
        </w:rPr>
        <w:t>Análisis Horizontal</w:t>
      </w:r>
      <w:bookmarkEnd w:id="11"/>
      <w:r w:rsidRPr="00767C7C">
        <w:rPr>
          <w:rFonts w:ascii="Arial" w:eastAsia="SimSun" w:hAnsi="Arial" w:cs="Arial"/>
          <w:b/>
          <w:lang w:eastAsia="es-ES"/>
        </w:rPr>
        <w:t xml:space="preserve"> </w:t>
      </w:r>
    </w:p>
    <w:p w:rsidR="006B4A79" w:rsidRPr="00015A4E" w:rsidRDefault="006B4A79" w:rsidP="006B4A79">
      <w:pPr>
        <w:pStyle w:val="Prrafodelista"/>
        <w:ind w:left="1080"/>
        <w:contextualSpacing/>
        <w:jc w:val="center"/>
        <w:rPr>
          <w:rFonts w:ascii="Arial" w:hAnsi="Arial" w:cs="Arial"/>
          <w:b/>
        </w:rPr>
      </w:pPr>
      <w:r w:rsidRPr="00015A4E">
        <w:rPr>
          <w:rFonts w:ascii="Arial" w:hAnsi="Arial" w:cs="Arial"/>
          <w:b/>
        </w:rPr>
        <w:t xml:space="preserve">Estado de </w:t>
      </w:r>
      <w:r>
        <w:rPr>
          <w:rFonts w:ascii="Arial" w:hAnsi="Arial" w:cs="Arial"/>
          <w:b/>
        </w:rPr>
        <w:t>Situación Financiera C</w:t>
      </w:r>
      <w:r w:rsidRPr="00015A4E">
        <w:rPr>
          <w:rFonts w:ascii="Arial" w:hAnsi="Arial" w:cs="Arial"/>
          <w:b/>
        </w:rPr>
        <w:t>onsolidado</w:t>
      </w:r>
    </w:p>
    <w:p w:rsidR="006B4A79" w:rsidRPr="00015A4E" w:rsidRDefault="006B4A79" w:rsidP="006B4A79">
      <w:pPr>
        <w:pStyle w:val="Prrafodelista"/>
        <w:ind w:left="1080"/>
        <w:contextualSpacing/>
        <w:jc w:val="center"/>
        <w:rPr>
          <w:rFonts w:ascii="Arial" w:hAnsi="Arial" w:cs="Arial"/>
          <w:b/>
        </w:rPr>
      </w:pPr>
      <w:r w:rsidRPr="00015A4E">
        <w:rPr>
          <w:rFonts w:ascii="Arial" w:hAnsi="Arial" w:cs="Arial"/>
          <w:b/>
        </w:rPr>
        <w:t>Fideicomiso 544 FONAFIFO CONSOLIDADO – BNCR</w:t>
      </w:r>
    </w:p>
    <w:p w:rsidR="006B4A79" w:rsidRPr="00015A4E" w:rsidRDefault="006B4A79" w:rsidP="006B4A79">
      <w:pPr>
        <w:pStyle w:val="Prrafodelista"/>
        <w:ind w:left="1080"/>
        <w:contextualSpacing/>
        <w:jc w:val="center"/>
        <w:rPr>
          <w:rFonts w:ascii="Arial" w:hAnsi="Arial" w:cs="Arial"/>
          <w:b/>
        </w:rPr>
      </w:pPr>
      <w:r w:rsidRPr="00015A4E">
        <w:rPr>
          <w:rFonts w:ascii="Arial" w:hAnsi="Arial" w:cs="Arial"/>
          <w:b/>
        </w:rPr>
        <w:t xml:space="preserve">Al </w:t>
      </w:r>
      <w:r w:rsidR="00315DD2">
        <w:rPr>
          <w:rFonts w:ascii="Arial" w:hAnsi="Arial" w:cs="Arial"/>
          <w:b/>
        </w:rPr>
        <w:t>3</w:t>
      </w:r>
      <w:r w:rsidR="00876142">
        <w:rPr>
          <w:rFonts w:ascii="Arial" w:hAnsi="Arial" w:cs="Arial"/>
          <w:b/>
        </w:rPr>
        <w:t>1</w:t>
      </w:r>
      <w:r w:rsidR="00315DD2">
        <w:rPr>
          <w:rFonts w:ascii="Arial" w:hAnsi="Arial" w:cs="Arial"/>
          <w:b/>
        </w:rPr>
        <w:t xml:space="preserve"> de </w:t>
      </w:r>
      <w:r w:rsidR="00876142">
        <w:rPr>
          <w:rFonts w:ascii="Arial" w:hAnsi="Arial" w:cs="Arial"/>
          <w:b/>
        </w:rPr>
        <w:t>diciembre</w:t>
      </w:r>
      <w:r w:rsidR="00912272">
        <w:rPr>
          <w:rFonts w:ascii="Arial" w:hAnsi="Arial" w:cs="Arial"/>
          <w:b/>
        </w:rPr>
        <w:t xml:space="preserve"> </w:t>
      </w:r>
      <w:r w:rsidRPr="00015A4E">
        <w:rPr>
          <w:rFonts w:ascii="Arial" w:hAnsi="Arial" w:cs="Arial"/>
          <w:b/>
        </w:rPr>
        <w:t>del 201</w:t>
      </w:r>
      <w:r w:rsidR="007358E2">
        <w:rPr>
          <w:rFonts w:ascii="Arial" w:hAnsi="Arial" w:cs="Arial"/>
          <w:b/>
        </w:rPr>
        <w:t>7</w:t>
      </w:r>
      <w:r w:rsidRPr="00015A4E">
        <w:rPr>
          <w:rFonts w:ascii="Arial" w:hAnsi="Arial" w:cs="Arial"/>
          <w:b/>
        </w:rPr>
        <w:t xml:space="preserve"> y 201</w:t>
      </w:r>
      <w:r w:rsidR="007358E2">
        <w:rPr>
          <w:rFonts w:ascii="Arial" w:hAnsi="Arial" w:cs="Arial"/>
          <w:b/>
        </w:rPr>
        <w:t>8</w:t>
      </w:r>
    </w:p>
    <w:p w:rsidR="00353A87" w:rsidRPr="006B4A79" w:rsidRDefault="006B4A79" w:rsidP="006B4A79">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10915" w:type="dxa"/>
        <w:tblInd w:w="-497" w:type="dxa"/>
        <w:tblCellMar>
          <w:left w:w="70" w:type="dxa"/>
          <w:right w:w="70" w:type="dxa"/>
        </w:tblCellMar>
        <w:tblLook w:val="04A0" w:firstRow="1" w:lastRow="0" w:firstColumn="1" w:lastColumn="0" w:noHBand="0" w:noVBand="1"/>
      </w:tblPr>
      <w:tblGrid>
        <w:gridCol w:w="3132"/>
        <w:gridCol w:w="696"/>
        <w:gridCol w:w="1984"/>
        <w:gridCol w:w="1985"/>
        <w:gridCol w:w="1701"/>
        <w:gridCol w:w="1417"/>
      </w:tblGrid>
      <w:tr w:rsidR="009F3BBB" w:rsidRPr="009F3BBB" w:rsidTr="009F3BBB">
        <w:trPr>
          <w:trHeight w:val="219"/>
        </w:trPr>
        <w:tc>
          <w:tcPr>
            <w:tcW w:w="3132"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9F3BBB" w:rsidRPr="009F3BBB" w:rsidRDefault="009F3BBB" w:rsidP="009F3BBB">
            <w:pPr>
              <w:jc w:val="cente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Detalle</w:t>
            </w:r>
          </w:p>
        </w:tc>
        <w:tc>
          <w:tcPr>
            <w:tcW w:w="696"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9F3BBB" w:rsidRPr="009F3BBB" w:rsidRDefault="009F3BBB" w:rsidP="009F3BBB">
            <w:pPr>
              <w:jc w:val="cente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Nota</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9F3BBB" w:rsidRPr="009F3BBB" w:rsidRDefault="009F3BBB" w:rsidP="009F3BBB">
            <w:pPr>
              <w:jc w:val="cente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Saldos a Diciembre 2017</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9F3BBB" w:rsidRPr="009F3BBB" w:rsidRDefault="009F3BBB" w:rsidP="009F3BBB">
            <w:pPr>
              <w:jc w:val="cente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Saldo a Diciembre 2018</w:t>
            </w:r>
          </w:p>
        </w:tc>
        <w:tc>
          <w:tcPr>
            <w:tcW w:w="3118" w:type="dxa"/>
            <w:gridSpan w:val="2"/>
            <w:tcBorders>
              <w:top w:val="single" w:sz="8" w:space="0" w:color="auto"/>
              <w:left w:val="nil"/>
              <w:bottom w:val="single" w:sz="8" w:space="0" w:color="auto"/>
              <w:right w:val="single" w:sz="8" w:space="0" w:color="000000"/>
            </w:tcBorders>
            <w:shd w:val="clear" w:color="000000" w:fill="00B050"/>
            <w:vAlign w:val="bottom"/>
            <w:hideMark/>
          </w:tcPr>
          <w:p w:rsidR="009F3BBB" w:rsidRPr="009F3BBB" w:rsidRDefault="009F3BBB" w:rsidP="009F3BBB">
            <w:pPr>
              <w:jc w:val="cente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Variación</w:t>
            </w:r>
          </w:p>
        </w:tc>
      </w:tr>
      <w:tr w:rsidR="009F3BBB" w:rsidRPr="009F3BBB" w:rsidTr="009F3BBB">
        <w:trPr>
          <w:trHeight w:val="219"/>
        </w:trPr>
        <w:tc>
          <w:tcPr>
            <w:tcW w:w="3132" w:type="dxa"/>
            <w:vMerge/>
            <w:tcBorders>
              <w:top w:val="single" w:sz="8" w:space="0" w:color="auto"/>
              <w:left w:val="single" w:sz="8" w:space="0" w:color="auto"/>
              <w:bottom w:val="single" w:sz="8" w:space="0" w:color="000000"/>
              <w:right w:val="single" w:sz="8" w:space="0" w:color="auto"/>
            </w:tcBorders>
            <w:vAlign w:val="center"/>
            <w:hideMark/>
          </w:tcPr>
          <w:p w:rsidR="009F3BBB" w:rsidRPr="009F3BBB" w:rsidRDefault="009F3BBB" w:rsidP="009F3BBB">
            <w:pPr>
              <w:rPr>
                <w:rFonts w:ascii="Arial" w:eastAsia="Times New Roman" w:hAnsi="Arial" w:cs="Arial"/>
                <w:b/>
                <w:bCs/>
                <w:color w:val="000000"/>
                <w:sz w:val="14"/>
                <w:szCs w:val="14"/>
                <w:lang w:eastAsia="es-CR"/>
              </w:rPr>
            </w:pPr>
          </w:p>
        </w:tc>
        <w:tc>
          <w:tcPr>
            <w:tcW w:w="696" w:type="dxa"/>
            <w:vMerge/>
            <w:tcBorders>
              <w:top w:val="single" w:sz="8" w:space="0" w:color="auto"/>
              <w:left w:val="single" w:sz="8" w:space="0" w:color="auto"/>
              <w:bottom w:val="single" w:sz="8" w:space="0" w:color="000000"/>
              <w:right w:val="single" w:sz="8" w:space="0" w:color="auto"/>
            </w:tcBorders>
            <w:vAlign w:val="center"/>
            <w:hideMark/>
          </w:tcPr>
          <w:p w:rsidR="009F3BBB" w:rsidRPr="009F3BBB" w:rsidRDefault="009F3BBB" w:rsidP="009F3BBB">
            <w:pPr>
              <w:rPr>
                <w:rFonts w:ascii="Arial" w:eastAsia="Times New Roman" w:hAnsi="Arial" w:cs="Arial"/>
                <w:b/>
                <w:bCs/>
                <w:color w:val="000000"/>
                <w:sz w:val="14"/>
                <w:szCs w:val="14"/>
                <w:lang w:eastAsia="es-CR"/>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9F3BBB" w:rsidRPr="009F3BBB" w:rsidRDefault="009F3BBB" w:rsidP="009F3BBB">
            <w:pPr>
              <w:rPr>
                <w:rFonts w:ascii="Arial" w:eastAsia="Times New Roman" w:hAnsi="Arial" w:cs="Arial"/>
                <w:b/>
                <w:bCs/>
                <w:color w:val="000000"/>
                <w:sz w:val="14"/>
                <w:szCs w:val="14"/>
                <w:lang w:eastAsia="es-CR"/>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9F3BBB" w:rsidRPr="009F3BBB" w:rsidRDefault="009F3BBB" w:rsidP="009F3BBB">
            <w:pPr>
              <w:rPr>
                <w:rFonts w:ascii="Arial" w:eastAsia="Times New Roman" w:hAnsi="Arial" w:cs="Arial"/>
                <w:b/>
                <w:bCs/>
                <w:color w:val="000000"/>
                <w:sz w:val="14"/>
                <w:szCs w:val="14"/>
                <w:lang w:eastAsia="es-CR"/>
              </w:rPr>
            </w:pPr>
          </w:p>
        </w:tc>
        <w:tc>
          <w:tcPr>
            <w:tcW w:w="1701" w:type="dxa"/>
            <w:tcBorders>
              <w:top w:val="nil"/>
              <w:left w:val="nil"/>
              <w:bottom w:val="single" w:sz="8" w:space="0" w:color="auto"/>
              <w:right w:val="single" w:sz="8" w:space="0" w:color="auto"/>
            </w:tcBorders>
            <w:shd w:val="clear" w:color="000000" w:fill="00B050"/>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Absoluta</w:t>
            </w:r>
          </w:p>
        </w:tc>
        <w:tc>
          <w:tcPr>
            <w:tcW w:w="1417" w:type="dxa"/>
            <w:tcBorders>
              <w:top w:val="nil"/>
              <w:left w:val="nil"/>
              <w:bottom w:val="single" w:sz="8" w:space="0" w:color="auto"/>
              <w:right w:val="single" w:sz="8" w:space="0" w:color="auto"/>
            </w:tcBorders>
            <w:shd w:val="clear" w:color="000000" w:fill="00B050"/>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Relativa</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ACTIVOS</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u w:val="single"/>
                <w:lang w:eastAsia="es-CR"/>
              </w:rPr>
            </w:pPr>
            <w:r w:rsidRPr="009F3BBB">
              <w:rPr>
                <w:rFonts w:ascii="Arial" w:eastAsia="Times New Roman" w:hAnsi="Arial" w:cs="Arial"/>
                <w:b/>
                <w:bCs/>
                <w:color w:val="000000"/>
                <w:sz w:val="14"/>
                <w:szCs w:val="14"/>
                <w:u w:val="single"/>
                <w:lang w:eastAsia="es-CR"/>
              </w:rPr>
              <w:t xml:space="preserve">Activos Corrientes </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Efectivo del Fideicomiso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4</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5.169.958,99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3.044.646,30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2.125.312,69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-41%</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Efectivo del Fideicomiso restringido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0,01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0,01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0%</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Disponibilidades en Cuenta Corriente</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4</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1.340.162,80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293.328,60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1.046.834,20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-78%</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Tesorería nacional Caja Única del Estado </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5</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1.705.445.591,30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1.241.688.963,87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- 463.756.627,43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-27%</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Anticipo a Proveedores</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6</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1.662.017,14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669.910,35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992.106,79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-60%</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Otras cuentas por cobrar</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7</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202.873,26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1.587.469,19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1.384.595,93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682%</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Cartera de Crédito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8</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146.135.763,13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194.634.775,14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48.499.012,01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33%</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Total Activo Corrientes</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1.859.956.366,63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1.441.919.093,46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- 418.037.273,17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-22%</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u w:val="single"/>
                <w:lang w:eastAsia="es-CR"/>
              </w:rPr>
            </w:pPr>
            <w:r w:rsidRPr="009F3BBB">
              <w:rPr>
                <w:rFonts w:ascii="Arial" w:eastAsia="Times New Roman" w:hAnsi="Arial" w:cs="Arial"/>
                <w:b/>
                <w:bCs/>
                <w:color w:val="000000"/>
                <w:sz w:val="14"/>
                <w:szCs w:val="14"/>
                <w:u w:val="single"/>
                <w:lang w:eastAsia="es-CR"/>
              </w:rPr>
              <w:t>Activos no Corrientes</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Tesorería nacionbal Caja Única del Estado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5</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Cartera de Crédito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8</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2.424.041.604,96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2.766.653.069,03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342.611.464,07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14%</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Gastos Judiciales de cartera de crédito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9</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18.551.760,86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17.476.300,10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1.075.460,76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-6%</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Propiedad Planta y Equipo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10</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339.609.100,30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400.248.202,12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60.639.101,82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18%</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Bienes y valores Adquir. Recup. Creditos de Vivienda</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11</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85.634.655,26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83.913.469,27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1.721.185,99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Activos Intangibles</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12</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7.531.981,71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14.307.160,89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6.775.179,18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90%</w:t>
            </w:r>
          </w:p>
        </w:tc>
      </w:tr>
      <w:tr w:rsidR="009F3BBB" w:rsidRPr="009F3BBB" w:rsidTr="009F3BBB">
        <w:trPr>
          <w:trHeight w:val="219"/>
        </w:trPr>
        <w:tc>
          <w:tcPr>
            <w:tcW w:w="3132" w:type="dxa"/>
            <w:tcBorders>
              <w:top w:val="nil"/>
              <w:left w:val="single" w:sz="8" w:space="0" w:color="auto"/>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Total activos no corrientes</w:t>
            </w:r>
          </w:p>
        </w:tc>
        <w:tc>
          <w:tcPr>
            <w:tcW w:w="696"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4"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2.875.369.103,09 </w:t>
            </w:r>
          </w:p>
        </w:tc>
        <w:tc>
          <w:tcPr>
            <w:tcW w:w="1985"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3.282.598.201,41 </w:t>
            </w:r>
          </w:p>
        </w:tc>
        <w:tc>
          <w:tcPr>
            <w:tcW w:w="1701"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407.229.098,32 </w:t>
            </w:r>
          </w:p>
        </w:tc>
        <w:tc>
          <w:tcPr>
            <w:tcW w:w="1417"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14%</w:t>
            </w:r>
          </w:p>
        </w:tc>
      </w:tr>
      <w:tr w:rsidR="009F3BBB" w:rsidRPr="009F3BBB" w:rsidTr="009F3BBB">
        <w:trPr>
          <w:trHeight w:val="219"/>
        </w:trPr>
        <w:tc>
          <w:tcPr>
            <w:tcW w:w="3132" w:type="dxa"/>
            <w:tcBorders>
              <w:top w:val="nil"/>
              <w:left w:val="single" w:sz="8" w:space="0" w:color="auto"/>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TOTAL ACTIVOS</w:t>
            </w:r>
          </w:p>
        </w:tc>
        <w:tc>
          <w:tcPr>
            <w:tcW w:w="696"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4"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4.735.325.469,72 </w:t>
            </w:r>
          </w:p>
        </w:tc>
        <w:tc>
          <w:tcPr>
            <w:tcW w:w="1985"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4.724.517.294,87 </w:t>
            </w:r>
          </w:p>
        </w:tc>
        <w:tc>
          <w:tcPr>
            <w:tcW w:w="1701"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10.808.174,85 </w:t>
            </w:r>
          </w:p>
        </w:tc>
        <w:tc>
          <w:tcPr>
            <w:tcW w:w="1417"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0%</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PASIVO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u w:val="single"/>
                <w:lang w:eastAsia="es-CR"/>
              </w:rPr>
            </w:pPr>
            <w:r w:rsidRPr="009F3BBB">
              <w:rPr>
                <w:rFonts w:ascii="Arial" w:eastAsia="Times New Roman" w:hAnsi="Arial" w:cs="Arial"/>
                <w:b/>
                <w:bCs/>
                <w:color w:val="000000"/>
                <w:sz w:val="14"/>
                <w:szCs w:val="14"/>
                <w:u w:val="single"/>
                <w:lang w:eastAsia="es-CR"/>
              </w:rPr>
              <w:t>Pasivo Corriente</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Comisiones por pagar al Fideicomiso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13</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10.226.712,63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10.226.712,63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-100%</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Cuentas por pagar y Provisiones</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14</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16.265.658,33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11.066.169,49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5.199.488,84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-32%</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Sumas Recibidas por Vta. De Bienes y Valores Adquiridos en Recup. De Créditos</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14</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994.250,01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994.250,01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-100%</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Impuesto al salario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15</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163.680,65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163.680,65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-100%</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Intereses Ganados s/ carteras de crédito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16</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930.373,59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1.379.445,52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449.071,93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48%</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Impuestos municipales por pagar</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17</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420.549,05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420.549,05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0%</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Total Pasivo Corriente</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28.580.675,21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12.866.164,06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15.714.511,15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-55%</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Pasivo No Corriente</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Garantía de cumplimiento</w:t>
            </w:r>
          </w:p>
        </w:tc>
        <w:tc>
          <w:tcPr>
            <w:tcW w:w="696"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18</w:t>
            </w:r>
          </w:p>
        </w:tc>
        <w:tc>
          <w:tcPr>
            <w:tcW w:w="1984"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3.384.143,51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3.009.143,51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375.000,00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-11%</w:t>
            </w:r>
          </w:p>
        </w:tc>
      </w:tr>
      <w:tr w:rsidR="009F3BBB" w:rsidRPr="009F3BBB" w:rsidTr="009F3BBB">
        <w:trPr>
          <w:trHeight w:val="219"/>
        </w:trPr>
        <w:tc>
          <w:tcPr>
            <w:tcW w:w="3132" w:type="dxa"/>
            <w:tcBorders>
              <w:top w:val="nil"/>
              <w:left w:val="single" w:sz="8" w:space="0" w:color="auto"/>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Total Pasivo no Corriente</w:t>
            </w:r>
          </w:p>
        </w:tc>
        <w:tc>
          <w:tcPr>
            <w:tcW w:w="696"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3.384.143,51 </w:t>
            </w:r>
          </w:p>
        </w:tc>
        <w:tc>
          <w:tcPr>
            <w:tcW w:w="1985"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3.009.143,51 </w:t>
            </w:r>
          </w:p>
        </w:tc>
        <w:tc>
          <w:tcPr>
            <w:tcW w:w="1701"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375.000,00 </w:t>
            </w:r>
          </w:p>
        </w:tc>
        <w:tc>
          <w:tcPr>
            <w:tcW w:w="1417"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-11%</w:t>
            </w:r>
          </w:p>
        </w:tc>
      </w:tr>
      <w:tr w:rsidR="009F3BBB" w:rsidRPr="009F3BBB" w:rsidTr="009F3BBB">
        <w:trPr>
          <w:trHeight w:val="219"/>
        </w:trPr>
        <w:tc>
          <w:tcPr>
            <w:tcW w:w="3132" w:type="dxa"/>
            <w:tcBorders>
              <w:top w:val="nil"/>
              <w:left w:val="single" w:sz="8" w:space="0" w:color="auto"/>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TOTAL PASIVO</w:t>
            </w:r>
          </w:p>
        </w:tc>
        <w:tc>
          <w:tcPr>
            <w:tcW w:w="696"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31.964.818,72 </w:t>
            </w:r>
          </w:p>
        </w:tc>
        <w:tc>
          <w:tcPr>
            <w:tcW w:w="1985"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15.875.307,57 </w:t>
            </w:r>
          </w:p>
        </w:tc>
        <w:tc>
          <w:tcPr>
            <w:tcW w:w="1701"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16.089.511,15 </w:t>
            </w:r>
          </w:p>
        </w:tc>
        <w:tc>
          <w:tcPr>
            <w:tcW w:w="1417"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-50%</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PATRIMONIO</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Aportaciones de fideicomitentes netas</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19</w:t>
            </w:r>
          </w:p>
        </w:tc>
        <w:tc>
          <w:tcPr>
            <w:tcW w:w="1984"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4.467.934.479,61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4.827.805.782,51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359.871.302,90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8%</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Superávit por revaluación netas</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20</w:t>
            </w:r>
          </w:p>
        </w:tc>
        <w:tc>
          <w:tcPr>
            <w:tcW w:w="1984"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131.367.000,00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131.367.000,00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Utilidades o pérdidas acumuladas</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21</w:t>
            </w:r>
          </w:p>
        </w:tc>
        <w:tc>
          <w:tcPr>
            <w:tcW w:w="1984"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711.360.042,27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104.059.171,39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- 607.300.870,88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-85%</w:t>
            </w:r>
          </w:p>
        </w:tc>
      </w:tr>
      <w:tr w:rsidR="009F3BBB" w:rsidRPr="009F3BBB" w:rsidTr="009F3BBB">
        <w:trPr>
          <w:trHeight w:val="209"/>
        </w:trPr>
        <w:tc>
          <w:tcPr>
            <w:tcW w:w="3132"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Utilidad o Pérdidad del Periodo</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22</w:t>
            </w:r>
          </w:p>
        </w:tc>
        <w:tc>
          <w:tcPr>
            <w:tcW w:w="1984" w:type="dxa"/>
            <w:tcBorders>
              <w:top w:val="nil"/>
              <w:left w:val="single" w:sz="8" w:space="0" w:color="auto"/>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607.300.870,88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354.589.966,60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252.710.904,28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-42%</w:t>
            </w:r>
          </w:p>
        </w:tc>
      </w:tr>
      <w:tr w:rsidR="009F3BBB" w:rsidRPr="009F3BBB" w:rsidTr="009F3BBB">
        <w:trPr>
          <w:trHeight w:val="219"/>
        </w:trPr>
        <w:tc>
          <w:tcPr>
            <w:tcW w:w="3132" w:type="dxa"/>
            <w:tcBorders>
              <w:top w:val="nil"/>
              <w:left w:val="single" w:sz="8" w:space="0" w:color="auto"/>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Total Patrimonio</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4" w:type="dxa"/>
            <w:tcBorders>
              <w:top w:val="nil"/>
              <w:left w:val="single" w:sz="8" w:space="0" w:color="auto"/>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4.703.360.651,00 </w:t>
            </w:r>
          </w:p>
        </w:tc>
        <w:tc>
          <w:tcPr>
            <w:tcW w:w="1985"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4.708.641.987,30 </w:t>
            </w:r>
          </w:p>
        </w:tc>
        <w:tc>
          <w:tcPr>
            <w:tcW w:w="1701"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5.281.336,30 </w:t>
            </w:r>
          </w:p>
        </w:tc>
        <w:tc>
          <w:tcPr>
            <w:tcW w:w="1417"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0%</w:t>
            </w:r>
          </w:p>
        </w:tc>
      </w:tr>
      <w:tr w:rsidR="009F3BBB" w:rsidRPr="009F3BBB" w:rsidTr="009F3BBB">
        <w:trPr>
          <w:trHeight w:val="219"/>
        </w:trPr>
        <w:tc>
          <w:tcPr>
            <w:tcW w:w="3132" w:type="dxa"/>
            <w:tcBorders>
              <w:top w:val="nil"/>
              <w:left w:val="single" w:sz="8" w:space="0" w:color="auto"/>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TOTAL PASIVO + PATRIMONIO</w:t>
            </w:r>
          </w:p>
        </w:tc>
        <w:tc>
          <w:tcPr>
            <w:tcW w:w="696" w:type="dxa"/>
            <w:tcBorders>
              <w:top w:val="single" w:sz="8" w:space="0" w:color="auto"/>
              <w:left w:val="nil"/>
              <w:bottom w:val="single" w:sz="8" w:space="0" w:color="auto"/>
              <w:right w:val="single" w:sz="8" w:space="0" w:color="auto"/>
            </w:tcBorders>
            <w:shd w:val="clear" w:color="000000" w:fill="FFFFFF"/>
            <w:noWrap/>
            <w:vAlign w:val="bottom"/>
            <w:hideMark/>
          </w:tcPr>
          <w:p w:rsidR="009F3BBB" w:rsidRPr="009F3BBB" w:rsidRDefault="009F3BBB" w:rsidP="009F3BBB">
            <w:pPr>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w:t>
            </w:r>
          </w:p>
        </w:tc>
        <w:tc>
          <w:tcPr>
            <w:tcW w:w="1984"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4.735.325.469,72 </w:t>
            </w:r>
          </w:p>
        </w:tc>
        <w:tc>
          <w:tcPr>
            <w:tcW w:w="1985"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b/>
                <w:bCs/>
                <w:color w:val="000000"/>
                <w:sz w:val="14"/>
                <w:szCs w:val="14"/>
                <w:lang w:eastAsia="es-CR"/>
              </w:rPr>
            </w:pPr>
            <w:r w:rsidRPr="009F3BBB">
              <w:rPr>
                <w:rFonts w:ascii="Arial" w:eastAsia="Times New Roman" w:hAnsi="Arial" w:cs="Arial"/>
                <w:b/>
                <w:bCs/>
                <w:color w:val="000000"/>
                <w:sz w:val="14"/>
                <w:szCs w:val="14"/>
                <w:lang w:eastAsia="es-CR"/>
              </w:rPr>
              <w:t xml:space="preserve">              4.724.517.294,87 </w:t>
            </w:r>
          </w:p>
        </w:tc>
        <w:tc>
          <w:tcPr>
            <w:tcW w:w="1701"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10.808.174,85 </w:t>
            </w:r>
          </w:p>
        </w:tc>
        <w:tc>
          <w:tcPr>
            <w:tcW w:w="1417" w:type="dxa"/>
            <w:tcBorders>
              <w:top w:val="nil"/>
              <w:left w:val="nil"/>
              <w:bottom w:val="single" w:sz="8" w:space="0" w:color="auto"/>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0%</w:t>
            </w:r>
          </w:p>
        </w:tc>
      </w:tr>
      <w:tr w:rsidR="009F3BBB" w:rsidRPr="009F3BBB" w:rsidTr="009F3BBB">
        <w:trPr>
          <w:trHeight w:val="209"/>
        </w:trPr>
        <w:tc>
          <w:tcPr>
            <w:tcW w:w="3132" w:type="dxa"/>
            <w:tcBorders>
              <w:top w:val="nil"/>
              <w:left w:val="single" w:sz="8" w:space="0" w:color="auto"/>
              <w:bottom w:val="nil"/>
              <w:right w:val="nil"/>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Cuentas de orden Acredoras</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23</w:t>
            </w:r>
          </w:p>
        </w:tc>
        <w:tc>
          <w:tcPr>
            <w:tcW w:w="1984" w:type="dxa"/>
            <w:tcBorders>
              <w:top w:val="nil"/>
              <w:left w:val="nil"/>
              <w:bottom w:val="nil"/>
              <w:right w:val="nil"/>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44.873.966,75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44.115.803,26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758.163,49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w:t>
            </w:r>
          </w:p>
        </w:tc>
      </w:tr>
      <w:tr w:rsidR="009F3BBB" w:rsidRPr="009F3BBB" w:rsidTr="009F3BBB">
        <w:trPr>
          <w:trHeight w:val="219"/>
        </w:trPr>
        <w:tc>
          <w:tcPr>
            <w:tcW w:w="3132" w:type="dxa"/>
            <w:tcBorders>
              <w:top w:val="nil"/>
              <w:left w:val="single" w:sz="8" w:space="0" w:color="auto"/>
              <w:bottom w:val="nil"/>
              <w:right w:val="nil"/>
            </w:tcBorders>
            <w:shd w:val="clear" w:color="000000" w:fill="FFFFFF"/>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Cuentas de orden  Deudoras</w:t>
            </w:r>
          </w:p>
        </w:tc>
        <w:tc>
          <w:tcPr>
            <w:tcW w:w="696" w:type="dxa"/>
            <w:tcBorders>
              <w:top w:val="nil"/>
              <w:left w:val="nil"/>
              <w:bottom w:val="nil"/>
              <w:right w:val="nil"/>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23</w:t>
            </w:r>
          </w:p>
        </w:tc>
        <w:tc>
          <w:tcPr>
            <w:tcW w:w="1984" w:type="dxa"/>
            <w:tcBorders>
              <w:top w:val="nil"/>
              <w:left w:val="nil"/>
              <w:bottom w:val="nil"/>
              <w:right w:val="nil"/>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44.873.966,75 </w:t>
            </w:r>
          </w:p>
        </w:tc>
        <w:tc>
          <w:tcPr>
            <w:tcW w:w="1985"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44.115.803,26 </w:t>
            </w:r>
          </w:p>
        </w:tc>
        <w:tc>
          <w:tcPr>
            <w:tcW w:w="1701"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xml:space="preserve">-         758.163,49 </w:t>
            </w:r>
          </w:p>
        </w:tc>
        <w:tc>
          <w:tcPr>
            <w:tcW w:w="1417" w:type="dxa"/>
            <w:tcBorders>
              <w:top w:val="nil"/>
              <w:left w:val="nil"/>
              <w:bottom w:val="nil"/>
              <w:right w:val="single" w:sz="8" w:space="0" w:color="auto"/>
            </w:tcBorders>
            <w:shd w:val="clear" w:color="000000" w:fill="FFFFFF"/>
            <w:noWrap/>
            <w:vAlign w:val="bottom"/>
            <w:hideMark/>
          </w:tcPr>
          <w:p w:rsidR="009F3BBB" w:rsidRPr="009F3BBB" w:rsidRDefault="009F3BBB" w:rsidP="009F3BBB">
            <w:pPr>
              <w:jc w:val="right"/>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-2%</w:t>
            </w:r>
          </w:p>
        </w:tc>
      </w:tr>
      <w:tr w:rsidR="009F3BBB" w:rsidRPr="009F3BBB" w:rsidTr="009F3BBB">
        <w:trPr>
          <w:trHeight w:val="219"/>
        </w:trPr>
        <w:tc>
          <w:tcPr>
            <w:tcW w:w="3132" w:type="dxa"/>
            <w:tcBorders>
              <w:top w:val="single" w:sz="8" w:space="0" w:color="auto"/>
              <w:left w:val="single" w:sz="8" w:space="0" w:color="auto"/>
              <w:bottom w:val="single" w:sz="8" w:space="0" w:color="auto"/>
              <w:right w:val="nil"/>
            </w:tcBorders>
            <w:shd w:val="clear" w:color="000000" w:fill="00B050"/>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696" w:type="dxa"/>
            <w:tcBorders>
              <w:top w:val="single" w:sz="8" w:space="0" w:color="auto"/>
              <w:left w:val="nil"/>
              <w:bottom w:val="single" w:sz="8" w:space="0" w:color="auto"/>
              <w:right w:val="nil"/>
            </w:tcBorders>
            <w:shd w:val="clear" w:color="000000" w:fill="00B050"/>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4" w:type="dxa"/>
            <w:tcBorders>
              <w:top w:val="single" w:sz="8" w:space="0" w:color="auto"/>
              <w:left w:val="nil"/>
              <w:bottom w:val="single" w:sz="8" w:space="0" w:color="auto"/>
              <w:right w:val="nil"/>
            </w:tcBorders>
            <w:shd w:val="clear" w:color="000000" w:fill="00B050"/>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985" w:type="dxa"/>
            <w:tcBorders>
              <w:top w:val="single" w:sz="8" w:space="0" w:color="auto"/>
              <w:left w:val="nil"/>
              <w:bottom w:val="single" w:sz="8" w:space="0" w:color="auto"/>
              <w:right w:val="nil"/>
            </w:tcBorders>
            <w:shd w:val="clear" w:color="000000" w:fill="00B050"/>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701" w:type="dxa"/>
            <w:tcBorders>
              <w:top w:val="single" w:sz="8" w:space="0" w:color="auto"/>
              <w:left w:val="nil"/>
              <w:bottom w:val="single" w:sz="8" w:space="0" w:color="auto"/>
              <w:right w:val="nil"/>
            </w:tcBorders>
            <w:shd w:val="clear" w:color="000000" w:fill="00B050"/>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c>
          <w:tcPr>
            <w:tcW w:w="1417" w:type="dxa"/>
            <w:tcBorders>
              <w:top w:val="single" w:sz="8" w:space="0" w:color="auto"/>
              <w:left w:val="nil"/>
              <w:bottom w:val="single" w:sz="8" w:space="0" w:color="auto"/>
              <w:right w:val="single" w:sz="8" w:space="0" w:color="auto"/>
            </w:tcBorders>
            <w:shd w:val="clear" w:color="000000" w:fill="00B050"/>
            <w:noWrap/>
            <w:vAlign w:val="bottom"/>
            <w:hideMark/>
          </w:tcPr>
          <w:p w:rsidR="009F3BBB" w:rsidRPr="009F3BBB" w:rsidRDefault="009F3BBB" w:rsidP="009F3BBB">
            <w:pPr>
              <w:rPr>
                <w:rFonts w:ascii="Arial" w:eastAsia="Times New Roman" w:hAnsi="Arial" w:cs="Arial"/>
                <w:color w:val="000000"/>
                <w:sz w:val="14"/>
                <w:szCs w:val="14"/>
                <w:lang w:eastAsia="es-CR"/>
              </w:rPr>
            </w:pPr>
            <w:r w:rsidRPr="009F3BBB">
              <w:rPr>
                <w:rFonts w:ascii="Arial" w:eastAsia="Times New Roman" w:hAnsi="Arial" w:cs="Arial"/>
                <w:color w:val="000000"/>
                <w:sz w:val="14"/>
                <w:szCs w:val="14"/>
                <w:lang w:eastAsia="es-CR"/>
              </w:rPr>
              <w:t> </w:t>
            </w:r>
          </w:p>
        </w:tc>
      </w:tr>
    </w:tbl>
    <w:p w:rsidR="00A863BD" w:rsidRDefault="00A863BD" w:rsidP="00C470ED">
      <w:pPr>
        <w:tabs>
          <w:tab w:val="left" w:pos="2775"/>
          <w:tab w:val="center" w:pos="5035"/>
        </w:tabs>
        <w:rPr>
          <w:rFonts w:ascii="Arial" w:hAnsi="Arial" w:cs="Arial"/>
          <w:b/>
          <w:sz w:val="22"/>
          <w:szCs w:val="22"/>
        </w:rPr>
      </w:pPr>
    </w:p>
    <w:p w:rsidR="00D50FE8" w:rsidRDefault="00D50FE8" w:rsidP="00C470ED">
      <w:pPr>
        <w:tabs>
          <w:tab w:val="left" w:pos="2775"/>
          <w:tab w:val="center" w:pos="5035"/>
        </w:tabs>
        <w:rPr>
          <w:rFonts w:ascii="Arial" w:hAnsi="Arial" w:cs="Arial"/>
          <w:b/>
          <w:sz w:val="22"/>
          <w:szCs w:val="22"/>
        </w:rPr>
      </w:pPr>
    </w:p>
    <w:p w:rsidR="00C470ED" w:rsidRPr="006B5875" w:rsidRDefault="00C470ED" w:rsidP="00C470ED">
      <w:pPr>
        <w:tabs>
          <w:tab w:val="left" w:pos="2775"/>
          <w:tab w:val="center" w:pos="5035"/>
        </w:tabs>
        <w:rPr>
          <w:rFonts w:ascii="Arial" w:hAnsi="Arial" w:cs="Arial"/>
          <w:b/>
          <w:sz w:val="22"/>
          <w:szCs w:val="22"/>
        </w:rPr>
      </w:pPr>
      <w:r w:rsidRPr="006B5875">
        <w:rPr>
          <w:rFonts w:ascii="Arial" w:hAnsi="Arial" w:cs="Arial"/>
          <w:b/>
          <w:sz w:val="22"/>
          <w:szCs w:val="22"/>
        </w:rPr>
        <w:t>Comentarios al Balance de Situación Financiera:</w:t>
      </w:r>
    </w:p>
    <w:p w:rsidR="000911A5" w:rsidRPr="006B5875" w:rsidRDefault="000911A5" w:rsidP="00C470ED">
      <w:pPr>
        <w:ind w:right="432"/>
        <w:jc w:val="both"/>
        <w:rPr>
          <w:rFonts w:ascii="Arial" w:hAnsi="Arial" w:cs="Arial"/>
          <w:sz w:val="22"/>
          <w:szCs w:val="22"/>
        </w:rPr>
      </w:pPr>
    </w:p>
    <w:p w:rsidR="00D445A3" w:rsidRPr="00CC01F0" w:rsidRDefault="00C470ED" w:rsidP="00C470ED">
      <w:pPr>
        <w:ind w:right="432"/>
        <w:jc w:val="both"/>
        <w:rPr>
          <w:rFonts w:ascii="Arial" w:hAnsi="Arial" w:cs="Arial"/>
          <w:sz w:val="22"/>
          <w:szCs w:val="22"/>
        </w:rPr>
      </w:pPr>
      <w:r w:rsidRPr="002B5B8D">
        <w:rPr>
          <w:rFonts w:ascii="Arial" w:hAnsi="Arial" w:cs="Arial"/>
          <w:sz w:val="22"/>
          <w:szCs w:val="22"/>
        </w:rPr>
        <w:t xml:space="preserve">Al cierre del </w:t>
      </w:r>
      <w:r w:rsidR="005338D9" w:rsidRPr="002B5B8D">
        <w:rPr>
          <w:rFonts w:ascii="Arial" w:hAnsi="Arial" w:cs="Arial"/>
          <w:sz w:val="22"/>
          <w:szCs w:val="22"/>
        </w:rPr>
        <w:t xml:space="preserve">segundo </w:t>
      </w:r>
      <w:r w:rsidR="00F11598" w:rsidRPr="002B5B8D">
        <w:rPr>
          <w:rFonts w:ascii="Arial" w:hAnsi="Arial" w:cs="Arial"/>
          <w:sz w:val="22"/>
          <w:szCs w:val="22"/>
        </w:rPr>
        <w:t>semestre</w:t>
      </w:r>
      <w:r w:rsidRPr="002B5B8D">
        <w:rPr>
          <w:rFonts w:ascii="Arial" w:hAnsi="Arial" w:cs="Arial"/>
          <w:sz w:val="22"/>
          <w:szCs w:val="22"/>
        </w:rPr>
        <w:t xml:space="preserve"> la institución cuenta con un activo total de ¢</w:t>
      </w:r>
      <w:r w:rsidR="005338D9" w:rsidRPr="002B5B8D">
        <w:rPr>
          <w:rFonts w:ascii="Arial" w:hAnsi="Arial" w:cs="Arial"/>
          <w:sz w:val="22"/>
          <w:szCs w:val="22"/>
        </w:rPr>
        <w:t>4.724.517,29</w:t>
      </w:r>
      <w:r w:rsidR="00717996" w:rsidRPr="002B5B8D">
        <w:rPr>
          <w:rFonts w:ascii="Arial" w:hAnsi="Arial" w:cs="Arial"/>
          <w:sz w:val="22"/>
          <w:szCs w:val="22"/>
        </w:rPr>
        <w:t xml:space="preserve"> </w:t>
      </w:r>
      <w:r w:rsidR="002B5B8D" w:rsidRPr="002B5B8D">
        <w:rPr>
          <w:rFonts w:ascii="Arial" w:hAnsi="Arial" w:cs="Arial"/>
          <w:sz w:val="22"/>
          <w:szCs w:val="22"/>
        </w:rPr>
        <w:t>mil, con</w:t>
      </w:r>
      <w:r w:rsidR="00F11598" w:rsidRPr="002B5B8D">
        <w:rPr>
          <w:rFonts w:ascii="Arial" w:hAnsi="Arial" w:cs="Arial"/>
          <w:sz w:val="22"/>
          <w:szCs w:val="22"/>
        </w:rPr>
        <w:t xml:space="preserve"> relación al mismo periodo del año anterior se aprecia </w:t>
      </w:r>
      <w:r w:rsidR="005338D9" w:rsidRPr="002B5B8D">
        <w:rPr>
          <w:rFonts w:ascii="Arial" w:hAnsi="Arial" w:cs="Arial"/>
          <w:sz w:val="22"/>
          <w:szCs w:val="22"/>
        </w:rPr>
        <w:t xml:space="preserve">un </w:t>
      </w:r>
      <w:r w:rsidR="00B90655" w:rsidRPr="002B5B8D">
        <w:rPr>
          <w:rFonts w:ascii="Arial" w:hAnsi="Arial" w:cs="Arial"/>
          <w:sz w:val="22"/>
          <w:szCs w:val="22"/>
        </w:rPr>
        <w:t xml:space="preserve">decremento de un </w:t>
      </w:r>
      <w:r w:rsidR="00F11598" w:rsidRPr="002B5B8D">
        <w:rPr>
          <w:rFonts w:ascii="Arial" w:hAnsi="Arial" w:cs="Arial"/>
          <w:sz w:val="22"/>
          <w:szCs w:val="22"/>
        </w:rPr>
        <w:t>-</w:t>
      </w:r>
      <w:r w:rsidR="005338D9" w:rsidRPr="002B5B8D">
        <w:rPr>
          <w:rFonts w:ascii="Arial" w:hAnsi="Arial" w:cs="Arial"/>
          <w:sz w:val="22"/>
          <w:szCs w:val="22"/>
        </w:rPr>
        <w:t>0.23</w:t>
      </w:r>
      <w:r w:rsidR="0001262A" w:rsidRPr="002B5B8D">
        <w:rPr>
          <w:rFonts w:ascii="Arial" w:hAnsi="Arial" w:cs="Arial"/>
          <w:sz w:val="22"/>
          <w:szCs w:val="22"/>
        </w:rPr>
        <w:t xml:space="preserve">%, </w:t>
      </w:r>
      <w:r w:rsidR="005338D9" w:rsidRPr="002B5B8D">
        <w:rPr>
          <w:rFonts w:ascii="Arial" w:hAnsi="Arial" w:cs="Arial"/>
          <w:sz w:val="22"/>
          <w:szCs w:val="22"/>
        </w:rPr>
        <w:t xml:space="preserve">para un monto absoluto de </w:t>
      </w:r>
      <w:r w:rsidR="00F11598" w:rsidRPr="002B5B8D">
        <w:rPr>
          <w:rFonts w:ascii="Arial" w:hAnsi="Arial" w:cs="Arial"/>
          <w:sz w:val="22"/>
          <w:szCs w:val="22"/>
        </w:rPr>
        <w:t>¢-1</w:t>
      </w:r>
      <w:r w:rsidR="005338D9" w:rsidRPr="002B5B8D">
        <w:rPr>
          <w:rFonts w:ascii="Arial" w:hAnsi="Arial" w:cs="Arial"/>
          <w:sz w:val="22"/>
          <w:szCs w:val="22"/>
        </w:rPr>
        <w:t>0.808,17</w:t>
      </w:r>
      <w:r w:rsidR="00717996" w:rsidRPr="002B5B8D">
        <w:rPr>
          <w:rFonts w:ascii="Arial" w:hAnsi="Arial" w:cs="Arial"/>
          <w:sz w:val="22"/>
          <w:szCs w:val="22"/>
        </w:rPr>
        <w:t xml:space="preserve"> mil</w:t>
      </w:r>
      <w:r w:rsidR="00F11598" w:rsidRPr="002B5B8D">
        <w:rPr>
          <w:rFonts w:ascii="Arial" w:hAnsi="Arial" w:cs="Arial"/>
          <w:sz w:val="22"/>
          <w:szCs w:val="22"/>
        </w:rPr>
        <w:t>.</w:t>
      </w:r>
      <w:r w:rsidR="00F11598" w:rsidRPr="000D5CB2">
        <w:rPr>
          <w:rFonts w:ascii="Arial" w:hAnsi="Arial" w:cs="Arial"/>
          <w:color w:val="FF0000"/>
          <w:sz w:val="22"/>
          <w:szCs w:val="22"/>
        </w:rPr>
        <w:t xml:space="preserve"> </w:t>
      </w:r>
      <w:r w:rsidR="00F11598" w:rsidRPr="00CC01F0">
        <w:rPr>
          <w:rFonts w:ascii="Arial" w:hAnsi="Arial" w:cs="Arial"/>
          <w:sz w:val="22"/>
          <w:szCs w:val="22"/>
        </w:rPr>
        <w:t>La mayor disminución se observa en los activos corrientes, especialmente en la</w:t>
      </w:r>
      <w:r w:rsidR="002B5B8D" w:rsidRPr="00CC01F0">
        <w:rPr>
          <w:rFonts w:ascii="Arial" w:hAnsi="Arial" w:cs="Arial"/>
          <w:sz w:val="22"/>
          <w:szCs w:val="22"/>
        </w:rPr>
        <w:t xml:space="preserve">s disponibilidades de </w:t>
      </w:r>
      <w:r w:rsidR="000E4167" w:rsidRPr="00CC01F0">
        <w:rPr>
          <w:rFonts w:ascii="Arial" w:hAnsi="Arial" w:cs="Arial"/>
          <w:sz w:val="22"/>
          <w:szCs w:val="22"/>
        </w:rPr>
        <w:t xml:space="preserve">cuenta corriente </w:t>
      </w:r>
      <w:r w:rsidR="00F11598" w:rsidRPr="00CC01F0">
        <w:rPr>
          <w:rFonts w:ascii="Arial" w:hAnsi="Arial" w:cs="Arial"/>
          <w:sz w:val="22"/>
          <w:szCs w:val="22"/>
        </w:rPr>
        <w:t xml:space="preserve">la cual presenta una disminución absoluta de </w:t>
      </w:r>
      <w:r w:rsidR="005B4F61" w:rsidRPr="00CC01F0">
        <w:rPr>
          <w:rFonts w:ascii="Arial" w:hAnsi="Arial" w:cs="Arial"/>
          <w:sz w:val="22"/>
          <w:szCs w:val="22"/>
        </w:rPr>
        <w:t>¢</w:t>
      </w:r>
      <w:r w:rsidR="000E4167" w:rsidRPr="00CC01F0">
        <w:rPr>
          <w:rFonts w:ascii="Arial" w:hAnsi="Arial" w:cs="Arial"/>
          <w:sz w:val="22"/>
          <w:szCs w:val="22"/>
        </w:rPr>
        <w:t>1.046,83</w:t>
      </w:r>
      <w:r w:rsidR="005B4F61" w:rsidRPr="00CC01F0">
        <w:rPr>
          <w:rFonts w:ascii="Arial" w:hAnsi="Arial" w:cs="Arial"/>
          <w:sz w:val="22"/>
          <w:szCs w:val="22"/>
        </w:rPr>
        <w:t xml:space="preserve"> lo que representa un</w:t>
      </w:r>
      <w:r w:rsidR="000E4167" w:rsidRPr="00CC01F0">
        <w:rPr>
          <w:rFonts w:ascii="Arial" w:hAnsi="Arial" w:cs="Arial"/>
          <w:sz w:val="22"/>
          <w:szCs w:val="22"/>
        </w:rPr>
        <w:t>a disminución de un</w:t>
      </w:r>
      <w:r w:rsidR="005B4F61" w:rsidRPr="00CC01F0">
        <w:rPr>
          <w:rFonts w:ascii="Arial" w:hAnsi="Arial" w:cs="Arial"/>
          <w:sz w:val="22"/>
          <w:szCs w:val="22"/>
        </w:rPr>
        <w:t xml:space="preserve"> -</w:t>
      </w:r>
      <w:r w:rsidR="000E4167" w:rsidRPr="00CC01F0">
        <w:rPr>
          <w:rFonts w:ascii="Arial" w:hAnsi="Arial" w:cs="Arial"/>
          <w:sz w:val="22"/>
          <w:szCs w:val="22"/>
        </w:rPr>
        <w:t>7</w:t>
      </w:r>
      <w:r w:rsidR="005B4F61" w:rsidRPr="00CC01F0">
        <w:rPr>
          <w:rFonts w:ascii="Arial" w:hAnsi="Arial" w:cs="Arial"/>
          <w:sz w:val="22"/>
          <w:szCs w:val="22"/>
        </w:rPr>
        <w:t xml:space="preserve">8% en términos relativos; </w:t>
      </w:r>
      <w:r w:rsidR="00CC01F0" w:rsidRPr="00CC01F0">
        <w:rPr>
          <w:rFonts w:ascii="Arial" w:hAnsi="Arial" w:cs="Arial"/>
          <w:sz w:val="22"/>
          <w:szCs w:val="22"/>
        </w:rPr>
        <w:t xml:space="preserve">por su parte </w:t>
      </w:r>
      <w:r w:rsidR="005B550F" w:rsidRPr="00CC01F0">
        <w:rPr>
          <w:rFonts w:ascii="Arial" w:hAnsi="Arial" w:cs="Arial"/>
          <w:sz w:val="22"/>
          <w:szCs w:val="22"/>
        </w:rPr>
        <w:t xml:space="preserve">los activos no corrientes </w:t>
      </w:r>
      <w:r w:rsidR="00CC01F0" w:rsidRPr="00CC01F0">
        <w:rPr>
          <w:rFonts w:ascii="Arial" w:hAnsi="Arial" w:cs="Arial"/>
          <w:sz w:val="22"/>
          <w:szCs w:val="22"/>
        </w:rPr>
        <w:t xml:space="preserve">en general más bien aumentaron con respecto al año anterior, tal es el caso de la propiedad planta y equipo, la cual tuvo un aumento de un 18% en términos relativos y de ¢60.639,10 en términos absolutos, así mismo los activos intangibles </w:t>
      </w:r>
      <w:r w:rsidR="005B550F" w:rsidRPr="00CC01F0">
        <w:rPr>
          <w:rFonts w:ascii="Arial" w:hAnsi="Arial" w:cs="Arial"/>
          <w:sz w:val="22"/>
          <w:szCs w:val="22"/>
        </w:rPr>
        <w:t>presentan</w:t>
      </w:r>
      <w:r w:rsidR="005B4F61" w:rsidRPr="00CC01F0">
        <w:rPr>
          <w:rFonts w:ascii="Arial" w:hAnsi="Arial" w:cs="Arial"/>
          <w:sz w:val="22"/>
          <w:szCs w:val="22"/>
        </w:rPr>
        <w:t xml:space="preserve"> un aumento del </w:t>
      </w:r>
      <w:r w:rsidR="00CC01F0" w:rsidRPr="00CC01F0">
        <w:rPr>
          <w:rFonts w:ascii="Arial" w:hAnsi="Arial" w:cs="Arial"/>
          <w:sz w:val="22"/>
          <w:szCs w:val="22"/>
        </w:rPr>
        <w:t>90</w:t>
      </w:r>
      <w:r w:rsidR="005B4F61" w:rsidRPr="00CC01F0">
        <w:rPr>
          <w:rFonts w:ascii="Arial" w:hAnsi="Arial" w:cs="Arial"/>
          <w:sz w:val="22"/>
          <w:szCs w:val="22"/>
        </w:rPr>
        <w:t>%</w:t>
      </w:r>
      <w:r w:rsidR="00CC01F0" w:rsidRPr="00CC01F0">
        <w:rPr>
          <w:rFonts w:ascii="Arial" w:hAnsi="Arial" w:cs="Arial"/>
          <w:sz w:val="22"/>
          <w:szCs w:val="22"/>
        </w:rPr>
        <w:t xml:space="preserve"> en términos relativos y de ¢6.775,18 en términos absolutos.</w:t>
      </w:r>
    </w:p>
    <w:p w:rsidR="00D445A3" w:rsidRPr="000D5CB2" w:rsidRDefault="00D445A3" w:rsidP="00C470ED">
      <w:pPr>
        <w:ind w:right="432"/>
        <w:jc w:val="both"/>
        <w:rPr>
          <w:rFonts w:ascii="Arial" w:hAnsi="Arial" w:cs="Arial"/>
          <w:color w:val="FF0000"/>
          <w:sz w:val="22"/>
          <w:szCs w:val="22"/>
        </w:rPr>
      </w:pPr>
    </w:p>
    <w:p w:rsidR="00D2534D" w:rsidRPr="000D5CB2" w:rsidRDefault="00D2534D" w:rsidP="00C470ED">
      <w:pPr>
        <w:ind w:right="432"/>
        <w:jc w:val="both"/>
        <w:rPr>
          <w:rFonts w:ascii="Arial" w:hAnsi="Arial" w:cs="Arial"/>
          <w:color w:val="FF0000"/>
          <w:sz w:val="22"/>
          <w:szCs w:val="22"/>
        </w:rPr>
      </w:pPr>
    </w:p>
    <w:p w:rsidR="00C470ED" w:rsidRPr="00EE14E4" w:rsidRDefault="00C470ED" w:rsidP="00C470ED">
      <w:pPr>
        <w:ind w:right="432"/>
        <w:contextualSpacing/>
        <w:jc w:val="both"/>
        <w:rPr>
          <w:rFonts w:ascii="Arial" w:hAnsi="Arial" w:cs="Arial"/>
          <w:sz w:val="22"/>
          <w:szCs w:val="22"/>
        </w:rPr>
      </w:pPr>
      <w:r w:rsidRPr="00EE14E4">
        <w:rPr>
          <w:rFonts w:ascii="Arial" w:hAnsi="Arial" w:cs="Arial"/>
          <w:sz w:val="22"/>
          <w:szCs w:val="22"/>
          <w:lang w:val="es-AR"/>
        </w:rPr>
        <w:t>En cuanto al grupo de pasivo</w:t>
      </w:r>
      <w:r w:rsidR="00AA3960" w:rsidRPr="00EE14E4">
        <w:rPr>
          <w:rFonts w:ascii="Arial" w:hAnsi="Arial" w:cs="Arial"/>
          <w:sz w:val="22"/>
          <w:szCs w:val="22"/>
          <w:lang w:val="es-AR"/>
        </w:rPr>
        <w:t xml:space="preserve"> la institución presenta un pasivo total por </w:t>
      </w:r>
      <w:r w:rsidR="00AA3960" w:rsidRPr="00EE14E4">
        <w:rPr>
          <w:rFonts w:ascii="Arial" w:hAnsi="Arial" w:cs="Arial"/>
          <w:sz w:val="22"/>
          <w:szCs w:val="22"/>
        </w:rPr>
        <w:t>¢</w:t>
      </w:r>
      <w:r w:rsidR="00EE14E4" w:rsidRPr="00EE14E4">
        <w:rPr>
          <w:rFonts w:ascii="Arial" w:hAnsi="Arial" w:cs="Arial"/>
          <w:sz w:val="22"/>
          <w:szCs w:val="22"/>
        </w:rPr>
        <w:t>15.875,31</w:t>
      </w:r>
      <w:r w:rsidR="00AA3960" w:rsidRPr="00EE14E4">
        <w:rPr>
          <w:rFonts w:ascii="Arial" w:hAnsi="Arial" w:cs="Arial"/>
          <w:sz w:val="22"/>
          <w:szCs w:val="22"/>
        </w:rPr>
        <w:t xml:space="preserve"> </w:t>
      </w:r>
      <w:r w:rsidR="00EE14E4" w:rsidRPr="00EE14E4">
        <w:rPr>
          <w:rFonts w:ascii="Arial" w:hAnsi="Arial" w:cs="Arial"/>
          <w:sz w:val="22"/>
          <w:szCs w:val="22"/>
        </w:rPr>
        <w:t xml:space="preserve">mil </w:t>
      </w:r>
      <w:r w:rsidR="00AA3960" w:rsidRPr="00EE14E4">
        <w:rPr>
          <w:rFonts w:ascii="Arial" w:hAnsi="Arial" w:cs="Arial"/>
          <w:sz w:val="22"/>
          <w:szCs w:val="22"/>
        </w:rPr>
        <w:t>y a nivel general muestra un decremento de un -</w:t>
      </w:r>
      <w:r w:rsidR="00EE14E4" w:rsidRPr="00EE14E4">
        <w:rPr>
          <w:rFonts w:ascii="Arial" w:hAnsi="Arial" w:cs="Arial"/>
          <w:sz w:val="22"/>
          <w:szCs w:val="22"/>
        </w:rPr>
        <w:t>50</w:t>
      </w:r>
      <w:r w:rsidR="00AA3960" w:rsidRPr="00EE14E4">
        <w:rPr>
          <w:rFonts w:ascii="Arial" w:hAnsi="Arial" w:cs="Arial"/>
          <w:sz w:val="22"/>
          <w:szCs w:val="22"/>
        </w:rPr>
        <w:t>% en términos relativos y de ¢-</w:t>
      </w:r>
      <w:r w:rsidR="00EE14E4" w:rsidRPr="00EE14E4">
        <w:rPr>
          <w:rFonts w:ascii="Arial" w:hAnsi="Arial" w:cs="Arial"/>
          <w:sz w:val="22"/>
          <w:szCs w:val="22"/>
        </w:rPr>
        <w:t>16.089,51</w:t>
      </w:r>
      <w:r w:rsidR="00AA3960" w:rsidRPr="00EE14E4">
        <w:rPr>
          <w:rFonts w:ascii="Arial" w:hAnsi="Arial" w:cs="Arial"/>
          <w:sz w:val="22"/>
          <w:szCs w:val="22"/>
        </w:rPr>
        <w:t xml:space="preserve"> en términos absolutos, con respecto al mismo periodo del año anterior. Es la cuenta de activo corriente denominada c</w:t>
      </w:r>
      <w:r w:rsidR="00EE14E4" w:rsidRPr="00EE14E4">
        <w:rPr>
          <w:rFonts w:ascii="Arial" w:hAnsi="Arial" w:cs="Arial"/>
          <w:sz w:val="22"/>
          <w:szCs w:val="22"/>
        </w:rPr>
        <w:t>omisiones por pagar al Fideicomiso</w:t>
      </w:r>
      <w:r w:rsidR="00AA3960" w:rsidRPr="00EE14E4">
        <w:rPr>
          <w:rFonts w:ascii="Arial" w:hAnsi="Arial" w:cs="Arial"/>
          <w:sz w:val="22"/>
          <w:szCs w:val="22"/>
        </w:rPr>
        <w:t xml:space="preserve"> la que presenta una mayor disminución, e</w:t>
      </w:r>
      <w:r w:rsidR="00331993" w:rsidRPr="00EE14E4">
        <w:rPr>
          <w:rFonts w:ascii="Arial" w:hAnsi="Arial" w:cs="Arial"/>
          <w:sz w:val="22"/>
          <w:szCs w:val="22"/>
        </w:rPr>
        <w:t>n términos absolutos de ¢</w:t>
      </w:r>
      <w:r w:rsidR="00EE14E4" w:rsidRPr="00EE14E4">
        <w:rPr>
          <w:rFonts w:ascii="Arial" w:hAnsi="Arial" w:cs="Arial"/>
          <w:sz w:val="22"/>
          <w:szCs w:val="22"/>
        </w:rPr>
        <w:t>-10.226,71</w:t>
      </w:r>
      <w:r w:rsidR="00331993" w:rsidRPr="00EE14E4">
        <w:rPr>
          <w:rFonts w:ascii="Arial" w:hAnsi="Arial" w:cs="Arial"/>
          <w:sz w:val="22"/>
          <w:szCs w:val="22"/>
        </w:rPr>
        <w:t xml:space="preserve"> y en términos relativo de -1</w:t>
      </w:r>
      <w:r w:rsidR="00EE14E4" w:rsidRPr="00EE14E4">
        <w:rPr>
          <w:rFonts w:ascii="Arial" w:hAnsi="Arial" w:cs="Arial"/>
          <w:sz w:val="22"/>
          <w:szCs w:val="22"/>
        </w:rPr>
        <w:t>00</w:t>
      </w:r>
      <w:r w:rsidR="00331993" w:rsidRPr="00EE14E4">
        <w:rPr>
          <w:rFonts w:ascii="Arial" w:hAnsi="Arial" w:cs="Arial"/>
          <w:sz w:val="22"/>
          <w:szCs w:val="22"/>
        </w:rPr>
        <w:t>%.</w:t>
      </w:r>
    </w:p>
    <w:p w:rsidR="00AA3960" w:rsidRPr="00EE14E4" w:rsidRDefault="00AA3960" w:rsidP="00C470ED">
      <w:pPr>
        <w:ind w:right="432"/>
        <w:contextualSpacing/>
        <w:jc w:val="both"/>
        <w:rPr>
          <w:rFonts w:ascii="Arial" w:hAnsi="Arial" w:cs="Arial"/>
          <w:sz w:val="22"/>
          <w:szCs w:val="22"/>
          <w:lang w:val="es-AR"/>
        </w:rPr>
      </w:pPr>
    </w:p>
    <w:p w:rsidR="0084023B" w:rsidRPr="000D5CB2" w:rsidRDefault="0084023B" w:rsidP="00C470ED">
      <w:pPr>
        <w:ind w:right="432"/>
        <w:jc w:val="both"/>
        <w:rPr>
          <w:rFonts w:ascii="Arial" w:hAnsi="Arial" w:cs="Arial"/>
          <w:b/>
          <w:color w:val="FF0000"/>
          <w:sz w:val="22"/>
          <w:szCs w:val="22"/>
          <w:lang w:val="es-AR"/>
        </w:rPr>
      </w:pPr>
    </w:p>
    <w:p w:rsidR="00C470ED" w:rsidRPr="00663BD1" w:rsidRDefault="00435CAB" w:rsidP="00C470ED">
      <w:pPr>
        <w:ind w:right="432"/>
        <w:contextualSpacing/>
        <w:jc w:val="both"/>
        <w:rPr>
          <w:rFonts w:ascii="Arial" w:hAnsi="Arial" w:cs="Arial"/>
          <w:sz w:val="22"/>
          <w:szCs w:val="22"/>
          <w:lang w:val="es-AR"/>
        </w:rPr>
      </w:pPr>
      <w:r w:rsidRPr="00663BD1">
        <w:rPr>
          <w:rFonts w:ascii="Arial" w:hAnsi="Arial" w:cs="Arial"/>
          <w:sz w:val="22"/>
          <w:szCs w:val="22"/>
          <w:lang w:val="es-AR"/>
        </w:rPr>
        <w:t>Por su parte,</w:t>
      </w:r>
      <w:r w:rsidR="007441B6" w:rsidRPr="00663BD1">
        <w:rPr>
          <w:rFonts w:ascii="Arial" w:hAnsi="Arial" w:cs="Arial"/>
          <w:sz w:val="22"/>
          <w:szCs w:val="22"/>
          <w:lang w:val="es-AR"/>
        </w:rPr>
        <w:t xml:space="preserve"> al cierre del 2018 el fideicomiso cuenta con un </w:t>
      </w:r>
      <w:r w:rsidR="00C470ED" w:rsidRPr="00663BD1">
        <w:rPr>
          <w:rFonts w:ascii="Arial" w:hAnsi="Arial" w:cs="Arial"/>
          <w:sz w:val="22"/>
          <w:szCs w:val="22"/>
          <w:lang w:val="es-AR"/>
        </w:rPr>
        <w:t xml:space="preserve">patrimonio </w:t>
      </w:r>
      <w:r w:rsidR="007441B6" w:rsidRPr="00663BD1">
        <w:rPr>
          <w:rFonts w:ascii="Arial" w:hAnsi="Arial" w:cs="Arial"/>
          <w:sz w:val="22"/>
          <w:szCs w:val="22"/>
          <w:lang w:val="es-AR"/>
        </w:rPr>
        <w:t>total</w:t>
      </w:r>
      <w:r w:rsidRPr="00663BD1">
        <w:rPr>
          <w:rFonts w:ascii="Arial" w:hAnsi="Arial" w:cs="Arial"/>
          <w:sz w:val="22"/>
          <w:szCs w:val="22"/>
          <w:lang w:val="es-AR"/>
        </w:rPr>
        <w:t xml:space="preserve"> de </w:t>
      </w:r>
      <w:r w:rsidRPr="00663BD1">
        <w:rPr>
          <w:rFonts w:ascii="Arial" w:hAnsi="Arial" w:cs="Arial"/>
          <w:sz w:val="22"/>
          <w:szCs w:val="22"/>
        </w:rPr>
        <w:t>¢4.</w:t>
      </w:r>
      <w:r w:rsidR="007441B6" w:rsidRPr="00663BD1">
        <w:rPr>
          <w:rFonts w:ascii="Arial" w:hAnsi="Arial" w:cs="Arial"/>
          <w:sz w:val="22"/>
          <w:szCs w:val="22"/>
        </w:rPr>
        <w:t>724.517,29</w:t>
      </w:r>
      <w:r w:rsidRPr="00663BD1">
        <w:rPr>
          <w:rFonts w:ascii="Arial" w:hAnsi="Arial" w:cs="Arial"/>
          <w:sz w:val="22"/>
          <w:szCs w:val="22"/>
        </w:rPr>
        <w:t xml:space="preserve"> mil</w:t>
      </w:r>
      <w:r w:rsidRPr="00663BD1">
        <w:rPr>
          <w:rFonts w:ascii="Arial" w:hAnsi="Arial" w:cs="Arial"/>
          <w:sz w:val="22"/>
          <w:szCs w:val="22"/>
          <w:lang w:val="es-AR"/>
        </w:rPr>
        <w:t xml:space="preserve">, </w:t>
      </w:r>
      <w:r w:rsidR="007441B6" w:rsidRPr="00663BD1">
        <w:rPr>
          <w:rFonts w:ascii="Arial" w:hAnsi="Arial" w:cs="Arial"/>
          <w:sz w:val="22"/>
          <w:szCs w:val="22"/>
          <w:lang w:val="es-AR"/>
        </w:rPr>
        <w:t xml:space="preserve">presentándose </w:t>
      </w:r>
      <w:r w:rsidRPr="00663BD1">
        <w:rPr>
          <w:rFonts w:ascii="Arial" w:hAnsi="Arial" w:cs="Arial"/>
          <w:sz w:val="22"/>
          <w:szCs w:val="22"/>
          <w:lang w:val="es-AR"/>
        </w:rPr>
        <w:t>un decremento de un -</w:t>
      </w:r>
      <w:r w:rsidR="007441B6" w:rsidRPr="00663BD1">
        <w:rPr>
          <w:rFonts w:ascii="Arial" w:hAnsi="Arial" w:cs="Arial"/>
          <w:sz w:val="22"/>
          <w:szCs w:val="22"/>
          <w:lang w:val="es-AR"/>
        </w:rPr>
        <w:t>0.23</w:t>
      </w:r>
      <w:r w:rsidRPr="00663BD1">
        <w:rPr>
          <w:rFonts w:ascii="Arial" w:hAnsi="Arial" w:cs="Arial"/>
          <w:sz w:val="22"/>
          <w:szCs w:val="22"/>
          <w:lang w:val="es-AR"/>
        </w:rPr>
        <w:t>% con respecto al año anterior, este comportamiento se refleja especialmente en la cuenta utilidades o pérdidas acumuladas la cual presenta una disminución de ¢-6</w:t>
      </w:r>
      <w:r w:rsidR="007441B6" w:rsidRPr="00663BD1">
        <w:rPr>
          <w:rFonts w:ascii="Arial" w:hAnsi="Arial" w:cs="Arial"/>
          <w:sz w:val="22"/>
          <w:szCs w:val="22"/>
          <w:lang w:val="es-AR"/>
        </w:rPr>
        <w:t>07.300,87</w:t>
      </w:r>
      <w:r w:rsidRPr="00663BD1">
        <w:rPr>
          <w:rFonts w:ascii="Arial" w:hAnsi="Arial" w:cs="Arial"/>
          <w:sz w:val="22"/>
          <w:szCs w:val="22"/>
          <w:lang w:val="es-AR"/>
        </w:rPr>
        <w:t xml:space="preserve"> en términos absolutos y de un -8</w:t>
      </w:r>
      <w:r w:rsidR="007441B6" w:rsidRPr="00663BD1">
        <w:rPr>
          <w:rFonts w:ascii="Arial" w:hAnsi="Arial" w:cs="Arial"/>
          <w:sz w:val="22"/>
          <w:szCs w:val="22"/>
          <w:lang w:val="es-AR"/>
        </w:rPr>
        <w:t>5%</w:t>
      </w:r>
      <w:r w:rsidRPr="00663BD1">
        <w:rPr>
          <w:rFonts w:ascii="Arial" w:hAnsi="Arial" w:cs="Arial"/>
          <w:sz w:val="22"/>
          <w:szCs w:val="22"/>
          <w:lang w:val="es-AR"/>
        </w:rPr>
        <w:t xml:space="preserve"> en términos relativos.</w:t>
      </w:r>
    </w:p>
    <w:p w:rsidR="007601F3" w:rsidRPr="00663BD1" w:rsidRDefault="007601F3" w:rsidP="00FC2809">
      <w:pPr>
        <w:ind w:right="432"/>
        <w:jc w:val="both"/>
        <w:rPr>
          <w:rFonts w:ascii="Arial" w:hAnsi="Arial" w:cs="Arial"/>
          <w:sz w:val="22"/>
          <w:szCs w:val="22"/>
        </w:rPr>
      </w:pPr>
    </w:p>
    <w:p w:rsidR="007601F3" w:rsidRPr="000D5CB2" w:rsidRDefault="007601F3" w:rsidP="00FC2809">
      <w:pPr>
        <w:ind w:right="432"/>
        <w:jc w:val="both"/>
        <w:rPr>
          <w:rFonts w:ascii="Arial" w:hAnsi="Arial" w:cs="Arial"/>
          <w:color w:val="FF0000"/>
          <w:sz w:val="22"/>
          <w:szCs w:val="22"/>
        </w:rPr>
      </w:pPr>
    </w:p>
    <w:p w:rsidR="007601F3" w:rsidRDefault="007601F3" w:rsidP="00FC2809">
      <w:pPr>
        <w:ind w:right="432"/>
        <w:jc w:val="both"/>
        <w:rPr>
          <w:rFonts w:ascii="Arial" w:hAnsi="Arial" w:cs="Arial"/>
          <w:color w:val="FF0000"/>
          <w:sz w:val="22"/>
          <w:szCs w:val="22"/>
        </w:rPr>
      </w:pPr>
    </w:p>
    <w:p w:rsidR="007601F3" w:rsidRDefault="007601F3" w:rsidP="00FC2809">
      <w:pPr>
        <w:ind w:right="432"/>
        <w:jc w:val="both"/>
        <w:rPr>
          <w:rFonts w:ascii="Arial" w:hAnsi="Arial" w:cs="Arial"/>
          <w:color w:val="FF0000"/>
          <w:sz w:val="22"/>
          <w:szCs w:val="22"/>
        </w:rPr>
      </w:pPr>
    </w:p>
    <w:p w:rsidR="007601F3" w:rsidRPr="00487534" w:rsidRDefault="007601F3" w:rsidP="00FC2809">
      <w:pPr>
        <w:ind w:right="432"/>
        <w:jc w:val="both"/>
        <w:rPr>
          <w:rFonts w:ascii="Arial" w:hAnsi="Arial" w:cs="Arial"/>
          <w:color w:val="FF0000"/>
          <w:sz w:val="22"/>
          <w:szCs w:val="22"/>
        </w:rPr>
      </w:pPr>
    </w:p>
    <w:p w:rsidR="00D50FE8" w:rsidRDefault="00D50FE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Default="00BF0078" w:rsidP="00FC2809">
      <w:pPr>
        <w:ind w:right="432"/>
        <w:jc w:val="both"/>
        <w:rPr>
          <w:rFonts w:ascii="Arial" w:hAnsi="Arial" w:cs="Arial"/>
          <w:color w:val="FF0000"/>
          <w:sz w:val="22"/>
          <w:szCs w:val="22"/>
        </w:rPr>
      </w:pPr>
    </w:p>
    <w:p w:rsidR="00BF0078" w:rsidRPr="00487534" w:rsidRDefault="00BF0078" w:rsidP="00FC2809">
      <w:pPr>
        <w:ind w:right="432"/>
        <w:jc w:val="both"/>
        <w:rPr>
          <w:rFonts w:ascii="Arial" w:hAnsi="Arial" w:cs="Arial"/>
          <w:color w:val="FF0000"/>
          <w:sz w:val="22"/>
          <w:szCs w:val="22"/>
        </w:rPr>
      </w:pPr>
    </w:p>
    <w:p w:rsidR="00D50FE8" w:rsidRDefault="00D50FE8" w:rsidP="00FC2809">
      <w:pPr>
        <w:ind w:right="432"/>
        <w:jc w:val="both"/>
        <w:rPr>
          <w:rFonts w:ascii="Arial" w:hAnsi="Arial" w:cs="Arial"/>
          <w:color w:val="FF0000"/>
          <w:sz w:val="22"/>
          <w:szCs w:val="22"/>
        </w:rPr>
      </w:pPr>
    </w:p>
    <w:p w:rsidR="00593EF4" w:rsidRDefault="00593EF4" w:rsidP="00FC2809">
      <w:pPr>
        <w:ind w:right="432"/>
        <w:jc w:val="both"/>
        <w:rPr>
          <w:rFonts w:ascii="Arial" w:hAnsi="Arial" w:cs="Arial"/>
          <w:color w:val="FF0000"/>
          <w:sz w:val="22"/>
          <w:szCs w:val="22"/>
        </w:rPr>
      </w:pPr>
    </w:p>
    <w:p w:rsidR="00593EF4" w:rsidRPr="00487534" w:rsidRDefault="00593EF4" w:rsidP="00FC2809">
      <w:pPr>
        <w:ind w:right="432"/>
        <w:jc w:val="both"/>
        <w:rPr>
          <w:rFonts w:ascii="Arial" w:hAnsi="Arial" w:cs="Arial"/>
          <w:color w:val="FF0000"/>
          <w:sz w:val="22"/>
          <w:szCs w:val="22"/>
        </w:rPr>
      </w:pPr>
    </w:p>
    <w:p w:rsidR="00D50FE8" w:rsidRPr="00487534" w:rsidRDefault="00D50FE8" w:rsidP="00FC2809">
      <w:pPr>
        <w:ind w:right="432"/>
        <w:jc w:val="both"/>
        <w:rPr>
          <w:rFonts w:ascii="Arial" w:hAnsi="Arial" w:cs="Arial"/>
          <w:color w:val="FF0000"/>
          <w:sz w:val="22"/>
          <w:szCs w:val="22"/>
        </w:rPr>
      </w:pPr>
    </w:p>
    <w:p w:rsidR="00F1343B" w:rsidRPr="00767C7C" w:rsidRDefault="00F1343B" w:rsidP="007A15A0">
      <w:pPr>
        <w:contextualSpacing/>
        <w:jc w:val="both"/>
        <w:rPr>
          <w:rFonts w:ascii="Trebuchet MS" w:hAnsi="Trebuchet MS" w:cs="Arial"/>
          <w:b/>
        </w:rPr>
      </w:pPr>
    </w:p>
    <w:p w:rsidR="00D92A79" w:rsidRPr="00767C7C" w:rsidRDefault="00D92A79" w:rsidP="00D92A79">
      <w:pPr>
        <w:pStyle w:val="Prrafodelista"/>
        <w:ind w:left="1080"/>
        <w:contextualSpacing/>
        <w:jc w:val="center"/>
        <w:rPr>
          <w:rFonts w:ascii="Trebuchet MS" w:hAnsi="Trebuchet MS" w:cs="Arial"/>
          <w:b/>
        </w:rPr>
      </w:pPr>
      <w:r>
        <w:rPr>
          <w:rFonts w:ascii="Trebuchet MS" w:hAnsi="Trebuchet MS" w:cs="Arial"/>
          <w:b/>
        </w:rPr>
        <w:t>Estado de Resultados Consolidado</w:t>
      </w:r>
    </w:p>
    <w:p w:rsidR="00D92A79" w:rsidRPr="00015A4E" w:rsidRDefault="00D92A79" w:rsidP="00D92A79">
      <w:pPr>
        <w:pStyle w:val="Prrafodelista"/>
        <w:ind w:left="1080"/>
        <w:contextualSpacing/>
        <w:jc w:val="center"/>
        <w:rPr>
          <w:rFonts w:ascii="Arial" w:hAnsi="Arial" w:cs="Arial"/>
          <w:b/>
        </w:rPr>
      </w:pPr>
      <w:r w:rsidRPr="00015A4E">
        <w:rPr>
          <w:rFonts w:ascii="Arial" w:hAnsi="Arial" w:cs="Arial"/>
          <w:b/>
        </w:rPr>
        <w:t>Fideicomiso 544 FONAFIFO CONSOLIDADO – BNCR</w:t>
      </w:r>
    </w:p>
    <w:p w:rsidR="00D92A79" w:rsidRDefault="00D92A79" w:rsidP="00D92A79">
      <w:pPr>
        <w:pStyle w:val="Prrafodelista"/>
        <w:ind w:left="1080"/>
        <w:contextualSpacing/>
        <w:jc w:val="center"/>
        <w:rPr>
          <w:rFonts w:ascii="Arial" w:hAnsi="Arial" w:cs="Arial"/>
          <w:b/>
        </w:rPr>
      </w:pPr>
      <w:r w:rsidRPr="00015A4E">
        <w:rPr>
          <w:rFonts w:ascii="Arial" w:hAnsi="Arial" w:cs="Arial"/>
          <w:b/>
        </w:rPr>
        <w:t xml:space="preserve">Al </w:t>
      </w:r>
      <w:r w:rsidR="00315DD2">
        <w:rPr>
          <w:rFonts w:ascii="Arial" w:hAnsi="Arial" w:cs="Arial"/>
          <w:b/>
        </w:rPr>
        <w:t>3</w:t>
      </w:r>
      <w:r w:rsidR="00C86B9C">
        <w:rPr>
          <w:rFonts w:ascii="Arial" w:hAnsi="Arial" w:cs="Arial"/>
          <w:b/>
        </w:rPr>
        <w:t>1</w:t>
      </w:r>
      <w:r w:rsidR="00315DD2">
        <w:rPr>
          <w:rFonts w:ascii="Arial" w:hAnsi="Arial" w:cs="Arial"/>
          <w:b/>
        </w:rPr>
        <w:t xml:space="preserve"> de </w:t>
      </w:r>
      <w:r w:rsidR="00C86B9C">
        <w:rPr>
          <w:rFonts w:ascii="Arial" w:hAnsi="Arial" w:cs="Arial"/>
          <w:b/>
        </w:rPr>
        <w:t>di</w:t>
      </w:r>
      <w:r w:rsidR="00237754">
        <w:rPr>
          <w:rFonts w:ascii="Arial" w:hAnsi="Arial" w:cs="Arial"/>
          <w:b/>
        </w:rPr>
        <w:t>c</w:t>
      </w:r>
      <w:r w:rsidR="00C86B9C">
        <w:rPr>
          <w:rFonts w:ascii="Arial" w:hAnsi="Arial" w:cs="Arial"/>
          <w:b/>
        </w:rPr>
        <w:t>iembre</w:t>
      </w:r>
      <w:r w:rsidR="00D52DC3">
        <w:rPr>
          <w:rFonts w:ascii="Arial" w:hAnsi="Arial" w:cs="Arial"/>
          <w:b/>
        </w:rPr>
        <w:t xml:space="preserve"> </w:t>
      </w:r>
      <w:r w:rsidRPr="00015A4E">
        <w:rPr>
          <w:rFonts w:ascii="Arial" w:hAnsi="Arial" w:cs="Arial"/>
          <w:b/>
        </w:rPr>
        <w:t>del 201</w:t>
      </w:r>
      <w:r w:rsidR="00292A15">
        <w:rPr>
          <w:rFonts w:ascii="Arial" w:hAnsi="Arial" w:cs="Arial"/>
          <w:b/>
        </w:rPr>
        <w:t>7</w:t>
      </w:r>
      <w:r w:rsidRPr="00015A4E">
        <w:rPr>
          <w:rFonts w:ascii="Arial" w:hAnsi="Arial" w:cs="Arial"/>
          <w:b/>
        </w:rPr>
        <w:t xml:space="preserve"> y 201</w:t>
      </w:r>
      <w:r w:rsidR="00292A15">
        <w:rPr>
          <w:rFonts w:ascii="Arial" w:hAnsi="Arial" w:cs="Arial"/>
          <w:b/>
        </w:rPr>
        <w:t>8</w:t>
      </w:r>
    </w:p>
    <w:p w:rsidR="00D92A79" w:rsidRPr="00D92A79" w:rsidRDefault="00D92A79" w:rsidP="00D92A79">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10774" w:type="dxa"/>
        <w:tblInd w:w="-72" w:type="dxa"/>
        <w:tblLayout w:type="fixed"/>
        <w:tblCellMar>
          <w:left w:w="70" w:type="dxa"/>
          <w:right w:w="70" w:type="dxa"/>
        </w:tblCellMar>
        <w:tblLook w:val="04A0" w:firstRow="1" w:lastRow="0" w:firstColumn="1" w:lastColumn="0" w:noHBand="0" w:noVBand="1"/>
      </w:tblPr>
      <w:tblGrid>
        <w:gridCol w:w="3387"/>
        <w:gridCol w:w="1077"/>
        <w:gridCol w:w="2001"/>
        <w:gridCol w:w="2001"/>
        <w:gridCol w:w="1385"/>
        <w:gridCol w:w="923"/>
      </w:tblGrid>
      <w:tr w:rsidR="005412A2" w:rsidRPr="005412A2" w:rsidTr="005412A2">
        <w:trPr>
          <w:trHeight w:val="175"/>
        </w:trPr>
        <w:tc>
          <w:tcPr>
            <w:tcW w:w="3387" w:type="dxa"/>
            <w:vMerge w:val="restart"/>
            <w:tcBorders>
              <w:top w:val="single" w:sz="8" w:space="0" w:color="auto"/>
              <w:left w:val="single" w:sz="8" w:space="0" w:color="auto"/>
              <w:bottom w:val="single" w:sz="8" w:space="0" w:color="000000"/>
              <w:right w:val="nil"/>
            </w:tcBorders>
            <w:shd w:val="clear" w:color="000000" w:fill="00B050"/>
            <w:vAlign w:val="center"/>
            <w:hideMark/>
          </w:tcPr>
          <w:p w:rsidR="005412A2" w:rsidRPr="005412A2" w:rsidRDefault="005412A2" w:rsidP="005412A2">
            <w:pPr>
              <w:jc w:val="cente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Detalle</w:t>
            </w:r>
          </w:p>
        </w:tc>
        <w:tc>
          <w:tcPr>
            <w:tcW w:w="1077" w:type="dxa"/>
            <w:vMerge w:val="restart"/>
            <w:tcBorders>
              <w:top w:val="single" w:sz="8" w:space="0" w:color="auto"/>
              <w:left w:val="nil"/>
              <w:bottom w:val="single" w:sz="8" w:space="0" w:color="000000"/>
              <w:right w:val="nil"/>
            </w:tcBorders>
            <w:shd w:val="clear" w:color="000000" w:fill="00B050"/>
            <w:vAlign w:val="center"/>
            <w:hideMark/>
          </w:tcPr>
          <w:p w:rsidR="005412A2" w:rsidRPr="005412A2" w:rsidRDefault="005412A2" w:rsidP="005412A2">
            <w:pPr>
              <w:jc w:val="cente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Nota</w:t>
            </w:r>
          </w:p>
        </w:tc>
        <w:tc>
          <w:tcPr>
            <w:tcW w:w="2001" w:type="dxa"/>
            <w:vMerge w:val="restart"/>
            <w:tcBorders>
              <w:top w:val="single" w:sz="8" w:space="0" w:color="auto"/>
              <w:left w:val="nil"/>
              <w:bottom w:val="single" w:sz="8" w:space="0" w:color="000000"/>
              <w:right w:val="nil"/>
            </w:tcBorders>
            <w:shd w:val="clear" w:color="000000" w:fill="00B050"/>
            <w:vAlign w:val="center"/>
            <w:hideMark/>
          </w:tcPr>
          <w:p w:rsidR="005412A2" w:rsidRPr="005412A2" w:rsidRDefault="005412A2" w:rsidP="005412A2">
            <w:pPr>
              <w:jc w:val="cente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Saldos a Diciembre 2017</w:t>
            </w:r>
          </w:p>
        </w:tc>
        <w:tc>
          <w:tcPr>
            <w:tcW w:w="2001" w:type="dxa"/>
            <w:vMerge w:val="restart"/>
            <w:tcBorders>
              <w:top w:val="single" w:sz="8" w:space="0" w:color="auto"/>
              <w:left w:val="nil"/>
              <w:bottom w:val="single" w:sz="8" w:space="0" w:color="000000"/>
              <w:right w:val="single" w:sz="8" w:space="0" w:color="auto"/>
            </w:tcBorders>
            <w:shd w:val="clear" w:color="000000" w:fill="00B050"/>
            <w:vAlign w:val="center"/>
            <w:hideMark/>
          </w:tcPr>
          <w:p w:rsidR="005412A2" w:rsidRPr="005412A2" w:rsidRDefault="005412A2" w:rsidP="005412A2">
            <w:pPr>
              <w:jc w:val="cente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Saldo a Diciembre 2018</w:t>
            </w:r>
          </w:p>
        </w:tc>
        <w:tc>
          <w:tcPr>
            <w:tcW w:w="2308" w:type="dxa"/>
            <w:gridSpan w:val="2"/>
            <w:tcBorders>
              <w:top w:val="single" w:sz="8" w:space="0" w:color="auto"/>
              <w:left w:val="nil"/>
              <w:bottom w:val="single" w:sz="8" w:space="0" w:color="auto"/>
              <w:right w:val="single" w:sz="8" w:space="0" w:color="000000"/>
            </w:tcBorders>
            <w:shd w:val="clear" w:color="000000" w:fill="00B050"/>
            <w:noWrap/>
            <w:vAlign w:val="bottom"/>
            <w:hideMark/>
          </w:tcPr>
          <w:p w:rsidR="005412A2" w:rsidRPr="005412A2" w:rsidRDefault="005412A2" w:rsidP="005412A2">
            <w:pPr>
              <w:jc w:val="cente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Variación</w:t>
            </w:r>
          </w:p>
        </w:tc>
      </w:tr>
      <w:tr w:rsidR="005412A2" w:rsidRPr="005412A2" w:rsidTr="005412A2">
        <w:trPr>
          <w:trHeight w:val="175"/>
        </w:trPr>
        <w:tc>
          <w:tcPr>
            <w:tcW w:w="3387" w:type="dxa"/>
            <w:vMerge/>
            <w:tcBorders>
              <w:top w:val="single" w:sz="8" w:space="0" w:color="auto"/>
              <w:left w:val="single" w:sz="8" w:space="0" w:color="auto"/>
              <w:bottom w:val="single" w:sz="8" w:space="0" w:color="000000"/>
              <w:right w:val="nil"/>
            </w:tcBorders>
            <w:vAlign w:val="center"/>
            <w:hideMark/>
          </w:tcPr>
          <w:p w:rsidR="005412A2" w:rsidRPr="005412A2" w:rsidRDefault="005412A2" w:rsidP="005412A2">
            <w:pPr>
              <w:rPr>
                <w:rFonts w:ascii="Arial" w:eastAsia="Times New Roman" w:hAnsi="Arial" w:cs="Arial"/>
                <w:b/>
                <w:bCs/>
                <w:color w:val="000000"/>
                <w:sz w:val="14"/>
                <w:szCs w:val="14"/>
                <w:lang w:eastAsia="es-CR"/>
              </w:rPr>
            </w:pPr>
          </w:p>
        </w:tc>
        <w:tc>
          <w:tcPr>
            <w:tcW w:w="1077" w:type="dxa"/>
            <w:vMerge/>
            <w:tcBorders>
              <w:top w:val="single" w:sz="8" w:space="0" w:color="auto"/>
              <w:left w:val="nil"/>
              <w:bottom w:val="single" w:sz="8" w:space="0" w:color="000000"/>
              <w:right w:val="nil"/>
            </w:tcBorders>
            <w:vAlign w:val="center"/>
            <w:hideMark/>
          </w:tcPr>
          <w:p w:rsidR="005412A2" w:rsidRPr="005412A2" w:rsidRDefault="005412A2" w:rsidP="005412A2">
            <w:pPr>
              <w:rPr>
                <w:rFonts w:ascii="Arial" w:eastAsia="Times New Roman" w:hAnsi="Arial" w:cs="Arial"/>
                <w:b/>
                <w:bCs/>
                <w:color w:val="000000"/>
                <w:sz w:val="14"/>
                <w:szCs w:val="14"/>
                <w:lang w:eastAsia="es-CR"/>
              </w:rPr>
            </w:pPr>
          </w:p>
        </w:tc>
        <w:tc>
          <w:tcPr>
            <w:tcW w:w="2001" w:type="dxa"/>
            <w:vMerge/>
            <w:tcBorders>
              <w:top w:val="single" w:sz="8" w:space="0" w:color="auto"/>
              <w:left w:val="nil"/>
              <w:bottom w:val="single" w:sz="8" w:space="0" w:color="000000"/>
              <w:right w:val="nil"/>
            </w:tcBorders>
            <w:vAlign w:val="center"/>
            <w:hideMark/>
          </w:tcPr>
          <w:p w:rsidR="005412A2" w:rsidRPr="005412A2" w:rsidRDefault="005412A2" w:rsidP="005412A2">
            <w:pPr>
              <w:rPr>
                <w:rFonts w:ascii="Arial" w:eastAsia="Times New Roman" w:hAnsi="Arial" w:cs="Arial"/>
                <w:b/>
                <w:bCs/>
                <w:color w:val="000000"/>
                <w:sz w:val="14"/>
                <w:szCs w:val="14"/>
                <w:lang w:eastAsia="es-CR"/>
              </w:rPr>
            </w:pPr>
          </w:p>
        </w:tc>
        <w:tc>
          <w:tcPr>
            <w:tcW w:w="2001" w:type="dxa"/>
            <w:vMerge/>
            <w:tcBorders>
              <w:top w:val="single" w:sz="8" w:space="0" w:color="auto"/>
              <w:left w:val="nil"/>
              <w:bottom w:val="single" w:sz="8" w:space="0" w:color="000000"/>
              <w:right w:val="single" w:sz="8" w:space="0" w:color="auto"/>
            </w:tcBorders>
            <w:vAlign w:val="center"/>
            <w:hideMark/>
          </w:tcPr>
          <w:p w:rsidR="005412A2" w:rsidRPr="005412A2" w:rsidRDefault="005412A2" w:rsidP="005412A2">
            <w:pPr>
              <w:rPr>
                <w:rFonts w:ascii="Arial" w:eastAsia="Times New Roman" w:hAnsi="Arial" w:cs="Arial"/>
                <w:b/>
                <w:bCs/>
                <w:color w:val="000000"/>
                <w:sz w:val="14"/>
                <w:szCs w:val="14"/>
                <w:lang w:eastAsia="es-CR"/>
              </w:rPr>
            </w:pPr>
          </w:p>
        </w:tc>
        <w:tc>
          <w:tcPr>
            <w:tcW w:w="1385" w:type="dxa"/>
            <w:tcBorders>
              <w:top w:val="nil"/>
              <w:left w:val="nil"/>
              <w:bottom w:val="single" w:sz="8" w:space="0" w:color="auto"/>
              <w:right w:val="single" w:sz="8" w:space="0" w:color="auto"/>
            </w:tcBorders>
            <w:shd w:val="clear" w:color="000000" w:fill="00B050"/>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Absoluta</w:t>
            </w:r>
          </w:p>
        </w:tc>
        <w:tc>
          <w:tcPr>
            <w:tcW w:w="923" w:type="dxa"/>
            <w:tcBorders>
              <w:top w:val="nil"/>
              <w:left w:val="nil"/>
              <w:bottom w:val="single" w:sz="8" w:space="0" w:color="auto"/>
              <w:right w:val="single" w:sz="8" w:space="0" w:color="auto"/>
            </w:tcBorders>
            <w:shd w:val="clear" w:color="000000" w:fill="00B050"/>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Relativa</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Ingresos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Ingresos Operativos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Productos por cartera de crédito</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24</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174.455.581,16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156.628.510,53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17.827.070,63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-10%</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Disminución Estimaciones por incobrables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25</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8.451.477,72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136.577.198,29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128.125.720,57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1516%</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Ingresos por Bienes Realizables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26</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7.039.168,34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7.039.168,34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0%</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Ingresos por Afectaciones-PSA</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27</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49.909,29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37.025.342,58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36.975.433,29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74085%</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Ingresos por formalizaciones de Crédito</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28</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375.000,00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375.000,00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-100%</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Otros Ingresos Operativos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29</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399.487.708,51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588.850.835,42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189.363.126,91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47%</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Total Ingresoso operativos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582.819.676,68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926.121.055,16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343.301.378,48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59%</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Ingresos Financieros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Ingresos Financieros por Disponibilidades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30</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3.496,32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627,28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2.869,04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-82%</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Ingreso por diferencial cambiario</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31</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14.405.557,30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17.965.381,46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3.559.824,16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25%</w:t>
            </w:r>
          </w:p>
        </w:tc>
      </w:tr>
      <w:tr w:rsidR="005412A2" w:rsidRPr="005412A2" w:rsidTr="005412A2">
        <w:trPr>
          <w:trHeight w:val="175"/>
        </w:trPr>
        <w:tc>
          <w:tcPr>
            <w:tcW w:w="3387" w:type="dxa"/>
            <w:tcBorders>
              <w:top w:val="nil"/>
              <w:left w:val="single" w:sz="8" w:space="0" w:color="auto"/>
              <w:bottom w:val="single" w:sz="8" w:space="0" w:color="auto"/>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Total ingresos financieros</w:t>
            </w:r>
          </w:p>
        </w:tc>
        <w:tc>
          <w:tcPr>
            <w:tcW w:w="1077" w:type="dxa"/>
            <w:tcBorders>
              <w:top w:val="nil"/>
              <w:left w:val="nil"/>
              <w:bottom w:val="single" w:sz="8" w:space="0" w:color="auto"/>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w:t>
            </w:r>
          </w:p>
        </w:tc>
        <w:tc>
          <w:tcPr>
            <w:tcW w:w="2001" w:type="dxa"/>
            <w:tcBorders>
              <w:top w:val="nil"/>
              <w:left w:val="nil"/>
              <w:bottom w:val="single" w:sz="8" w:space="0" w:color="auto"/>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14.409.053,62 </w:t>
            </w:r>
          </w:p>
        </w:tc>
        <w:tc>
          <w:tcPr>
            <w:tcW w:w="2001"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17.966.008,74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3.556.955,12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25%</w:t>
            </w:r>
          </w:p>
        </w:tc>
      </w:tr>
      <w:tr w:rsidR="005412A2" w:rsidRPr="005412A2" w:rsidTr="005412A2">
        <w:trPr>
          <w:trHeight w:val="175"/>
        </w:trPr>
        <w:tc>
          <w:tcPr>
            <w:tcW w:w="3387" w:type="dxa"/>
            <w:tcBorders>
              <w:top w:val="nil"/>
              <w:left w:val="single" w:sz="8" w:space="0" w:color="auto"/>
              <w:bottom w:val="single" w:sz="8" w:space="0" w:color="auto"/>
              <w:right w:val="nil"/>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Total ingresos</w:t>
            </w:r>
          </w:p>
        </w:tc>
        <w:tc>
          <w:tcPr>
            <w:tcW w:w="1077" w:type="dxa"/>
            <w:tcBorders>
              <w:top w:val="nil"/>
              <w:left w:val="nil"/>
              <w:bottom w:val="single" w:sz="8" w:space="0" w:color="auto"/>
              <w:right w:val="nil"/>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w:t>
            </w:r>
          </w:p>
        </w:tc>
        <w:tc>
          <w:tcPr>
            <w:tcW w:w="2001"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597.228.730,30 </w:t>
            </w:r>
          </w:p>
        </w:tc>
        <w:tc>
          <w:tcPr>
            <w:tcW w:w="2001"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944.087.063,90 </w:t>
            </w:r>
          </w:p>
        </w:tc>
        <w:tc>
          <w:tcPr>
            <w:tcW w:w="138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346.858.333,60 </w:t>
            </w:r>
          </w:p>
        </w:tc>
        <w:tc>
          <w:tcPr>
            <w:tcW w:w="923" w:type="dxa"/>
            <w:tcBorders>
              <w:top w:val="single" w:sz="8" w:space="0" w:color="auto"/>
              <w:left w:val="nil"/>
              <w:bottom w:val="single" w:sz="8" w:space="0" w:color="auto"/>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58%</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Egresos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Gastos operativos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por estimación cartera crédito</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32</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166.139.265,74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87.149.493,47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78.989.772,27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-48%</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por Bienes Realizables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33</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35.496.450,26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65.036.084,96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29.539.634,70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83%</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Servicios Ambietales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34</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7.303.417,70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7.303.417,70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-100%</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Comisión por servicios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35</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122.720.551,56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125.869.211,76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3.148.660,20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Otros gastos operativos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36</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22.390.187,81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3.721.401,22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18.668.786,59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-83%</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Total Gastos Operativos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354.049.873,07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281.776.191,41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72.273.681,66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-20%</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Gastos Financieros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Diferencial cambiario</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37</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4.086.131,64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3.615.335,13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470.796,51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-12%</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Total gastos Financieros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4.086.131,64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3.615.335,13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470.796,51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-12%</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Gastos de Administración</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de personal</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38</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250.366.066,56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229.733.130,12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20.632.936,44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-8%</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por provisiones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39</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84.434.332,25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88.555.136,29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4.120.804,04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5%</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por servicios externos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40</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315.111.647,75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556.664.031,77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241.552.384,02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77%</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de movilidad y comunicaciones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41</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29.604.450,57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27.148.495,42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2.455.955,15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-8%</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de infraestructura</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42</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67.333.843,29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63.570.830,50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3.763.012,79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-6%</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generales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43</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99.543.256,05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45.772.965,94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53.770.290,11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-54%</w:t>
            </w:r>
          </w:p>
        </w:tc>
      </w:tr>
      <w:tr w:rsidR="005412A2" w:rsidRPr="005412A2" w:rsidTr="005412A2">
        <w:trPr>
          <w:trHeight w:val="166"/>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Gastos por cencelación de servicios ambientales</w:t>
            </w:r>
          </w:p>
        </w:tc>
        <w:tc>
          <w:tcPr>
            <w:tcW w:w="1077"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44</w:t>
            </w:r>
          </w:p>
        </w:tc>
        <w:tc>
          <w:tcPr>
            <w:tcW w:w="2001"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1.840.913,92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1.840.913,92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100%</w:t>
            </w:r>
          </w:p>
        </w:tc>
      </w:tr>
      <w:tr w:rsidR="005412A2" w:rsidRPr="005412A2" w:rsidTr="005412A2">
        <w:trPr>
          <w:trHeight w:val="175"/>
        </w:trPr>
        <w:tc>
          <w:tcPr>
            <w:tcW w:w="3387"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Total Gastos Administrativos </w:t>
            </w:r>
          </w:p>
        </w:tc>
        <w:tc>
          <w:tcPr>
            <w:tcW w:w="1077" w:type="dxa"/>
            <w:tcBorders>
              <w:top w:val="nil"/>
              <w:left w:val="nil"/>
              <w:bottom w:val="single" w:sz="8" w:space="0" w:color="auto"/>
              <w:right w:val="single" w:sz="8" w:space="0" w:color="auto"/>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single" w:sz="8" w:space="0" w:color="auto"/>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846.393.596,47 </w:t>
            </w:r>
          </w:p>
        </w:tc>
        <w:tc>
          <w:tcPr>
            <w:tcW w:w="2001"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1.013.285.503,96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166.891.907,49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20%</w:t>
            </w:r>
          </w:p>
        </w:tc>
      </w:tr>
      <w:tr w:rsidR="005412A2" w:rsidRPr="005412A2" w:rsidTr="005412A2">
        <w:trPr>
          <w:trHeight w:val="175"/>
        </w:trPr>
        <w:tc>
          <w:tcPr>
            <w:tcW w:w="3387" w:type="dxa"/>
            <w:tcBorders>
              <w:top w:val="single" w:sz="8" w:space="0" w:color="auto"/>
              <w:left w:val="single" w:sz="8" w:space="0" w:color="auto"/>
              <w:bottom w:val="single" w:sz="8" w:space="0" w:color="auto"/>
              <w:right w:val="nil"/>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Total  Egresos</w:t>
            </w:r>
          </w:p>
        </w:tc>
        <w:tc>
          <w:tcPr>
            <w:tcW w:w="1077" w:type="dxa"/>
            <w:tcBorders>
              <w:top w:val="nil"/>
              <w:left w:val="nil"/>
              <w:bottom w:val="single" w:sz="8" w:space="0" w:color="auto"/>
              <w:right w:val="nil"/>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1.204.529.601,18 </w:t>
            </w:r>
          </w:p>
        </w:tc>
        <w:tc>
          <w:tcPr>
            <w:tcW w:w="2001"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1.298.677.030,50 </w:t>
            </w:r>
          </w:p>
        </w:tc>
        <w:tc>
          <w:tcPr>
            <w:tcW w:w="138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94.147.429,32 </w:t>
            </w:r>
          </w:p>
        </w:tc>
        <w:tc>
          <w:tcPr>
            <w:tcW w:w="923" w:type="dxa"/>
            <w:tcBorders>
              <w:top w:val="single" w:sz="8" w:space="0" w:color="auto"/>
              <w:left w:val="nil"/>
              <w:bottom w:val="single" w:sz="8" w:space="0" w:color="auto"/>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8%</w:t>
            </w:r>
          </w:p>
        </w:tc>
      </w:tr>
      <w:tr w:rsidR="005412A2" w:rsidRPr="005412A2" w:rsidTr="005412A2">
        <w:trPr>
          <w:trHeight w:val="166"/>
        </w:trPr>
        <w:tc>
          <w:tcPr>
            <w:tcW w:w="3387" w:type="dxa"/>
            <w:tcBorders>
              <w:top w:val="nil"/>
              <w:left w:val="single" w:sz="8" w:space="0" w:color="auto"/>
              <w:bottom w:val="nil"/>
              <w:right w:val="nil"/>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w:t>
            </w:r>
          </w:p>
        </w:tc>
        <w:tc>
          <w:tcPr>
            <w:tcW w:w="1077" w:type="dxa"/>
            <w:tcBorders>
              <w:top w:val="nil"/>
              <w:left w:val="nil"/>
              <w:bottom w:val="nil"/>
              <w:right w:val="nil"/>
            </w:tcBorders>
            <w:shd w:val="clear" w:color="000000" w:fill="FFFFFF"/>
            <w:noWrap/>
            <w:vAlign w:val="bottom"/>
            <w:hideMark/>
          </w:tcPr>
          <w:p w:rsidR="005412A2" w:rsidRPr="005412A2" w:rsidRDefault="005412A2" w:rsidP="005412A2">
            <w:pPr>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2001" w:type="dxa"/>
            <w:tcBorders>
              <w:top w:val="nil"/>
              <w:left w:val="nil"/>
              <w:bottom w:val="nil"/>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c>
          <w:tcPr>
            <w:tcW w:w="1385" w:type="dxa"/>
            <w:tcBorders>
              <w:top w:val="nil"/>
              <w:left w:val="single" w:sz="8" w:space="0" w:color="auto"/>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   </w:t>
            </w:r>
          </w:p>
        </w:tc>
        <w:tc>
          <w:tcPr>
            <w:tcW w:w="923" w:type="dxa"/>
            <w:tcBorders>
              <w:top w:val="nil"/>
              <w:left w:val="nil"/>
              <w:bottom w:val="nil"/>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w:t>
            </w:r>
          </w:p>
        </w:tc>
      </w:tr>
      <w:tr w:rsidR="005412A2" w:rsidRPr="005412A2" w:rsidTr="005412A2">
        <w:trPr>
          <w:trHeight w:val="175"/>
        </w:trPr>
        <w:tc>
          <w:tcPr>
            <w:tcW w:w="3387" w:type="dxa"/>
            <w:tcBorders>
              <w:top w:val="nil"/>
              <w:left w:val="single" w:sz="8" w:space="0" w:color="auto"/>
              <w:bottom w:val="single" w:sz="8" w:space="0" w:color="auto"/>
              <w:right w:val="nil"/>
            </w:tcBorders>
            <w:shd w:val="clear" w:color="000000" w:fill="FFFFFF"/>
            <w:noWrap/>
            <w:vAlign w:val="bottom"/>
            <w:hideMark/>
          </w:tcPr>
          <w:p w:rsidR="005412A2" w:rsidRPr="005412A2" w:rsidRDefault="005412A2" w:rsidP="005412A2">
            <w:pPr>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Utilidad o (Perdida)</w:t>
            </w:r>
          </w:p>
        </w:tc>
        <w:tc>
          <w:tcPr>
            <w:tcW w:w="1077"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22</w:t>
            </w:r>
          </w:p>
        </w:tc>
        <w:tc>
          <w:tcPr>
            <w:tcW w:w="2001"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607.300.870,88 </w:t>
            </w:r>
          </w:p>
        </w:tc>
        <w:tc>
          <w:tcPr>
            <w:tcW w:w="2001" w:type="dxa"/>
            <w:tcBorders>
              <w:top w:val="nil"/>
              <w:left w:val="nil"/>
              <w:bottom w:val="single" w:sz="8" w:space="0" w:color="auto"/>
              <w:right w:val="nil"/>
            </w:tcBorders>
            <w:shd w:val="clear" w:color="000000" w:fill="FFFFFF"/>
            <w:noWrap/>
            <w:vAlign w:val="bottom"/>
            <w:hideMark/>
          </w:tcPr>
          <w:p w:rsidR="005412A2" w:rsidRPr="005412A2" w:rsidRDefault="005412A2" w:rsidP="005412A2">
            <w:pPr>
              <w:jc w:val="right"/>
              <w:rPr>
                <w:rFonts w:ascii="Arial" w:eastAsia="Times New Roman" w:hAnsi="Arial" w:cs="Arial"/>
                <w:b/>
                <w:bCs/>
                <w:color w:val="000000"/>
                <w:sz w:val="14"/>
                <w:szCs w:val="14"/>
                <w:lang w:eastAsia="es-CR"/>
              </w:rPr>
            </w:pPr>
            <w:r w:rsidRPr="005412A2">
              <w:rPr>
                <w:rFonts w:ascii="Arial" w:eastAsia="Times New Roman" w:hAnsi="Arial" w:cs="Arial"/>
                <w:b/>
                <w:bCs/>
                <w:color w:val="000000"/>
                <w:sz w:val="14"/>
                <w:szCs w:val="14"/>
                <w:lang w:eastAsia="es-CR"/>
              </w:rPr>
              <w:t xml:space="preserve">-                354.589.966,60 </w:t>
            </w:r>
          </w:p>
        </w:tc>
        <w:tc>
          <w:tcPr>
            <w:tcW w:w="1385" w:type="dxa"/>
            <w:tcBorders>
              <w:top w:val="nil"/>
              <w:left w:val="single" w:sz="8" w:space="0" w:color="auto"/>
              <w:bottom w:val="single" w:sz="8" w:space="0" w:color="auto"/>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 xml:space="preserve">   252.710.904,28 </w:t>
            </w:r>
          </w:p>
        </w:tc>
        <w:tc>
          <w:tcPr>
            <w:tcW w:w="923" w:type="dxa"/>
            <w:tcBorders>
              <w:top w:val="nil"/>
              <w:left w:val="nil"/>
              <w:bottom w:val="single" w:sz="8" w:space="0" w:color="auto"/>
              <w:right w:val="single" w:sz="8" w:space="0" w:color="auto"/>
            </w:tcBorders>
            <w:shd w:val="clear" w:color="000000" w:fill="FFFFFF"/>
            <w:noWrap/>
            <w:vAlign w:val="bottom"/>
            <w:hideMark/>
          </w:tcPr>
          <w:p w:rsidR="005412A2" w:rsidRPr="005412A2" w:rsidRDefault="005412A2" w:rsidP="005412A2">
            <w:pPr>
              <w:jc w:val="right"/>
              <w:rPr>
                <w:rFonts w:ascii="Arial" w:eastAsia="Times New Roman" w:hAnsi="Arial" w:cs="Arial"/>
                <w:color w:val="000000"/>
                <w:sz w:val="14"/>
                <w:szCs w:val="14"/>
                <w:lang w:eastAsia="es-CR"/>
              </w:rPr>
            </w:pPr>
            <w:r w:rsidRPr="005412A2">
              <w:rPr>
                <w:rFonts w:ascii="Arial" w:eastAsia="Times New Roman" w:hAnsi="Arial" w:cs="Arial"/>
                <w:color w:val="000000"/>
                <w:sz w:val="14"/>
                <w:szCs w:val="14"/>
                <w:lang w:eastAsia="es-CR"/>
              </w:rPr>
              <w:t>-42%</w:t>
            </w:r>
          </w:p>
        </w:tc>
      </w:tr>
    </w:tbl>
    <w:p w:rsidR="00C94CCA" w:rsidRPr="00767C7C" w:rsidRDefault="00C94CCA">
      <w:pPr>
        <w:rPr>
          <w:rFonts w:ascii="Trebuchet MS" w:eastAsia="Times New Roman" w:hAnsi="Trebuchet MS" w:cs="Arial"/>
          <w:b/>
          <w:sz w:val="22"/>
          <w:szCs w:val="22"/>
          <w:lang w:eastAsia="en-US"/>
        </w:rPr>
      </w:pPr>
    </w:p>
    <w:p w:rsidR="00353A87" w:rsidRDefault="00353A87" w:rsidP="00FC2809">
      <w:pPr>
        <w:contextualSpacing/>
        <w:jc w:val="both"/>
        <w:rPr>
          <w:rFonts w:ascii="Trebuchet MS" w:hAnsi="Trebuchet MS" w:cs="Arial"/>
          <w:b/>
        </w:rPr>
      </w:pPr>
    </w:p>
    <w:p w:rsidR="00D52DC3" w:rsidRDefault="00D52DC3"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D81272" w:rsidRDefault="00D81272" w:rsidP="00FC2809">
      <w:pPr>
        <w:contextualSpacing/>
        <w:jc w:val="both"/>
        <w:rPr>
          <w:rFonts w:ascii="Trebuchet MS" w:hAnsi="Trebuchet MS" w:cs="Arial"/>
          <w:b/>
        </w:rPr>
      </w:pPr>
    </w:p>
    <w:p w:rsidR="00D81272" w:rsidRDefault="00D81272" w:rsidP="00FC2809">
      <w:pPr>
        <w:contextualSpacing/>
        <w:jc w:val="both"/>
        <w:rPr>
          <w:rFonts w:ascii="Trebuchet MS" w:hAnsi="Trebuchet MS" w:cs="Arial"/>
          <w:b/>
        </w:rPr>
      </w:pPr>
    </w:p>
    <w:p w:rsidR="00D81272" w:rsidRDefault="00D81272" w:rsidP="00FC2809">
      <w:pPr>
        <w:contextualSpacing/>
        <w:jc w:val="both"/>
        <w:rPr>
          <w:rFonts w:ascii="Trebuchet MS" w:hAnsi="Trebuchet MS" w:cs="Arial"/>
          <w:b/>
        </w:rPr>
      </w:pPr>
    </w:p>
    <w:p w:rsidR="00D81272" w:rsidRDefault="00D81272"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2E5057" w:rsidRDefault="002E5057" w:rsidP="00FC2809">
      <w:pPr>
        <w:contextualSpacing/>
        <w:jc w:val="both"/>
        <w:rPr>
          <w:rFonts w:ascii="Trebuchet MS" w:hAnsi="Trebuchet MS" w:cs="Arial"/>
          <w:b/>
        </w:rPr>
      </w:pPr>
    </w:p>
    <w:p w:rsidR="00D041AF" w:rsidRPr="00494B08" w:rsidRDefault="00D041AF" w:rsidP="00D041AF">
      <w:pPr>
        <w:contextualSpacing/>
        <w:jc w:val="both"/>
        <w:rPr>
          <w:rFonts w:ascii="Arial" w:hAnsi="Arial" w:cs="Arial"/>
          <w:b/>
          <w:sz w:val="24"/>
          <w:szCs w:val="24"/>
        </w:rPr>
      </w:pPr>
      <w:r w:rsidRPr="00494B08">
        <w:rPr>
          <w:rFonts w:ascii="Arial" w:hAnsi="Arial" w:cs="Arial"/>
          <w:b/>
          <w:sz w:val="24"/>
          <w:szCs w:val="24"/>
        </w:rPr>
        <w:t>Comentarios al Estado de Resultados:</w:t>
      </w:r>
    </w:p>
    <w:p w:rsidR="00D041AF" w:rsidRPr="00494B08" w:rsidRDefault="00D041AF" w:rsidP="00D041AF">
      <w:pPr>
        <w:contextualSpacing/>
        <w:jc w:val="both"/>
        <w:rPr>
          <w:rFonts w:ascii="Arial" w:hAnsi="Arial" w:cs="Arial"/>
          <w:b/>
          <w:sz w:val="24"/>
          <w:szCs w:val="24"/>
        </w:rPr>
      </w:pPr>
    </w:p>
    <w:p w:rsidR="007D11FB" w:rsidRPr="00F35175" w:rsidRDefault="002E5057" w:rsidP="00D041AF">
      <w:pPr>
        <w:contextualSpacing/>
        <w:jc w:val="both"/>
        <w:rPr>
          <w:rFonts w:ascii="Arial" w:hAnsi="Arial" w:cs="Arial"/>
          <w:color w:val="000000" w:themeColor="text1"/>
          <w:sz w:val="24"/>
          <w:szCs w:val="24"/>
        </w:rPr>
      </w:pPr>
      <w:r w:rsidRPr="00F35175">
        <w:rPr>
          <w:rFonts w:ascii="Arial" w:hAnsi="Arial" w:cs="Arial"/>
          <w:color w:val="000000" w:themeColor="text1"/>
          <w:sz w:val="24"/>
          <w:szCs w:val="24"/>
        </w:rPr>
        <w:t>El Fideicomiso presenta un ingreso total de ¢</w:t>
      </w:r>
      <w:r w:rsidR="0013350D" w:rsidRPr="00F35175">
        <w:rPr>
          <w:rFonts w:ascii="Arial" w:hAnsi="Arial" w:cs="Arial"/>
          <w:color w:val="000000" w:themeColor="text1"/>
          <w:sz w:val="24"/>
          <w:szCs w:val="24"/>
        </w:rPr>
        <w:t>944.087,06</w:t>
      </w:r>
      <w:r w:rsidRPr="00F35175">
        <w:rPr>
          <w:rFonts w:ascii="Arial" w:hAnsi="Arial" w:cs="Arial"/>
          <w:color w:val="000000" w:themeColor="text1"/>
          <w:sz w:val="24"/>
          <w:szCs w:val="24"/>
        </w:rPr>
        <w:t xml:space="preserve"> mil, los cuales comparativamente con respeto al mismo periodo del año anterior presentan un </w:t>
      </w:r>
      <w:r w:rsidR="008176F3" w:rsidRPr="00F35175">
        <w:rPr>
          <w:rFonts w:ascii="Arial" w:hAnsi="Arial" w:cs="Arial"/>
          <w:color w:val="000000" w:themeColor="text1"/>
          <w:sz w:val="24"/>
          <w:szCs w:val="24"/>
        </w:rPr>
        <w:t>aumento</w:t>
      </w:r>
      <w:r w:rsidRPr="00F35175">
        <w:rPr>
          <w:rFonts w:ascii="Arial" w:hAnsi="Arial" w:cs="Arial"/>
          <w:color w:val="000000" w:themeColor="text1"/>
          <w:sz w:val="24"/>
          <w:szCs w:val="24"/>
        </w:rPr>
        <w:t xml:space="preserve"> d</w:t>
      </w:r>
      <w:r w:rsidR="008176F3" w:rsidRPr="00F35175">
        <w:rPr>
          <w:rFonts w:ascii="Arial" w:hAnsi="Arial" w:cs="Arial"/>
          <w:color w:val="000000" w:themeColor="text1"/>
          <w:sz w:val="24"/>
          <w:szCs w:val="24"/>
        </w:rPr>
        <w:t>e 58%.</w:t>
      </w:r>
      <w:r w:rsidRPr="00F35175">
        <w:rPr>
          <w:rFonts w:ascii="Arial" w:hAnsi="Arial" w:cs="Arial"/>
          <w:color w:val="000000" w:themeColor="text1"/>
          <w:sz w:val="24"/>
          <w:szCs w:val="24"/>
        </w:rPr>
        <w:t xml:space="preserve"> </w:t>
      </w:r>
      <w:r w:rsidR="008176F3" w:rsidRPr="00F35175">
        <w:rPr>
          <w:rFonts w:ascii="Arial" w:hAnsi="Arial" w:cs="Arial"/>
          <w:color w:val="000000" w:themeColor="text1"/>
          <w:sz w:val="24"/>
          <w:szCs w:val="24"/>
        </w:rPr>
        <w:t xml:space="preserve">Al respecto la cuenta de disminución estimaciones por incobrables es la que presenta un mayor aumento, la cual presenta un aumento de un </w:t>
      </w:r>
      <w:r w:rsidR="00F07463" w:rsidRPr="00F35175">
        <w:rPr>
          <w:rFonts w:ascii="Arial" w:hAnsi="Arial" w:cs="Arial"/>
          <w:color w:val="000000" w:themeColor="text1"/>
          <w:sz w:val="24"/>
          <w:szCs w:val="24"/>
        </w:rPr>
        <w:t>1516% en términos relativos y de ¢128.125,72 en términos absolutos</w:t>
      </w:r>
      <w:r w:rsidR="00A93918" w:rsidRPr="00F35175">
        <w:rPr>
          <w:rFonts w:ascii="Arial" w:hAnsi="Arial" w:cs="Arial"/>
          <w:color w:val="000000" w:themeColor="text1"/>
          <w:sz w:val="24"/>
          <w:szCs w:val="24"/>
        </w:rPr>
        <w:t xml:space="preserve">, también se presenta un aumento significativo en la cuenta otros ingresos operativos </w:t>
      </w:r>
      <w:r w:rsidR="00FB5504" w:rsidRPr="00F35175">
        <w:rPr>
          <w:rFonts w:ascii="Arial" w:hAnsi="Arial" w:cs="Arial"/>
          <w:color w:val="000000" w:themeColor="text1"/>
          <w:sz w:val="24"/>
          <w:szCs w:val="24"/>
        </w:rPr>
        <w:t>la cual presenta un aumento relativo de un 47% y en términos absolutos de ¢189.363,13, ambas cuentas son parte de los ingresos operativos.</w:t>
      </w:r>
      <w:r w:rsidRPr="00F35175">
        <w:rPr>
          <w:rFonts w:ascii="Arial" w:hAnsi="Arial" w:cs="Arial"/>
          <w:color w:val="000000" w:themeColor="text1"/>
          <w:sz w:val="24"/>
          <w:szCs w:val="24"/>
        </w:rPr>
        <w:t xml:space="preserve"> </w:t>
      </w:r>
      <w:r w:rsidR="00D718B9" w:rsidRPr="00F35175">
        <w:rPr>
          <w:rFonts w:ascii="Arial" w:hAnsi="Arial" w:cs="Arial"/>
          <w:color w:val="000000" w:themeColor="text1"/>
          <w:sz w:val="24"/>
          <w:szCs w:val="24"/>
        </w:rPr>
        <w:t xml:space="preserve">Por su parte, los ingresos financieros muestran la misma tendencia de </w:t>
      </w:r>
      <w:r w:rsidR="00FB5504" w:rsidRPr="00F35175">
        <w:rPr>
          <w:rFonts w:ascii="Arial" w:hAnsi="Arial" w:cs="Arial"/>
          <w:color w:val="000000" w:themeColor="text1"/>
          <w:sz w:val="24"/>
          <w:szCs w:val="24"/>
        </w:rPr>
        <w:t>aumento</w:t>
      </w:r>
      <w:r w:rsidR="00D718B9" w:rsidRPr="00F35175">
        <w:rPr>
          <w:rFonts w:ascii="Arial" w:hAnsi="Arial" w:cs="Arial"/>
          <w:color w:val="000000" w:themeColor="text1"/>
          <w:sz w:val="24"/>
          <w:szCs w:val="24"/>
        </w:rPr>
        <w:t xml:space="preserve">, presentando un </w:t>
      </w:r>
      <w:r w:rsidR="00FB5504" w:rsidRPr="00F35175">
        <w:rPr>
          <w:rFonts w:ascii="Arial" w:hAnsi="Arial" w:cs="Arial"/>
          <w:color w:val="000000" w:themeColor="text1"/>
          <w:sz w:val="24"/>
          <w:szCs w:val="24"/>
        </w:rPr>
        <w:t>aumento</w:t>
      </w:r>
      <w:r w:rsidR="00D718B9" w:rsidRPr="00F35175">
        <w:rPr>
          <w:rFonts w:ascii="Arial" w:hAnsi="Arial" w:cs="Arial"/>
          <w:color w:val="000000" w:themeColor="text1"/>
          <w:sz w:val="24"/>
          <w:szCs w:val="24"/>
        </w:rPr>
        <w:t xml:space="preserve"> de ¢</w:t>
      </w:r>
      <w:r w:rsidR="00F35175" w:rsidRPr="00F35175">
        <w:rPr>
          <w:rFonts w:ascii="Arial" w:hAnsi="Arial" w:cs="Arial"/>
          <w:color w:val="000000" w:themeColor="text1"/>
          <w:sz w:val="24"/>
          <w:szCs w:val="24"/>
        </w:rPr>
        <w:t>3.556,96</w:t>
      </w:r>
      <w:r w:rsidR="00D718B9" w:rsidRPr="00F35175">
        <w:rPr>
          <w:rFonts w:ascii="Arial" w:hAnsi="Arial" w:cs="Arial"/>
          <w:color w:val="000000" w:themeColor="text1"/>
          <w:sz w:val="24"/>
          <w:szCs w:val="24"/>
        </w:rPr>
        <w:t xml:space="preserve"> para un </w:t>
      </w:r>
      <w:r w:rsidR="00F35175">
        <w:rPr>
          <w:rFonts w:ascii="Arial" w:hAnsi="Arial" w:cs="Arial"/>
          <w:color w:val="000000" w:themeColor="text1"/>
          <w:sz w:val="24"/>
          <w:szCs w:val="24"/>
        </w:rPr>
        <w:t>25</w:t>
      </w:r>
      <w:r w:rsidR="00D718B9" w:rsidRPr="00F35175">
        <w:rPr>
          <w:rFonts w:ascii="Arial" w:hAnsi="Arial" w:cs="Arial"/>
          <w:color w:val="000000" w:themeColor="text1"/>
          <w:sz w:val="24"/>
          <w:szCs w:val="24"/>
        </w:rPr>
        <w:t>%.</w:t>
      </w:r>
    </w:p>
    <w:p w:rsidR="000F70C0" w:rsidRPr="00634FF4" w:rsidRDefault="000F70C0" w:rsidP="00D041AF">
      <w:pPr>
        <w:contextualSpacing/>
        <w:jc w:val="both"/>
        <w:rPr>
          <w:rFonts w:ascii="Arial" w:hAnsi="Arial" w:cs="Arial"/>
          <w:color w:val="FF0000"/>
          <w:sz w:val="24"/>
          <w:szCs w:val="24"/>
        </w:rPr>
      </w:pPr>
    </w:p>
    <w:p w:rsidR="00D17307" w:rsidRPr="00FC0981" w:rsidRDefault="00D041AF" w:rsidP="00D041AF">
      <w:pPr>
        <w:contextualSpacing/>
        <w:jc w:val="both"/>
        <w:rPr>
          <w:rFonts w:ascii="Arial" w:hAnsi="Arial" w:cs="Arial"/>
          <w:sz w:val="24"/>
          <w:szCs w:val="24"/>
        </w:rPr>
      </w:pPr>
      <w:r w:rsidRPr="00FC0981">
        <w:rPr>
          <w:rFonts w:ascii="Arial" w:hAnsi="Arial" w:cs="Arial"/>
          <w:sz w:val="24"/>
          <w:szCs w:val="24"/>
        </w:rPr>
        <w:t>Con respecto a los gastos</w:t>
      </w:r>
      <w:r w:rsidR="00BF0078" w:rsidRPr="00FC0981">
        <w:rPr>
          <w:rFonts w:ascii="Arial" w:hAnsi="Arial" w:cs="Arial"/>
          <w:sz w:val="24"/>
          <w:szCs w:val="24"/>
        </w:rPr>
        <w:t>,</w:t>
      </w:r>
      <w:r w:rsidRPr="00FC0981">
        <w:rPr>
          <w:rFonts w:ascii="Arial" w:hAnsi="Arial" w:cs="Arial"/>
          <w:sz w:val="24"/>
          <w:szCs w:val="24"/>
        </w:rPr>
        <w:t xml:space="preserve"> </w:t>
      </w:r>
      <w:r w:rsidR="00BF0078" w:rsidRPr="00FC0981">
        <w:rPr>
          <w:rFonts w:ascii="Arial" w:hAnsi="Arial" w:cs="Arial"/>
          <w:sz w:val="24"/>
          <w:szCs w:val="24"/>
        </w:rPr>
        <w:t xml:space="preserve">el Fideicomiso presenta gastos totales por un monto de                          </w:t>
      </w:r>
      <w:r w:rsidR="00D52DC3" w:rsidRPr="00FC0981">
        <w:rPr>
          <w:rFonts w:ascii="Arial" w:hAnsi="Arial" w:cs="Arial"/>
          <w:sz w:val="24"/>
          <w:szCs w:val="24"/>
        </w:rPr>
        <w:t>¢</w:t>
      </w:r>
      <w:r w:rsidR="00873933" w:rsidRPr="00FC0981">
        <w:rPr>
          <w:rFonts w:ascii="Arial" w:hAnsi="Arial" w:cs="Arial"/>
          <w:sz w:val="24"/>
          <w:szCs w:val="24"/>
        </w:rPr>
        <w:t>1.298.677,03 m</w:t>
      </w:r>
      <w:r w:rsidR="00023277" w:rsidRPr="00FC0981">
        <w:rPr>
          <w:rFonts w:ascii="Arial" w:hAnsi="Arial" w:cs="Arial"/>
          <w:sz w:val="24"/>
          <w:szCs w:val="24"/>
        </w:rPr>
        <w:t>il</w:t>
      </w:r>
      <w:r w:rsidR="00C60F59" w:rsidRPr="00FC0981">
        <w:rPr>
          <w:rFonts w:ascii="Arial" w:hAnsi="Arial" w:cs="Arial"/>
          <w:sz w:val="24"/>
          <w:szCs w:val="24"/>
        </w:rPr>
        <w:t xml:space="preserve">, </w:t>
      </w:r>
      <w:r w:rsidR="00BF0078" w:rsidRPr="00FC0981">
        <w:rPr>
          <w:rFonts w:ascii="Arial" w:hAnsi="Arial" w:cs="Arial"/>
          <w:sz w:val="24"/>
          <w:szCs w:val="24"/>
        </w:rPr>
        <w:t xml:space="preserve">comparativamente con respeto al </w:t>
      </w:r>
      <w:r w:rsidR="00873933" w:rsidRPr="00FC0981">
        <w:rPr>
          <w:rFonts w:ascii="Arial" w:hAnsi="Arial" w:cs="Arial"/>
          <w:sz w:val="24"/>
          <w:szCs w:val="24"/>
        </w:rPr>
        <w:t xml:space="preserve">cierre del </w:t>
      </w:r>
      <w:r w:rsidR="00BF0078" w:rsidRPr="00FC0981">
        <w:rPr>
          <w:rFonts w:ascii="Arial" w:hAnsi="Arial" w:cs="Arial"/>
          <w:sz w:val="24"/>
          <w:szCs w:val="24"/>
        </w:rPr>
        <w:t xml:space="preserve">año 2017, presenta un </w:t>
      </w:r>
      <w:r w:rsidR="00873933" w:rsidRPr="00FC0981">
        <w:rPr>
          <w:rFonts w:ascii="Arial" w:hAnsi="Arial" w:cs="Arial"/>
          <w:sz w:val="24"/>
          <w:szCs w:val="24"/>
        </w:rPr>
        <w:t>aumento</w:t>
      </w:r>
      <w:r w:rsidR="00BF0078" w:rsidRPr="00FC0981">
        <w:rPr>
          <w:rFonts w:ascii="Arial" w:hAnsi="Arial" w:cs="Arial"/>
          <w:sz w:val="24"/>
          <w:szCs w:val="24"/>
        </w:rPr>
        <w:t xml:space="preserve"> relativ</w:t>
      </w:r>
      <w:r w:rsidR="00873933" w:rsidRPr="00FC0981">
        <w:rPr>
          <w:rFonts w:ascii="Arial" w:hAnsi="Arial" w:cs="Arial"/>
          <w:sz w:val="24"/>
          <w:szCs w:val="24"/>
        </w:rPr>
        <w:t>o</w:t>
      </w:r>
      <w:r w:rsidR="00BF0078" w:rsidRPr="00FC0981">
        <w:rPr>
          <w:rFonts w:ascii="Arial" w:hAnsi="Arial" w:cs="Arial"/>
          <w:sz w:val="24"/>
          <w:szCs w:val="24"/>
        </w:rPr>
        <w:t xml:space="preserve"> de un </w:t>
      </w:r>
      <w:r w:rsidR="00873933" w:rsidRPr="00FC0981">
        <w:rPr>
          <w:rFonts w:ascii="Arial" w:hAnsi="Arial" w:cs="Arial"/>
          <w:sz w:val="24"/>
          <w:szCs w:val="24"/>
        </w:rPr>
        <w:t>8</w:t>
      </w:r>
      <w:r w:rsidR="00BF0078" w:rsidRPr="00FC0981">
        <w:rPr>
          <w:rFonts w:ascii="Arial" w:hAnsi="Arial" w:cs="Arial"/>
          <w:sz w:val="24"/>
          <w:szCs w:val="24"/>
        </w:rPr>
        <w:t>% y absolut</w:t>
      </w:r>
      <w:r w:rsidR="00873933" w:rsidRPr="00FC0981">
        <w:rPr>
          <w:rFonts w:ascii="Arial" w:hAnsi="Arial" w:cs="Arial"/>
          <w:sz w:val="24"/>
          <w:szCs w:val="24"/>
        </w:rPr>
        <w:t>o</w:t>
      </w:r>
      <w:r w:rsidR="00BF0078" w:rsidRPr="00FC0981">
        <w:rPr>
          <w:rFonts w:ascii="Arial" w:hAnsi="Arial" w:cs="Arial"/>
          <w:sz w:val="24"/>
          <w:szCs w:val="24"/>
        </w:rPr>
        <w:t xml:space="preserve"> </w:t>
      </w:r>
      <w:r w:rsidR="00873933" w:rsidRPr="00FC0981">
        <w:rPr>
          <w:rFonts w:ascii="Arial" w:hAnsi="Arial" w:cs="Arial"/>
          <w:sz w:val="24"/>
          <w:szCs w:val="24"/>
        </w:rPr>
        <w:t>de</w:t>
      </w:r>
      <w:r w:rsidR="00BF0078" w:rsidRPr="00FC0981">
        <w:rPr>
          <w:rFonts w:ascii="Arial" w:hAnsi="Arial" w:cs="Arial"/>
          <w:sz w:val="24"/>
          <w:szCs w:val="24"/>
        </w:rPr>
        <w:t xml:space="preserve"> ¢</w:t>
      </w:r>
      <w:r w:rsidR="00873933" w:rsidRPr="00FC0981">
        <w:rPr>
          <w:rFonts w:ascii="Arial" w:hAnsi="Arial" w:cs="Arial"/>
          <w:sz w:val="24"/>
          <w:szCs w:val="24"/>
        </w:rPr>
        <w:t>94.147,43</w:t>
      </w:r>
      <w:r w:rsidR="00BF0078" w:rsidRPr="00FC0981">
        <w:rPr>
          <w:rFonts w:ascii="Arial" w:hAnsi="Arial" w:cs="Arial"/>
          <w:sz w:val="24"/>
          <w:szCs w:val="24"/>
        </w:rPr>
        <w:t xml:space="preserve"> mil.</w:t>
      </w:r>
    </w:p>
    <w:p w:rsidR="00645F2A" w:rsidRPr="00DB1174" w:rsidRDefault="00BF0078" w:rsidP="00D041AF">
      <w:pPr>
        <w:contextualSpacing/>
        <w:jc w:val="both"/>
        <w:rPr>
          <w:rFonts w:ascii="Arial" w:hAnsi="Arial" w:cs="Arial"/>
          <w:sz w:val="24"/>
          <w:szCs w:val="24"/>
        </w:rPr>
      </w:pPr>
      <w:r w:rsidRPr="00DB1174">
        <w:rPr>
          <w:rFonts w:ascii="Arial" w:hAnsi="Arial" w:cs="Arial"/>
          <w:sz w:val="24"/>
          <w:szCs w:val="24"/>
        </w:rPr>
        <w:t xml:space="preserve">Los gastos </w:t>
      </w:r>
      <w:r w:rsidR="00D17307" w:rsidRPr="00DB1174">
        <w:rPr>
          <w:rFonts w:ascii="Arial" w:hAnsi="Arial" w:cs="Arial"/>
          <w:sz w:val="24"/>
          <w:szCs w:val="24"/>
        </w:rPr>
        <w:t>operativos presentan una disminución relativa de un -2</w:t>
      </w:r>
      <w:r w:rsidR="007C1235" w:rsidRPr="00DB1174">
        <w:rPr>
          <w:rFonts w:ascii="Arial" w:hAnsi="Arial" w:cs="Arial"/>
          <w:sz w:val="24"/>
          <w:szCs w:val="24"/>
        </w:rPr>
        <w:t>0</w:t>
      </w:r>
      <w:r w:rsidR="00D17307" w:rsidRPr="00DB1174">
        <w:rPr>
          <w:rFonts w:ascii="Arial" w:hAnsi="Arial" w:cs="Arial"/>
          <w:sz w:val="24"/>
          <w:szCs w:val="24"/>
        </w:rPr>
        <w:t xml:space="preserve">%, siendo los gastos por estimación de cartera de crédito los que presentan un mayor monto de disminución </w:t>
      </w:r>
      <w:r w:rsidR="00DB1174" w:rsidRPr="00DB1174">
        <w:rPr>
          <w:rFonts w:ascii="Arial" w:hAnsi="Arial" w:cs="Arial"/>
          <w:sz w:val="24"/>
          <w:szCs w:val="24"/>
        </w:rPr>
        <w:t>por ¢</w:t>
      </w:r>
      <w:r w:rsidR="00D17307" w:rsidRPr="00DB1174">
        <w:rPr>
          <w:rFonts w:ascii="Arial" w:hAnsi="Arial" w:cs="Arial"/>
          <w:sz w:val="24"/>
          <w:szCs w:val="24"/>
        </w:rPr>
        <w:t>-7</w:t>
      </w:r>
      <w:r w:rsidR="007C1235" w:rsidRPr="00DB1174">
        <w:rPr>
          <w:rFonts w:ascii="Arial" w:hAnsi="Arial" w:cs="Arial"/>
          <w:sz w:val="24"/>
          <w:szCs w:val="24"/>
        </w:rPr>
        <w:t>8.989,77</w:t>
      </w:r>
      <w:r w:rsidR="00D17307" w:rsidRPr="00DB1174">
        <w:rPr>
          <w:rFonts w:ascii="Arial" w:hAnsi="Arial" w:cs="Arial"/>
          <w:sz w:val="24"/>
          <w:szCs w:val="24"/>
        </w:rPr>
        <w:t xml:space="preserve"> para un -</w:t>
      </w:r>
      <w:r w:rsidR="007C1235" w:rsidRPr="00DB1174">
        <w:rPr>
          <w:rFonts w:ascii="Arial" w:hAnsi="Arial" w:cs="Arial"/>
          <w:sz w:val="24"/>
          <w:szCs w:val="24"/>
        </w:rPr>
        <w:t>48</w:t>
      </w:r>
      <w:r w:rsidR="00D17307" w:rsidRPr="00DB1174">
        <w:rPr>
          <w:rFonts w:ascii="Arial" w:hAnsi="Arial" w:cs="Arial"/>
          <w:sz w:val="24"/>
          <w:szCs w:val="24"/>
        </w:rPr>
        <w:t xml:space="preserve">%, otra cuenta que presenta una disminución importante es la de otros gastos operativos por un monto </w:t>
      </w:r>
      <w:r w:rsidR="00ED5143" w:rsidRPr="00DB1174">
        <w:rPr>
          <w:rFonts w:ascii="Arial" w:hAnsi="Arial" w:cs="Arial"/>
          <w:sz w:val="24"/>
          <w:szCs w:val="24"/>
        </w:rPr>
        <w:t>de ¢</w:t>
      </w:r>
      <w:r w:rsidR="007C1235" w:rsidRPr="00DB1174">
        <w:rPr>
          <w:rFonts w:ascii="Arial" w:hAnsi="Arial" w:cs="Arial"/>
          <w:sz w:val="24"/>
          <w:szCs w:val="24"/>
        </w:rPr>
        <w:t>-18.668,79</w:t>
      </w:r>
      <w:r w:rsidR="00D17307" w:rsidRPr="00DB1174">
        <w:rPr>
          <w:rFonts w:ascii="Arial" w:hAnsi="Arial" w:cs="Arial"/>
          <w:sz w:val="24"/>
          <w:szCs w:val="24"/>
        </w:rPr>
        <w:t xml:space="preserve"> </w:t>
      </w:r>
      <w:r w:rsidR="00126C30" w:rsidRPr="00DB1174">
        <w:rPr>
          <w:rFonts w:ascii="Arial" w:hAnsi="Arial" w:cs="Arial"/>
          <w:sz w:val="24"/>
          <w:szCs w:val="24"/>
        </w:rPr>
        <w:t xml:space="preserve">mil </w:t>
      </w:r>
      <w:r w:rsidR="00D17307" w:rsidRPr="00DB1174">
        <w:rPr>
          <w:rFonts w:ascii="Arial" w:hAnsi="Arial" w:cs="Arial"/>
          <w:sz w:val="24"/>
          <w:szCs w:val="24"/>
        </w:rPr>
        <w:t>y en términos relativos por</w:t>
      </w:r>
      <w:r w:rsidR="00A04356" w:rsidRPr="00DB1174">
        <w:rPr>
          <w:rFonts w:ascii="Arial" w:hAnsi="Arial" w:cs="Arial"/>
          <w:sz w:val="24"/>
          <w:szCs w:val="24"/>
        </w:rPr>
        <w:t xml:space="preserve">     </w:t>
      </w:r>
      <w:r w:rsidR="00D17307" w:rsidRPr="00DB1174">
        <w:rPr>
          <w:rFonts w:ascii="Arial" w:hAnsi="Arial" w:cs="Arial"/>
          <w:sz w:val="24"/>
          <w:szCs w:val="24"/>
        </w:rPr>
        <w:t xml:space="preserve"> -</w:t>
      </w:r>
      <w:r w:rsidR="007C1235" w:rsidRPr="00DB1174">
        <w:rPr>
          <w:rFonts w:ascii="Arial" w:hAnsi="Arial" w:cs="Arial"/>
          <w:sz w:val="24"/>
          <w:szCs w:val="24"/>
        </w:rPr>
        <w:t>83</w:t>
      </w:r>
      <w:r w:rsidR="00D17307" w:rsidRPr="00DB1174">
        <w:rPr>
          <w:rFonts w:ascii="Arial" w:hAnsi="Arial" w:cs="Arial"/>
          <w:sz w:val="24"/>
          <w:szCs w:val="24"/>
        </w:rPr>
        <w:t>%</w:t>
      </w:r>
      <w:r w:rsidR="00126C30" w:rsidRPr="00DB1174">
        <w:rPr>
          <w:rFonts w:ascii="Arial" w:hAnsi="Arial" w:cs="Arial"/>
          <w:sz w:val="24"/>
          <w:szCs w:val="24"/>
        </w:rPr>
        <w:t>.</w:t>
      </w:r>
    </w:p>
    <w:p w:rsidR="00D041AF" w:rsidRPr="00DB1174" w:rsidRDefault="007C3619" w:rsidP="00D041AF">
      <w:pPr>
        <w:contextualSpacing/>
        <w:jc w:val="both"/>
        <w:rPr>
          <w:rFonts w:ascii="Arial" w:hAnsi="Arial" w:cs="Arial"/>
          <w:sz w:val="24"/>
          <w:szCs w:val="24"/>
        </w:rPr>
      </w:pPr>
      <w:r w:rsidRPr="00DB1174">
        <w:rPr>
          <w:rFonts w:ascii="Arial" w:hAnsi="Arial" w:cs="Arial"/>
          <w:sz w:val="24"/>
          <w:szCs w:val="24"/>
        </w:rPr>
        <w:t>Por su parte los gastos administrati</w:t>
      </w:r>
      <w:r w:rsidR="00126C30" w:rsidRPr="00DB1174">
        <w:rPr>
          <w:rFonts w:ascii="Arial" w:hAnsi="Arial" w:cs="Arial"/>
          <w:sz w:val="24"/>
          <w:szCs w:val="24"/>
        </w:rPr>
        <w:t xml:space="preserve">vos, en términos generales presentan un aumento de un </w:t>
      </w:r>
      <w:r w:rsidR="007C1235" w:rsidRPr="00DB1174">
        <w:rPr>
          <w:rFonts w:ascii="Arial" w:hAnsi="Arial" w:cs="Arial"/>
          <w:sz w:val="24"/>
          <w:szCs w:val="24"/>
        </w:rPr>
        <w:t>20</w:t>
      </w:r>
      <w:r w:rsidR="00126C30" w:rsidRPr="00DB1174">
        <w:rPr>
          <w:rFonts w:ascii="Arial" w:hAnsi="Arial" w:cs="Arial"/>
          <w:sz w:val="24"/>
          <w:szCs w:val="24"/>
        </w:rPr>
        <w:t xml:space="preserve">%, siendo los gastos por servicios externos la cuenta </w:t>
      </w:r>
      <w:r w:rsidR="00494B08" w:rsidRPr="00DB1174">
        <w:rPr>
          <w:rFonts w:ascii="Arial" w:hAnsi="Arial" w:cs="Arial"/>
          <w:sz w:val="24"/>
          <w:szCs w:val="24"/>
        </w:rPr>
        <w:t>c</w:t>
      </w:r>
      <w:r w:rsidR="00126C30" w:rsidRPr="00DB1174">
        <w:rPr>
          <w:rFonts w:ascii="Arial" w:hAnsi="Arial" w:cs="Arial"/>
          <w:sz w:val="24"/>
          <w:szCs w:val="24"/>
        </w:rPr>
        <w:t>on un mayor aumento, por un monto de ¢</w:t>
      </w:r>
      <w:r w:rsidR="007C1235" w:rsidRPr="00DB1174">
        <w:rPr>
          <w:rFonts w:ascii="Arial" w:hAnsi="Arial" w:cs="Arial"/>
          <w:sz w:val="24"/>
          <w:szCs w:val="24"/>
        </w:rPr>
        <w:t>241.552,38</w:t>
      </w:r>
      <w:r w:rsidR="00126C30" w:rsidRPr="00DB1174">
        <w:rPr>
          <w:rFonts w:ascii="Arial" w:hAnsi="Arial" w:cs="Arial"/>
          <w:sz w:val="24"/>
          <w:szCs w:val="24"/>
        </w:rPr>
        <w:t xml:space="preserve"> mil</w:t>
      </w:r>
      <w:r w:rsidR="00494B08" w:rsidRPr="00DB1174">
        <w:rPr>
          <w:rFonts w:ascii="Arial" w:hAnsi="Arial" w:cs="Arial"/>
          <w:sz w:val="24"/>
          <w:szCs w:val="24"/>
        </w:rPr>
        <w:t xml:space="preserve">, esto debido a que en su mayoría los gastos del proyecto REDD+ son precisamente servicios profesionales externos. </w:t>
      </w:r>
    </w:p>
    <w:p w:rsidR="00D041AF" w:rsidRPr="00634FF4" w:rsidRDefault="00D041AF" w:rsidP="00D041AF">
      <w:pPr>
        <w:contextualSpacing/>
        <w:jc w:val="both"/>
        <w:rPr>
          <w:rFonts w:ascii="Arial" w:hAnsi="Arial" w:cs="Arial"/>
          <w:color w:val="FF0000"/>
          <w:sz w:val="22"/>
          <w:szCs w:val="22"/>
        </w:rPr>
      </w:pPr>
    </w:p>
    <w:p w:rsidR="00D2099C" w:rsidRPr="00634FF4" w:rsidRDefault="00D2099C" w:rsidP="00D041AF">
      <w:pPr>
        <w:contextualSpacing/>
        <w:jc w:val="both"/>
        <w:rPr>
          <w:rFonts w:ascii="Arial" w:hAnsi="Arial" w:cs="Arial"/>
          <w:color w:val="FF0000"/>
          <w:sz w:val="22"/>
          <w:szCs w:val="22"/>
        </w:rPr>
      </w:pPr>
    </w:p>
    <w:p w:rsidR="00000E4C" w:rsidRPr="00473433" w:rsidRDefault="00BA0D88" w:rsidP="00D041AF">
      <w:pPr>
        <w:contextualSpacing/>
        <w:jc w:val="both"/>
        <w:rPr>
          <w:rFonts w:ascii="Arial" w:hAnsi="Arial" w:cs="Arial"/>
          <w:sz w:val="24"/>
          <w:szCs w:val="24"/>
        </w:rPr>
      </w:pPr>
      <w:r w:rsidRPr="00473433">
        <w:rPr>
          <w:rFonts w:ascii="Arial" w:hAnsi="Arial" w:cs="Arial"/>
          <w:sz w:val="24"/>
          <w:szCs w:val="24"/>
        </w:rPr>
        <w:t>De acuerdo a lo anterior</w:t>
      </w:r>
      <w:r w:rsidR="00785324" w:rsidRPr="00473433">
        <w:rPr>
          <w:rFonts w:ascii="Arial" w:hAnsi="Arial" w:cs="Arial"/>
          <w:sz w:val="24"/>
          <w:szCs w:val="24"/>
        </w:rPr>
        <w:t>,</w:t>
      </w:r>
      <w:r w:rsidRPr="00473433">
        <w:rPr>
          <w:rFonts w:ascii="Arial" w:hAnsi="Arial" w:cs="Arial"/>
          <w:sz w:val="24"/>
          <w:szCs w:val="24"/>
        </w:rPr>
        <w:t xml:space="preserve"> el resultado económico</w:t>
      </w:r>
      <w:r w:rsidR="00B84EFC" w:rsidRPr="00473433">
        <w:rPr>
          <w:rFonts w:ascii="Arial" w:hAnsi="Arial" w:cs="Arial"/>
          <w:sz w:val="24"/>
          <w:szCs w:val="24"/>
        </w:rPr>
        <w:t xml:space="preserve"> acumulado</w:t>
      </w:r>
      <w:r w:rsidRPr="00473433">
        <w:rPr>
          <w:rFonts w:ascii="Arial" w:hAnsi="Arial" w:cs="Arial"/>
          <w:sz w:val="24"/>
          <w:szCs w:val="24"/>
        </w:rPr>
        <w:t xml:space="preserve"> del Fideicomiso para el año 201</w:t>
      </w:r>
      <w:r w:rsidR="00A04356" w:rsidRPr="00473433">
        <w:rPr>
          <w:rFonts w:ascii="Arial" w:hAnsi="Arial" w:cs="Arial"/>
          <w:sz w:val="24"/>
          <w:szCs w:val="24"/>
        </w:rPr>
        <w:t>8</w:t>
      </w:r>
      <w:r w:rsidR="00B84EFC" w:rsidRPr="00473433">
        <w:rPr>
          <w:rFonts w:ascii="Arial" w:hAnsi="Arial" w:cs="Arial"/>
          <w:sz w:val="24"/>
          <w:szCs w:val="24"/>
        </w:rPr>
        <w:t xml:space="preserve"> es por un monto de ¢-</w:t>
      </w:r>
      <w:r w:rsidR="00785324" w:rsidRPr="00473433">
        <w:rPr>
          <w:rFonts w:ascii="Arial" w:hAnsi="Arial" w:cs="Arial"/>
          <w:sz w:val="24"/>
          <w:szCs w:val="24"/>
        </w:rPr>
        <w:t>354.589,97</w:t>
      </w:r>
      <w:r w:rsidR="00A04356" w:rsidRPr="00473433">
        <w:rPr>
          <w:rFonts w:ascii="Arial" w:hAnsi="Arial" w:cs="Arial"/>
          <w:sz w:val="24"/>
          <w:szCs w:val="24"/>
        </w:rPr>
        <w:t>.</w:t>
      </w:r>
      <w:r w:rsidR="00B84EFC" w:rsidRPr="00473433">
        <w:rPr>
          <w:rFonts w:ascii="Arial" w:hAnsi="Arial" w:cs="Arial"/>
          <w:sz w:val="24"/>
          <w:szCs w:val="24"/>
        </w:rPr>
        <w:t xml:space="preserve"> </w:t>
      </w:r>
    </w:p>
    <w:p w:rsidR="00000E4C" w:rsidRPr="00292A15" w:rsidRDefault="00000E4C" w:rsidP="00D041AF">
      <w:pPr>
        <w:contextualSpacing/>
        <w:jc w:val="both"/>
        <w:rPr>
          <w:rFonts w:ascii="Arial" w:hAnsi="Arial" w:cs="Arial"/>
          <w:color w:val="FF0000"/>
          <w:sz w:val="24"/>
          <w:szCs w:val="24"/>
        </w:rPr>
      </w:pPr>
    </w:p>
    <w:p w:rsidR="00000E4C" w:rsidRPr="00767C7C" w:rsidRDefault="00000E4C" w:rsidP="00D041AF">
      <w:pPr>
        <w:contextualSpacing/>
        <w:jc w:val="both"/>
        <w:rPr>
          <w:rFonts w:ascii="Arial" w:hAnsi="Arial" w:cs="Arial"/>
          <w:sz w:val="24"/>
          <w:szCs w:val="24"/>
        </w:rPr>
      </w:pPr>
    </w:p>
    <w:p w:rsidR="00D50FE8" w:rsidRDefault="00D50FE8" w:rsidP="00D041AF">
      <w:pPr>
        <w:contextualSpacing/>
        <w:jc w:val="both"/>
        <w:rPr>
          <w:rFonts w:ascii="Arial" w:hAnsi="Arial" w:cs="Arial"/>
          <w:sz w:val="24"/>
          <w:szCs w:val="24"/>
        </w:rPr>
      </w:pPr>
    </w:p>
    <w:p w:rsidR="009D447C" w:rsidRDefault="009D447C" w:rsidP="00D041AF">
      <w:pPr>
        <w:contextualSpacing/>
        <w:jc w:val="both"/>
        <w:rPr>
          <w:rFonts w:ascii="Arial" w:hAnsi="Arial" w:cs="Arial"/>
          <w:sz w:val="24"/>
          <w:szCs w:val="24"/>
        </w:rPr>
      </w:pPr>
    </w:p>
    <w:p w:rsidR="00D92517" w:rsidRDefault="00D92517" w:rsidP="00D041AF">
      <w:pPr>
        <w:contextualSpacing/>
        <w:jc w:val="both"/>
        <w:rPr>
          <w:rFonts w:ascii="Arial" w:hAnsi="Arial" w:cs="Arial"/>
          <w:sz w:val="24"/>
          <w:szCs w:val="24"/>
        </w:rPr>
      </w:pPr>
    </w:p>
    <w:p w:rsidR="00D92517" w:rsidRDefault="00D92517" w:rsidP="00D041AF">
      <w:pPr>
        <w:contextualSpacing/>
        <w:jc w:val="both"/>
        <w:rPr>
          <w:rFonts w:ascii="Arial" w:hAnsi="Arial" w:cs="Arial"/>
          <w:sz w:val="24"/>
          <w:szCs w:val="24"/>
        </w:rPr>
      </w:pPr>
    </w:p>
    <w:p w:rsidR="00D92517" w:rsidRDefault="00D92517" w:rsidP="00D041AF">
      <w:pPr>
        <w:contextualSpacing/>
        <w:jc w:val="both"/>
        <w:rPr>
          <w:rFonts w:ascii="Arial" w:hAnsi="Arial" w:cs="Arial"/>
          <w:sz w:val="24"/>
          <w:szCs w:val="24"/>
        </w:rPr>
      </w:pPr>
    </w:p>
    <w:p w:rsidR="00D92517" w:rsidRDefault="00D92517" w:rsidP="00D041AF">
      <w:pPr>
        <w:contextualSpacing/>
        <w:jc w:val="both"/>
        <w:rPr>
          <w:rFonts w:ascii="Arial" w:hAnsi="Arial" w:cs="Arial"/>
          <w:sz w:val="24"/>
          <w:szCs w:val="24"/>
        </w:rPr>
      </w:pPr>
    </w:p>
    <w:p w:rsidR="00D92517" w:rsidRDefault="00D92517" w:rsidP="00D041AF">
      <w:pPr>
        <w:contextualSpacing/>
        <w:jc w:val="both"/>
        <w:rPr>
          <w:rFonts w:ascii="Arial" w:hAnsi="Arial" w:cs="Arial"/>
          <w:sz w:val="24"/>
          <w:szCs w:val="24"/>
        </w:rPr>
      </w:pPr>
    </w:p>
    <w:p w:rsidR="004D3748" w:rsidRDefault="004D3748" w:rsidP="00D041AF">
      <w:pPr>
        <w:contextualSpacing/>
        <w:jc w:val="both"/>
        <w:rPr>
          <w:rFonts w:ascii="Arial" w:hAnsi="Arial" w:cs="Arial"/>
          <w:sz w:val="24"/>
          <w:szCs w:val="24"/>
        </w:rPr>
      </w:pPr>
    </w:p>
    <w:p w:rsidR="004D3748" w:rsidRDefault="004D3748" w:rsidP="00D041AF">
      <w:pPr>
        <w:contextualSpacing/>
        <w:jc w:val="both"/>
        <w:rPr>
          <w:rFonts w:ascii="Arial" w:hAnsi="Arial" w:cs="Arial"/>
          <w:sz w:val="24"/>
          <w:szCs w:val="24"/>
        </w:rPr>
      </w:pPr>
    </w:p>
    <w:p w:rsidR="004D3748" w:rsidRDefault="004D3748" w:rsidP="00D041AF">
      <w:pPr>
        <w:contextualSpacing/>
        <w:jc w:val="both"/>
        <w:rPr>
          <w:rFonts w:ascii="Arial" w:hAnsi="Arial" w:cs="Arial"/>
          <w:sz w:val="24"/>
          <w:szCs w:val="24"/>
        </w:rPr>
      </w:pPr>
    </w:p>
    <w:p w:rsidR="004D3748" w:rsidRDefault="004D3748" w:rsidP="00D041AF">
      <w:pPr>
        <w:contextualSpacing/>
        <w:jc w:val="both"/>
        <w:rPr>
          <w:rFonts w:ascii="Arial" w:hAnsi="Arial" w:cs="Arial"/>
          <w:sz w:val="24"/>
          <w:szCs w:val="24"/>
        </w:rPr>
      </w:pPr>
    </w:p>
    <w:p w:rsidR="004D3748" w:rsidRDefault="004D3748" w:rsidP="00D041AF">
      <w:pPr>
        <w:contextualSpacing/>
        <w:jc w:val="both"/>
        <w:rPr>
          <w:rFonts w:ascii="Arial" w:hAnsi="Arial" w:cs="Arial"/>
          <w:sz w:val="24"/>
          <w:szCs w:val="24"/>
        </w:rPr>
      </w:pPr>
    </w:p>
    <w:p w:rsidR="00D92517" w:rsidRDefault="00D92517" w:rsidP="00D041AF">
      <w:pPr>
        <w:contextualSpacing/>
        <w:jc w:val="both"/>
        <w:rPr>
          <w:rFonts w:ascii="Arial" w:hAnsi="Arial" w:cs="Arial"/>
          <w:sz w:val="24"/>
          <w:szCs w:val="24"/>
        </w:rPr>
      </w:pPr>
    </w:p>
    <w:p w:rsidR="00D92517" w:rsidRDefault="00D92517" w:rsidP="00D041AF">
      <w:pPr>
        <w:contextualSpacing/>
        <w:jc w:val="both"/>
        <w:rPr>
          <w:rFonts w:ascii="Arial" w:hAnsi="Arial" w:cs="Arial"/>
          <w:sz w:val="24"/>
          <w:szCs w:val="24"/>
        </w:rPr>
      </w:pPr>
    </w:p>
    <w:p w:rsidR="00D50FE8" w:rsidRDefault="00D50FE8" w:rsidP="00D041AF">
      <w:pPr>
        <w:contextualSpacing/>
        <w:jc w:val="both"/>
        <w:rPr>
          <w:rFonts w:ascii="Arial" w:hAnsi="Arial" w:cs="Arial"/>
          <w:sz w:val="24"/>
          <w:szCs w:val="24"/>
        </w:rPr>
      </w:pPr>
    </w:p>
    <w:p w:rsidR="00D50FE8" w:rsidRDefault="00D50FE8" w:rsidP="00D041AF">
      <w:pPr>
        <w:contextualSpacing/>
        <w:jc w:val="both"/>
        <w:rPr>
          <w:rFonts w:ascii="Arial" w:hAnsi="Arial" w:cs="Arial"/>
          <w:sz w:val="24"/>
          <w:szCs w:val="24"/>
        </w:rPr>
      </w:pPr>
    </w:p>
    <w:p w:rsidR="00CB011B" w:rsidRPr="00767C7C" w:rsidRDefault="00787E97" w:rsidP="009B4919">
      <w:pPr>
        <w:pStyle w:val="Prrafodelista"/>
        <w:numPr>
          <w:ilvl w:val="1"/>
          <w:numId w:val="39"/>
        </w:numPr>
        <w:spacing w:after="0" w:line="240" w:lineRule="auto"/>
        <w:ind w:right="1372"/>
        <w:contextualSpacing/>
        <w:jc w:val="both"/>
        <w:outlineLvl w:val="1"/>
        <w:rPr>
          <w:rFonts w:ascii="Arial" w:eastAsia="SimSun" w:hAnsi="Arial" w:cs="Arial"/>
          <w:b/>
          <w:lang w:val="es-ES_tradnl" w:eastAsia="es-ES"/>
        </w:rPr>
      </w:pPr>
      <w:bookmarkStart w:id="12" w:name="_Toc520729582"/>
      <w:r w:rsidRPr="00767C7C">
        <w:rPr>
          <w:rFonts w:ascii="Arial" w:eastAsia="SimSun" w:hAnsi="Arial" w:cs="Arial"/>
          <w:b/>
          <w:lang w:eastAsia="es-ES"/>
        </w:rPr>
        <w:t>Análisis Vertical</w:t>
      </w:r>
      <w:bookmarkEnd w:id="12"/>
    </w:p>
    <w:p w:rsidR="00CB011B" w:rsidRDefault="00CB011B" w:rsidP="00CB011B">
      <w:pPr>
        <w:pStyle w:val="Prrafodelista"/>
        <w:spacing w:after="0" w:line="240" w:lineRule="auto"/>
        <w:ind w:left="1440" w:right="1372"/>
        <w:contextualSpacing/>
        <w:jc w:val="both"/>
        <w:rPr>
          <w:rFonts w:ascii="Arial" w:eastAsia="SimSun" w:hAnsi="Arial" w:cs="Arial"/>
          <w:b/>
          <w:lang w:eastAsia="es-ES"/>
        </w:rPr>
      </w:pPr>
    </w:p>
    <w:p w:rsidR="00CC7D2B" w:rsidRPr="00015A4E" w:rsidRDefault="00CC7D2B" w:rsidP="00CC7D2B">
      <w:pPr>
        <w:pStyle w:val="Prrafodelista"/>
        <w:ind w:left="1080"/>
        <w:contextualSpacing/>
        <w:jc w:val="center"/>
        <w:rPr>
          <w:rFonts w:ascii="Arial" w:hAnsi="Arial" w:cs="Arial"/>
          <w:b/>
        </w:rPr>
      </w:pPr>
      <w:r w:rsidRPr="00015A4E">
        <w:rPr>
          <w:rFonts w:ascii="Arial" w:hAnsi="Arial" w:cs="Arial"/>
          <w:b/>
        </w:rPr>
        <w:t xml:space="preserve">Estado de </w:t>
      </w:r>
      <w:r>
        <w:rPr>
          <w:rFonts w:ascii="Arial" w:hAnsi="Arial" w:cs="Arial"/>
          <w:b/>
        </w:rPr>
        <w:t>Situación Financiera C</w:t>
      </w:r>
      <w:r w:rsidRPr="00015A4E">
        <w:rPr>
          <w:rFonts w:ascii="Arial" w:hAnsi="Arial" w:cs="Arial"/>
          <w:b/>
        </w:rPr>
        <w:t>onsolidado</w:t>
      </w:r>
    </w:p>
    <w:p w:rsidR="00CC7D2B" w:rsidRPr="00015A4E" w:rsidRDefault="00CC7D2B" w:rsidP="00CC7D2B">
      <w:pPr>
        <w:pStyle w:val="Prrafodelista"/>
        <w:ind w:left="1080"/>
        <w:contextualSpacing/>
        <w:jc w:val="center"/>
        <w:rPr>
          <w:rFonts w:ascii="Arial" w:hAnsi="Arial" w:cs="Arial"/>
          <w:b/>
        </w:rPr>
      </w:pPr>
      <w:r w:rsidRPr="00015A4E">
        <w:rPr>
          <w:rFonts w:ascii="Arial" w:hAnsi="Arial" w:cs="Arial"/>
          <w:b/>
        </w:rPr>
        <w:t>Fideicomiso 544 FONAFIFO CONSOLIDADO – BNCR</w:t>
      </w:r>
    </w:p>
    <w:p w:rsidR="00CC7D2B" w:rsidRPr="00015A4E" w:rsidRDefault="00CC7D2B" w:rsidP="00CC7D2B">
      <w:pPr>
        <w:pStyle w:val="Prrafodelista"/>
        <w:ind w:left="1080"/>
        <w:contextualSpacing/>
        <w:jc w:val="center"/>
        <w:rPr>
          <w:rFonts w:ascii="Arial" w:hAnsi="Arial" w:cs="Arial"/>
          <w:b/>
        </w:rPr>
      </w:pPr>
      <w:r w:rsidRPr="00015A4E">
        <w:rPr>
          <w:rFonts w:ascii="Arial" w:hAnsi="Arial" w:cs="Arial"/>
          <w:b/>
        </w:rPr>
        <w:t xml:space="preserve">Al </w:t>
      </w:r>
      <w:r w:rsidR="00315DD2">
        <w:rPr>
          <w:rFonts w:ascii="Arial" w:hAnsi="Arial" w:cs="Arial"/>
          <w:b/>
        </w:rPr>
        <w:t>3</w:t>
      </w:r>
      <w:r w:rsidR="0052556C">
        <w:rPr>
          <w:rFonts w:ascii="Arial" w:hAnsi="Arial" w:cs="Arial"/>
          <w:b/>
        </w:rPr>
        <w:t>1</w:t>
      </w:r>
      <w:r w:rsidR="00315DD2">
        <w:rPr>
          <w:rFonts w:ascii="Arial" w:hAnsi="Arial" w:cs="Arial"/>
          <w:b/>
        </w:rPr>
        <w:t xml:space="preserve"> de </w:t>
      </w:r>
      <w:r w:rsidR="0052556C">
        <w:rPr>
          <w:rFonts w:ascii="Arial" w:hAnsi="Arial" w:cs="Arial"/>
          <w:b/>
        </w:rPr>
        <w:t>diciembre</w:t>
      </w:r>
      <w:r w:rsidR="00281F35">
        <w:rPr>
          <w:rFonts w:ascii="Arial" w:hAnsi="Arial" w:cs="Arial"/>
          <w:b/>
        </w:rPr>
        <w:t xml:space="preserve"> </w:t>
      </w:r>
      <w:r w:rsidRPr="00015A4E">
        <w:rPr>
          <w:rFonts w:ascii="Arial" w:hAnsi="Arial" w:cs="Arial"/>
          <w:b/>
        </w:rPr>
        <w:t>del 201</w:t>
      </w:r>
      <w:r w:rsidR="00641D11">
        <w:rPr>
          <w:rFonts w:ascii="Arial" w:hAnsi="Arial" w:cs="Arial"/>
          <w:b/>
        </w:rPr>
        <w:t>7</w:t>
      </w:r>
      <w:r w:rsidRPr="00015A4E">
        <w:rPr>
          <w:rFonts w:ascii="Arial" w:hAnsi="Arial" w:cs="Arial"/>
          <w:b/>
        </w:rPr>
        <w:t xml:space="preserve"> y 201</w:t>
      </w:r>
      <w:r w:rsidR="00641D11">
        <w:rPr>
          <w:rFonts w:ascii="Arial" w:hAnsi="Arial" w:cs="Arial"/>
          <w:b/>
        </w:rPr>
        <w:t>8</w:t>
      </w:r>
    </w:p>
    <w:p w:rsidR="00CB011B" w:rsidRPr="00281F35" w:rsidRDefault="00CC7D2B" w:rsidP="00281F35">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11305" w:type="dxa"/>
        <w:tblInd w:w="-497" w:type="dxa"/>
        <w:tblLayout w:type="fixed"/>
        <w:tblCellMar>
          <w:left w:w="70" w:type="dxa"/>
          <w:right w:w="70" w:type="dxa"/>
        </w:tblCellMar>
        <w:tblLook w:val="04A0" w:firstRow="1" w:lastRow="0" w:firstColumn="1" w:lastColumn="0" w:noHBand="0" w:noVBand="1"/>
      </w:tblPr>
      <w:tblGrid>
        <w:gridCol w:w="4536"/>
        <w:gridCol w:w="567"/>
        <w:gridCol w:w="1933"/>
        <w:gridCol w:w="1172"/>
        <w:gridCol w:w="2053"/>
        <w:gridCol w:w="1044"/>
      </w:tblGrid>
      <w:tr w:rsidR="009D447C" w:rsidRPr="001146EE" w:rsidTr="009D447C">
        <w:trPr>
          <w:trHeight w:val="161"/>
        </w:trPr>
        <w:tc>
          <w:tcPr>
            <w:tcW w:w="4536"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1146EE" w:rsidRPr="001146EE" w:rsidRDefault="001146EE" w:rsidP="001146EE">
            <w:pPr>
              <w:jc w:val="cente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Detalle</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1146EE" w:rsidRPr="001146EE" w:rsidRDefault="001146EE" w:rsidP="001146EE">
            <w:pPr>
              <w:jc w:val="cente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Nota</w:t>
            </w:r>
          </w:p>
        </w:tc>
        <w:tc>
          <w:tcPr>
            <w:tcW w:w="1933"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1146EE" w:rsidRPr="001146EE" w:rsidRDefault="001146EE" w:rsidP="001146EE">
            <w:pPr>
              <w:jc w:val="cente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Saldos a Diciembre 2017</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bottom"/>
            <w:hideMark/>
          </w:tcPr>
          <w:p w:rsidR="001146EE" w:rsidRPr="001146EE" w:rsidRDefault="001146EE" w:rsidP="001146EE">
            <w:pPr>
              <w:jc w:val="cente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Porcentaje</w:t>
            </w:r>
          </w:p>
        </w:tc>
        <w:tc>
          <w:tcPr>
            <w:tcW w:w="2053"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1146EE" w:rsidRPr="001146EE" w:rsidRDefault="001146EE" w:rsidP="001146EE">
            <w:pPr>
              <w:jc w:val="cente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Saldo a Diciembre 2018</w:t>
            </w:r>
          </w:p>
        </w:tc>
        <w:tc>
          <w:tcPr>
            <w:tcW w:w="1044"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bottom"/>
            <w:hideMark/>
          </w:tcPr>
          <w:p w:rsidR="001146EE" w:rsidRPr="001146EE" w:rsidRDefault="001146EE" w:rsidP="001146EE">
            <w:pPr>
              <w:jc w:val="cente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Porcentaje</w:t>
            </w:r>
          </w:p>
        </w:tc>
      </w:tr>
      <w:tr w:rsidR="009D447C" w:rsidRPr="001146EE" w:rsidTr="009D447C">
        <w:trPr>
          <w:trHeight w:val="161"/>
        </w:trPr>
        <w:tc>
          <w:tcPr>
            <w:tcW w:w="4536" w:type="dxa"/>
            <w:vMerge/>
            <w:tcBorders>
              <w:top w:val="single" w:sz="8" w:space="0" w:color="auto"/>
              <w:left w:val="single" w:sz="8" w:space="0" w:color="auto"/>
              <w:bottom w:val="single" w:sz="8" w:space="0" w:color="000000"/>
              <w:right w:val="single" w:sz="8" w:space="0" w:color="auto"/>
            </w:tcBorders>
            <w:vAlign w:val="center"/>
            <w:hideMark/>
          </w:tcPr>
          <w:p w:rsidR="001146EE" w:rsidRPr="001146EE" w:rsidRDefault="001146EE" w:rsidP="001146EE">
            <w:pPr>
              <w:rPr>
                <w:rFonts w:ascii="Arial" w:eastAsia="Times New Roman" w:hAnsi="Arial" w:cs="Arial"/>
                <w:b/>
                <w:bCs/>
                <w:color w:val="000000"/>
                <w:sz w:val="14"/>
                <w:szCs w:val="14"/>
                <w:lang w:val="es-MX" w:eastAsia="es-MX"/>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1146EE" w:rsidRPr="001146EE" w:rsidRDefault="001146EE" w:rsidP="001146EE">
            <w:pPr>
              <w:rPr>
                <w:rFonts w:ascii="Arial" w:eastAsia="Times New Roman" w:hAnsi="Arial" w:cs="Arial"/>
                <w:b/>
                <w:bCs/>
                <w:color w:val="000000"/>
                <w:sz w:val="14"/>
                <w:szCs w:val="14"/>
                <w:lang w:val="es-MX" w:eastAsia="es-MX"/>
              </w:rPr>
            </w:pPr>
          </w:p>
        </w:tc>
        <w:tc>
          <w:tcPr>
            <w:tcW w:w="1933" w:type="dxa"/>
            <w:vMerge/>
            <w:tcBorders>
              <w:top w:val="single" w:sz="8" w:space="0" w:color="auto"/>
              <w:left w:val="single" w:sz="8" w:space="0" w:color="auto"/>
              <w:bottom w:val="single" w:sz="8" w:space="0" w:color="000000"/>
              <w:right w:val="single" w:sz="8" w:space="0" w:color="auto"/>
            </w:tcBorders>
            <w:vAlign w:val="center"/>
            <w:hideMark/>
          </w:tcPr>
          <w:p w:rsidR="001146EE" w:rsidRPr="001146EE" w:rsidRDefault="001146EE" w:rsidP="001146EE">
            <w:pPr>
              <w:rPr>
                <w:rFonts w:ascii="Arial" w:eastAsia="Times New Roman" w:hAnsi="Arial" w:cs="Arial"/>
                <w:b/>
                <w:bCs/>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1146EE" w:rsidRPr="001146EE" w:rsidRDefault="001146EE" w:rsidP="001146EE">
            <w:pPr>
              <w:rPr>
                <w:rFonts w:ascii="Arial" w:eastAsia="Times New Roman" w:hAnsi="Arial" w:cs="Arial"/>
                <w:b/>
                <w:bCs/>
                <w:color w:val="000000"/>
                <w:sz w:val="14"/>
                <w:szCs w:val="14"/>
                <w:lang w:val="es-MX" w:eastAsia="es-MX"/>
              </w:rPr>
            </w:pPr>
          </w:p>
        </w:tc>
        <w:tc>
          <w:tcPr>
            <w:tcW w:w="2053" w:type="dxa"/>
            <w:vMerge/>
            <w:tcBorders>
              <w:top w:val="single" w:sz="8" w:space="0" w:color="auto"/>
              <w:left w:val="single" w:sz="8" w:space="0" w:color="auto"/>
              <w:bottom w:val="single" w:sz="8" w:space="0" w:color="000000"/>
              <w:right w:val="single" w:sz="8" w:space="0" w:color="auto"/>
            </w:tcBorders>
            <w:vAlign w:val="center"/>
            <w:hideMark/>
          </w:tcPr>
          <w:p w:rsidR="001146EE" w:rsidRPr="001146EE" w:rsidRDefault="001146EE" w:rsidP="001146EE">
            <w:pPr>
              <w:rPr>
                <w:rFonts w:ascii="Arial" w:eastAsia="Times New Roman" w:hAnsi="Arial" w:cs="Arial"/>
                <w:b/>
                <w:bCs/>
                <w:color w:val="000000"/>
                <w:sz w:val="14"/>
                <w:szCs w:val="14"/>
                <w:lang w:val="es-MX" w:eastAsia="es-MX"/>
              </w:rPr>
            </w:pPr>
          </w:p>
        </w:tc>
        <w:tc>
          <w:tcPr>
            <w:tcW w:w="1044" w:type="dxa"/>
            <w:vMerge/>
            <w:tcBorders>
              <w:top w:val="single" w:sz="8" w:space="0" w:color="auto"/>
              <w:left w:val="single" w:sz="8" w:space="0" w:color="auto"/>
              <w:bottom w:val="single" w:sz="8" w:space="0" w:color="000000"/>
              <w:right w:val="single" w:sz="8" w:space="0" w:color="auto"/>
            </w:tcBorders>
            <w:vAlign w:val="center"/>
            <w:hideMark/>
          </w:tcPr>
          <w:p w:rsidR="001146EE" w:rsidRPr="001146EE" w:rsidRDefault="001146EE" w:rsidP="001146EE">
            <w:pPr>
              <w:rPr>
                <w:rFonts w:ascii="Arial" w:eastAsia="Times New Roman" w:hAnsi="Arial" w:cs="Arial"/>
                <w:b/>
                <w:bCs/>
                <w:color w:val="000000"/>
                <w:sz w:val="14"/>
                <w:szCs w:val="14"/>
                <w:lang w:val="es-MX" w:eastAsia="es-MX"/>
              </w:rPr>
            </w:pP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ACTIVOS</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u w:val="single"/>
                <w:lang w:val="es-MX" w:eastAsia="es-MX"/>
              </w:rPr>
            </w:pPr>
            <w:r w:rsidRPr="001146EE">
              <w:rPr>
                <w:rFonts w:ascii="Arial" w:eastAsia="Times New Roman" w:hAnsi="Arial" w:cs="Arial"/>
                <w:b/>
                <w:bCs/>
                <w:color w:val="000000"/>
                <w:sz w:val="14"/>
                <w:szCs w:val="14"/>
                <w:u w:val="single"/>
                <w:lang w:val="es-MX" w:eastAsia="es-MX"/>
              </w:rPr>
              <w:t xml:space="preserve">Activos Corrientes </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Efectivo del Fideicomiso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4</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5.169.958,99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0,11%</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3.044.646,30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Efectivo del Fideicomiso restringido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0,01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0,01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Disponibilidades en Cuenta Corriente</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4</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1.340.162,80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0,03%</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293.328,60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Tesorería nacional Caja Única del Estado </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5</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1.705.445.591,30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36,02%</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1.241.688.963,87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26%</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Anticipo a Proveedores</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6</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1.662.017,14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0,04%</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669.910,35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Otras cuentas por cobrar</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7</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202.873,26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1.587.469,19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Cartera de Crédito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8</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146.135.763,13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3,09%</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194.634.775,14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4%</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Total Activo Corrientes</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1.859.956.366,63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39,28%</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1.441.919.093,46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31%</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u w:val="single"/>
                <w:lang w:val="es-MX" w:eastAsia="es-MX"/>
              </w:rPr>
            </w:pPr>
            <w:r w:rsidRPr="001146EE">
              <w:rPr>
                <w:rFonts w:ascii="Arial" w:eastAsia="Times New Roman" w:hAnsi="Arial" w:cs="Arial"/>
                <w:b/>
                <w:bCs/>
                <w:color w:val="000000"/>
                <w:sz w:val="14"/>
                <w:szCs w:val="14"/>
                <w:u w:val="single"/>
                <w:lang w:val="es-MX" w:eastAsia="es-MX"/>
              </w:rPr>
              <w:t>Activos no Corrientes</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Tesorería nacionbal Caja Única del Estado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5</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Cartera de Crédito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8</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2.424.041.604,96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51,19%</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2.766.653.069,03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59%</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Gastos Judiciales de cartera de crédito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9</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18.551.760,86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0,39%</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17.476.300,10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Propiedad Planta y Equipo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10</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339.609.100,30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7,17%</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400.248.202,12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8%</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Bienes y valores Adquir. Recup. Creditos de Vivienda</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11</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85.634.655,26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1,81%</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83.913.469,27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Activos Intangibles</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12</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7.531.981,71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0,16%</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14.307.160,89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w:t>
            </w:r>
          </w:p>
        </w:tc>
      </w:tr>
      <w:tr w:rsidR="009D447C" w:rsidRPr="001146EE" w:rsidTr="009D447C">
        <w:trPr>
          <w:trHeight w:val="7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Total activos no corrientes</w:t>
            </w:r>
          </w:p>
        </w:tc>
        <w:tc>
          <w:tcPr>
            <w:tcW w:w="567"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93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2.875.369.103,09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60,72%</w:t>
            </w:r>
          </w:p>
        </w:tc>
        <w:tc>
          <w:tcPr>
            <w:tcW w:w="205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3.282.598.201,41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69%</w:t>
            </w:r>
          </w:p>
        </w:tc>
      </w:tr>
      <w:tr w:rsidR="009D447C" w:rsidRPr="001146EE" w:rsidTr="009D447C">
        <w:trPr>
          <w:trHeight w:val="7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TOTAL ACTIVOS</w:t>
            </w:r>
          </w:p>
        </w:tc>
        <w:tc>
          <w:tcPr>
            <w:tcW w:w="567"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93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4.735.325.469,72 </w:t>
            </w:r>
          </w:p>
        </w:tc>
        <w:tc>
          <w:tcPr>
            <w:tcW w:w="1172" w:type="dxa"/>
            <w:tcBorders>
              <w:top w:val="single" w:sz="8" w:space="0" w:color="auto"/>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100,00%</w:t>
            </w:r>
          </w:p>
        </w:tc>
        <w:tc>
          <w:tcPr>
            <w:tcW w:w="205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4.724.517.294,87 </w:t>
            </w:r>
          </w:p>
        </w:tc>
        <w:tc>
          <w:tcPr>
            <w:tcW w:w="1044" w:type="dxa"/>
            <w:tcBorders>
              <w:top w:val="single" w:sz="8" w:space="0" w:color="auto"/>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100%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PASIVO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u w:val="single"/>
                <w:lang w:val="es-MX" w:eastAsia="es-MX"/>
              </w:rPr>
            </w:pPr>
            <w:r w:rsidRPr="001146EE">
              <w:rPr>
                <w:rFonts w:ascii="Arial" w:eastAsia="Times New Roman" w:hAnsi="Arial" w:cs="Arial"/>
                <w:b/>
                <w:bCs/>
                <w:color w:val="000000"/>
                <w:sz w:val="14"/>
                <w:szCs w:val="14"/>
                <w:u w:val="single"/>
                <w:lang w:val="es-MX" w:eastAsia="es-MX"/>
              </w:rPr>
              <w:t>Pasivo Corriente</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Comisiones por pagar al Fideicomiso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13</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10.226.712,63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31,99%</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   </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Cuentas por pagar y Provisiones</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14</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16.265.658,33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50,89%</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11.066.169,49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69,71%</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Sumas Recibidas por Vta. De Bienes y Valores Adquiridos en Recup. De Créditos</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14</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994.250,01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3,11%</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Impuesto al salario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15</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163.680,65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0,51%</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Intereses Ganados s/ carteras de crédito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16</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930.373,59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2,91%</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1.379.445,52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8,69%</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Impuestos municipales por pagar</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17</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420.549,05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2,65%</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Total Pasivo Corriente</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28.580.675,21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89,41%</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12.866.164,06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81,05%</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Pasivo No Corriente</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0,00%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Garantía de cumplimiento</w:t>
            </w:r>
          </w:p>
        </w:tc>
        <w:tc>
          <w:tcPr>
            <w:tcW w:w="567" w:type="dxa"/>
            <w:tcBorders>
              <w:top w:val="nil"/>
              <w:left w:val="nil"/>
              <w:bottom w:val="nil"/>
              <w:right w:val="single" w:sz="8" w:space="0" w:color="auto"/>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18</w:t>
            </w:r>
          </w:p>
        </w:tc>
        <w:tc>
          <w:tcPr>
            <w:tcW w:w="193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3.384.143,51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10,59%</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3.009.143,51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18,95%</w:t>
            </w:r>
          </w:p>
        </w:tc>
      </w:tr>
      <w:tr w:rsidR="009D447C" w:rsidRPr="001146EE" w:rsidTr="009D447C">
        <w:trPr>
          <w:trHeight w:val="7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Total Pasivo no Corriente</w:t>
            </w:r>
          </w:p>
        </w:tc>
        <w:tc>
          <w:tcPr>
            <w:tcW w:w="567"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3.384.143,51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10,59%</w:t>
            </w:r>
          </w:p>
        </w:tc>
        <w:tc>
          <w:tcPr>
            <w:tcW w:w="205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3.009.143,51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18,95%</w:t>
            </w:r>
          </w:p>
        </w:tc>
      </w:tr>
      <w:tr w:rsidR="009D447C" w:rsidRPr="001146EE" w:rsidTr="009D447C">
        <w:trPr>
          <w:trHeight w:val="7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TOTAL PASIVO</w:t>
            </w:r>
          </w:p>
        </w:tc>
        <w:tc>
          <w:tcPr>
            <w:tcW w:w="567"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31.964.818,72 </w:t>
            </w:r>
          </w:p>
        </w:tc>
        <w:tc>
          <w:tcPr>
            <w:tcW w:w="1172" w:type="dxa"/>
            <w:tcBorders>
              <w:top w:val="single" w:sz="8" w:space="0" w:color="auto"/>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100,00%</w:t>
            </w:r>
          </w:p>
        </w:tc>
        <w:tc>
          <w:tcPr>
            <w:tcW w:w="205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15.875.307,57 </w:t>
            </w:r>
          </w:p>
        </w:tc>
        <w:tc>
          <w:tcPr>
            <w:tcW w:w="1044" w:type="dxa"/>
            <w:tcBorders>
              <w:top w:val="single" w:sz="8" w:space="0" w:color="auto"/>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100,00%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567" w:type="dxa"/>
            <w:tcBorders>
              <w:top w:val="nil"/>
              <w:left w:val="nil"/>
              <w:bottom w:val="nil"/>
              <w:right w:val="nil"/>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PATRIMONIO</w:t>
            </w:r>
          </w:p>
        </w:tc>
        <w:tc>
          <w:tcPr>
            <w:tcW w:w="567" w:type="dxa"/>
            <w:tcBorders>
              <w:top w:val="nil"/>
              <w:left w:val="nil"/>
              <w:bottom w:val="nil"/>
              <w:right w:val="nil"/>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933"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Aportaciones de fideicomitentes netas</w:t>
            </w:r>
          </w:p>
        </w:tc>
        <w:tc>
          <w:tcPr>
            <w:tcW w:w="567" w:type="dxa"/>
            <w:tcBorders>
              <w:top w:val="nil"/>
              <w:left w:val="nil"/>
              <w:bottom w:val="nil"/>
              <w:right w:val="nil"/>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19</w:t>
            </w:r>
          </w:p>
        </w:tc>
        <w:tc>
          <w:tcPr>
            <w:tcW w:w="1933"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4.467.934.479,61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94,35%</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4.827.805.782,51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102,19%</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Superávit por revaluación netas</w:t>
            </w:r>
          </w:p>
        </w:tc>
        <w:tc>
          <w:tcPr>
            <w:tcW w:w="567" w:type="dxa"/>
            <w:tcBorders>
              <w:top w:val="nil"/>
              <w:left w:val="nil"/>
              <w:bottom w:val="nil"/>
              <w:right w:val="nil"/>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20</w:t>
            </w:r>
          </w:p>
        </w:tc>
        <w:tc>
          <w:tcPr>
            <w:tcW w:w="1933"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131.367.000,00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2,77%</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131.367.000,00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2,78%</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Utilidades o pérdidas acumuladas</w:t>
            </w:r>
          </w:p>
        </w:tc>
        <w:tc>
          <w:tcPr>
            <w:tcW w:w="567" w:type="dxa"/>
            <w:tcBorders>
              <w:top w:val="nil"/>
              <w:left w:val="nil"/>
              <w:bottom w:val="nil"/>
              <w:right w:val="nil"/>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21</w:t>
            </w:r>
          </w:p>
        </w:tc>
        <w:tc>
          <w:tcPr>
            <w:tcW w:w="1933"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711.360.042,27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15,02%</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104.059.171,39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2,20%</w:t>
            </w:r>
          </w:p>
        </w:tc>
      </w:tr>
      <w:tr w:rsidR="009D447C" w:rsidRPr="001146EE" w:rsidTr="009D447C">
        <w:trPr>
          <w:trHeight w:val="67"/>
        </w:trPr>
        <w:tc>
          <w:tcPr>
            <w:tcW w:w="4536"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Utilidad o Pérdidad del Periodo</w:t>
            </w:r>
          </w:p>
        </w:tc>
        <w:tc>
          <w:tcPr>
            <w:tcW w:w="567" w:type="dxa"/>
            <w:tcBorders>
              <w:top w:val="nil"/>
              <w:left w:val="nil"/>
              <w:bottom w:val="nil"/>
              <w:right w:val="nil"/>
            </w:tcBorders>
            <w:shd w:val="clear" w:color="000000" w:fill="FFFFFF"/>
            <w:noWrap/>
            <w:vAlign w:val="bottom"/>
            <w:hideMark/>
          </w:tcPr>
          <w:p w:rsidR="001146EE" w:rsidRPr="001146EE" w:rsidRDefault="001146EE" w:rsidP="001146EE">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22</w:t>
            </w:r>
          </w:p>
        </w:tc>
        <w:tc>
          <w:tcPr>
            <w:tcW w:w="1933" w:type="dxa"/>
            <w:tcBorders>
              <w:top w:val="nil"/>
              <w:left w:val="single" w:sz="8" w:space="0" w:color="auto"/>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607.300.870,88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-12,82%</w:t>
            </w:r>
          </w:p>
        </w:tc>
        <w:tc>
          <w:tcPr>
            <w:tcW w:w="2053"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 xml:space="preserve">-                354.589.966,60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-7,51%</w:t>
            </w:r>
          </w:p>
        </w:tc>
      </w:tr>
      <w:tr w:rsidR="009D447C" w:rsidRPr="001146EE" w:rsidTr="009D447C">
        <w:trPr>
          <w:trHeight w:val="7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Total Patrimonio</w:t>
            </w:r>
          </w:p>
        </w:tc>
        <w:tc>
          <w:tcPr>
            <w:tcW w:w="567" w:type="dxa"/>
            <w:tcBorders>
              <w:top w:val="nil"/>
              <w:left w:val="nil"/>
              <w:bottom w:val="nil"/>
              <w:right w:val="nil"/>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933" w:type="dxa"/>
            <w:tcBorders>
              <w:top w:val="nil"/>
              <w:left w:val="single" w:sz="8" w:space="0" w:color="auto"/>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4.703.360.651,00 </w:t>
            </w:r>
          </w:p>
        </w:tc>
        <w:tc>
          <w:tcPr>
            <w:tcW w:w="1172"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99,32%</w:t>
            </w:r>
          </w:p>
        </w:tc>
        <w:tc>
          <w:tcPr>
            <w:tcW w:w="205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4.708.641.987,30 </w:t>
            </w:r>
          </w:p>
        </w:tc>
        <w:tc>
          <w:tcPr>
            <w:tcW w:w="1044" w:type="dxa"/>
            <w:tcBorders>
              <w:top w:val="nil"/>
              <w:left w:val="nil"/>
              <w:bottom w:val="nil"/>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color w:val="000000"/>
                <w:sz w:val="14"/>
                <w:szCs w:val="14"/>
                <w:lang w:val="es-MX" w:eastAsia="es-MX"/>
              </w:rPr>
            </w:pPr>
            <w:r w:rsidRPr="001146EE">
              <w:rPr>
                <w:rFonts w:ascii="Arial" w:eastAsia="Times New Roman" w:hAnsi="Arial" w:cs="Arial"/>
                <w:color w:val="000000"/>
                <w:sz w:val="14"/>
                <w:szCs w:val="14"/>
                <w:lang w:val="es-MX" w:eastAsia="es-MX"/>
              </w:rPr>
              <w:t>99,66%</w:t>
            </w:r>
          </w:p>
        </w:tc>
      </w:tr>
      <w:tr w:rsidR="009D447C" w:rsidRPr="001146EE" w:rsidTr="009D447C">
        <w:trPr>
          <w:trHeight w:val="7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TOTAL PASIVO + PATRIMONIO</w:t>
            </w:r>
          </w:p>
        </w:tc>
        <w:tc>
          <w:tcPr>
            <w:tcW w:w="567" w:type="dxa"/>
            <w:tcBorders>
              <w:top w:val="single" w:sz="8" w:space="0" w:color="auto"/>
              <w:left w:val="nil"/>
              <w:bottom w:val="single" w:sz="8" w:space="0" w:color="auto"/>
              <w:right w:val="single" w:sz="8" w:space="0" w:color="auto"/>
            </w:tcBorders>
            <w:shd w:val="clear" w:color="000000" w:fill="FFFFFF"/>
            <w:noWrap/>
            <w:vAlign w:val="bottom"/>
            <w:hideMark/>
          </w:tcPr>
          <w:p w:rsidR="001146EE" w:rsidRPr="001146EE" w:rsidRDefault="001146EE" w:rsidP="001146EE">
            <w:pPr>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w:t>
            </w:r>
          </w:p>
        </w:tc>
        <w:tc>
          <w:tcPr>
            <w:tcW w:w="193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4.735.325.469,72 </w:t>
            </w:r>
          </w:p>
        </w:tc>
        <w:tc>
          <w:tcPr>
            <w:tcW w:w="1172" w:type="dxa"/>
            <w:tcBorders>
              <w:top w:val="single" w:sz="8" w:space="0" w:color="auto"/>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100,00%</w:t>
            </w:r>
          </w:p>
        </w:tc>
        <w:tc>
          <w:tcPr>
            <w:tcW w:w="2053" w:type="dxa"/>
            <w:tcBorders>
              <w:top w:val="nil"/>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 xml:space="preserve">              4.724.517.294,87 </w:t>
            </w:r>
          </w:p>
        </w:tc>
        <w:tc>
          <w:tcPr>
            <w:tcW w:w="1044" w:type="dxa"/>
            <w:tcBorders>
              <w:top w:val="single" w:sz="8" w:space="0" w:color="auto"/>
              <w:left w:val="nil"/>
              <w:bottom w:val="single" w:sz="8" w:space="0" w:color="auto"/>
              <w:right w:val="single" w:sz="8" w:space="0" w:color="auto"/>
            </w:tcBorders>
            <w:shd w:val="clear" w:color="000000" w:fill="FFFFFF"/>
            <w:noWrap/>
            <w:vAlign w:val="bottom"/>
            <w:hideMark/>
          </w:tcPr>
          <w:p w:rsidR="001146EE" w:rsidRPr="001146EE" w:rsidRDefault="001146EE" w:rsidP="009D447C">
            <w:pPr>
              <w:jc w:val="right"/>
              <w:rPr>
                <w:rFonts w:ascii="Arial" w:eastAsia="Times New Roman" w:hAnsi="Arial" w:cs="Arial"/>
                <w:b/>
                <w:bCs/>
                <w:color w:val="000000"/>
                <w:sz w:val="14"/>
                <w:szCs w:val="14"/>
                <w:lang w:val="es-MX" w:eastAsia="es-MX"/>
              </w:rPr>
            </w:pPr>
            <w:r w:rsidRPr="001146EE">
              <w:rPr>
                <w:rFonts w:ascii="Arial" w:eastAsia="Times New Roman" w:hAnsi="Arial" w:cs="Arial"/>
                <w:b/>
                <w:bCs/>
                <w:color w:val="000000"/>
                <w:sz w:val="14"/>
                <w:szCs w:val="14"/>
                <w:lang w:val="es-MX" w:eastAsia="es-MX"/>
              </w:rPr>
              <w:t>100,00%</w:t>
            </w:r>
          </w:p>
        </w:tc>
      </w:tr>
    </w:tbl>
    <w:p w:rsidR="00CB011B" w:rsidRPr="00767C7C" w:rsidRDefault="00CB011B" w:rsidP="00D041AF">
      <w:pPr>
        <w:contextualSpacing/>
        <w:jc w:val="both"/>
        <w:rPr>
          <w:rFonts w:ascii="Arial" w:hAnsi="Arial" w:cs="Arial"/>
          <w:sz w:val="24"/>
          <w:szCs w:val="24"/>
        </w:rPr>
      </w:pPr>
    </w:p>
    <w:p w:rsidR="00CB011B" w:rsidRDefault="00CB011B" w:rsidP="00D041AF">
      <w:pPr>
        <w:contextualSpacing/>
        <w:jc w:val="both"/>
        <w:rPr>
          <w:rFonts w:ascii="Arial" w:hAnsi="Arial" w:cs="Arial"/>
          <w:sz w:val="24"/>
          <w:szCs w:val="24"/>
        </w:rPr>
      </w:pPr>
    </w:p>
    <w:p w:rsidR="0022629D" w:rsidRDefault="0022629D" w:rsidP="00D041AF">
      <w:pPr>
        <w:contextualSpacing/>
        <w:jc w:val="both"/>
        <w:rPr>
          <w:rFonts w:ascii="Arial" w:hAnsi="Arial" w:cs="Arial"/>
          <w:sz w:val="24"/>
          <w:szCs w:val="24"/>
        </w:rPr>
      </w:pPr>
    </w:p>
    <w:p w:rsidR="0022629D" w:rsidRDefault="0022629D" w:rsidP="00D041AF">
      <w:pPr>
        <w:contextualSpacing/>
        <w:jc w:val="both"/>
        <w:rPr>
          <w:rFonts w:ascii="Arial" w:hAnsi="Arial" w:cs="Arial"/>
          <w:sz w:val="24"/>
          <w:szCs w:val="24"/>
        </w:rPr>
      </w:pPr>
    </w:p>
    <w:p w:rsidR="00C67A3E" w:rsidRDefault="00C67A3E" w:rsidP="00D041AF">
      <w:pPr>
        <w:contextualSpacing/>
        <w:jc w:val="both"/>
        <w:rPr>
          <w:rFonts w:ascii="Arial" w:hAnsi="Arial" w:cs="Arial"/>
          <w:sz w:val="24"/>
          <w:szCs w:val="24"/>
        </w:rPr>
      </w:pPr>
    </w:p>
    <w:p w:rsidR="00C67A3E" w:rsidRDefault="00C67A3E" w:rsidP="00D041AF">
      <w:pPr>
        <w:contextualSpacing/>
        <w:jc w:val="both"/>
        <w:rPr>
          <w:rFonts w:ascii="Arial" w:hAnsi="Arial" w:cs="Arial"/>
          <w:sz w:val="24"/>
          <w:szCs w:val="24"/>
        </w:rPr>
      </w:pPr>
    </w:p>
    <w:p w:rsidR="00C67A3E" w:rsidRDefault="00C67A3E" w:rsidP="00D041AF">
      <w:pPr>
        <w:contextualSpacing/>
        <w:jc w:val="both"/>
        <w:rPr>
          <w:rFonts w:ascii="Arial" w:hAnsi="Arial" w:cs="Arial"/>
          <w:sz w:val="24"/>
          <w:szCs w:val="24"/>
        </w:rPr>
      </w:pPr>
    </w:p>
    <w:p w:rsidR="00C67A3E" w:rsidRDefault="00C67A3E" w:rsidP="00D041AF">
      <w:pPr>
        <w:contextualSpacing/>
        <w:jc w:val="both"/>
        <w:rPr>
          <w:rFonts w:ascii="Arial" w:hAnsi="Arial" w:cs="Arial"/>
          <w:sz w:val="24"/>
          <w:szCs w:val="24"/>
        </w:rPr>
      </w:pPr>
      <w:bookmarkStart w:id="13" w:name="_GoBack"/>
      <w:bookmarkEnd w:id="13"/>
    </w:p>
    <w:p w:rsidR="0022629D" w:rsidRDefault="0022629D" w:rsidP="00D041AF">
      <w:pPr>
        <w:contextualSpacing/>
        <w:jc w:val="both"/>
        <w:rPr>
          <w:rFonts w:ascii="Arial" w:hAnsi="Arial" w:cs="Arial"/>
          <w:sz w:val="24"/>
          <w:szCs w:val="24"/>
        </w:rPr>
      </w:pPr>
    </w:p>
    <w:p w:rsidR="00787E97" w:rsidRPr="00C446C4" w:rsidRDefault="00787E97" w:rsidP="00787E97">
      <w:pPr>
        <w:contextualSpacing/>
        <w:jc w:val="both"/>
        <w:rPr>
          <w:rFonts w:ascii="Arial" w:hAnsi="Arial" w:cs="Arial"/>
          <w:b/>
          <w:sz w:val="24"/>
          <w:szCs w:val="24"/>
        </w:rPr>
      </w:pPr>
      <w:r w:rsidRPr="00C446C4">
        <w:rPr>
          <w:rFonts w:ascii="Arial" w:hAnsi="Arial" w:cs="Arial"/>
          <w:b/>
          <w:sz w:val="24"/>
          <w:szCs w:val="24"/>
        </w:rPr>
        <w:t>Comentarios al Balance de Situación:</w:t>
      </w:r>
    </w:p>
    <w:p w:rsidR="00CB011B" w:rsidRPr="00C446C4" w:rsidRDefault="00CB011B" w:rsidP="00D041AF">
      <w:pPr>
        <w:contextualSpacing/>
        <w:jc w:val="both"/>
        <w:rPr>
          <w:rFonts w:ascii="Arial" w:hAnsi="Arial" w:cs="Arial"/>
          <w:sz w:val="24"/>
          <w:szCs w:val="24"/>
        </w:rPr>
      </w:pPr>
    </w:p>
    <w:p w:rsidR="003F2402" w:rsidRPr="00437FC5" w:rsidRDefault="00787E97" w:rsidP="00787E97">
      <w:pPr>
        <w:contextualSpacing/>
        <w:jc w:val="both"/>
        <w:rPr>
          <w:rFonts w:ascii="Arial" w:hAnsi="Arial" w:cs="Arial"/>
          <w:sz w:val="24"/>
          <w:szCs w:val="24"/>
        </w:rPr>
      </w:pPr>
      <w:r w:rsidRPr="00437FC5">
        <w:rPr>
          <w:rFonts w:ascii="Arial" w:hAnsi="Arial" w:cs="Arial"/>
          <w:sz w:val="24"/>
          <w:szCs w:val="24"/>
        </w:rPr>
        <w:t xml:space="preserve">Del cuadro anterior podemos observar que el activo de la Institución </w:t>
      </w:r>
      <w:r w:rsidR="003F2402" w:rsidRPr="00437FC5">
        <w:rPr>
          <w:rFonts w:ascii="Arial" w:hAnsi="Arial" w:cs="Arial"/>
          <w:sz w:val="24"/>
          <w:szCs w:val="24"/>
        </w:rPr>
        <w:t xml:space="preserve">está concentrado en el </w:t>
      </w:r>
      <w:r w:rsidR="00B84EFC" w:rsidRPr="00437FC5">
        <w:rPr>
          <w:rFonts w:ascii="Arial" w:hAnsi="Arial" w:cs="Arial"/>
          <w:sz w:val="24"/>
          <w:szCs w:val="24"/>
        </w:rPr>
        <w:t>activo</w:t>
      </w:r>
      <w:r w:rsidR="003F2402" w:rsidRPr="00437FC5">
        <w:rPr>
          <w:rFonts w:ascii="Arial" w:hAnsi="Arial" w:cs="Arial"/>
          <w:sz w:val="24"/>
          <w:szCs w:val="24"/>
        </w:rPr>
        <w:t xml:space="preserve"> no</w:t>
      </w:r>
      <w:r w:rsidR="00B84EFC" w:rsidRPr="00437FC5">
        <w:rPr>
          <w:rFonts w:ascii="Arial" w:hAnsi="Arial" w:cs="Arial"/>
          <w:sz w:val="24"/>
          <w:szCs w:val="24"/>
        </w:rPr>
        <w:t xml:space="preserve"> </w:t>
      </w:r>
      <w:r w:rsidRPr="00437FC5">
        <w:rPr>
          <w:rFonts w:ascii="Arial" w:hAnsi="Arial" w:cs="Arial"/>
          <w:sz w:val="24"/>
          <w:szCs w:val="24"/>
        </w:rPr>
        <w:t>corriente, principalmente</w:t>
      </w:r>
      <w:r w:rsidR="00FA736E" w:rsidRPr="00437FC5">
        <w:rPr>
          <w:rFonts w:ascii="Arial" w:hAnsi="Arial" w:cs="Arial"/>
          <w:sz w:val="24"/>
          <w:szCs w:val="24"/>
        </w:rPr>
        <w:t xml:space="preserve"> en la sesión</w:t>
      </w:r>
      <w:r w:rsidR="003F2402" w:rsidRPr="00437FC5">
        <w:rPr>
          <w:rFonts w:ascii="Arial" w:hAnsi="Arial" w:cs="Arial"/>
          <w:sz w:val="24"/>
          <w:szCs w:val="24"/>
        </w:rPr>
        <w:t xml:space="preserve"> de cartera de crédito del fideicomiso con un </w:t>
      </w:r>
      <w:r w:rsidR="0054126A">
        <w:rPr>
          <w:rFonts w:ascii="Arial" w:hAnsi="Arial" w:cs="Arial"/>
          <w:sz w:val="24"/>
          <w:szCs w:val="24"/>
        </w:rPr>
        <w:t>59</w:t>
      </w:r>
      <w:r w:rsidR="003F2402" w:rsidRPr="00437FC5">
        <w:rPr>
          <w:rFonts w:ascii="Arial" w:hAnsi="Arial" w:cs="Arial"/>
          <w:sz w:val="24"/>
          <w:szCs w:val="24"/>
        </w:rPr>
        <w:t xml:space="preserve">%, </w:t>
      </w:r>
      <w:r w:rsidR="008F624D" w:rsidRPr="00437FC5">
        <w:rPr>
          <w:rFonts w:ascii="Arial" w:hAnsi="Arial" w:cs="Arial"/>
          <w:sz w:val="24"/>
          <w:szCs w:val="24"/>
        </w:rPr>
        <w:t xml:space="preserve">lo </w:t>
      </w:r>
      <w:r w:rsidR="003F2402" w:rsidRPr="00437FC5">
        <w:rPr>
          <w:rFonts w:ascii="Arial" w:hAnsi="Arial" w:cs="Arial"/>
          <w:sz w:val="24"/>
          <w:szCs w:val="24"/>
        </w:rPr>
        <w:t xml:space="preserve">que corresponden a los créditos que se les giran a los productores para el manejo del bosque, recuperación de áreas desnudas y los cambios tecnológicos en aprovechamiento e industrialización de los recursos </w:t>
      </w:r>
      <w:r w:rsidR="00BF4080" w:rsidRPr="00437FC5">
        <w:rPr>
          <w:rFonts w:ascii="Arial" w:hAnsi="Arial" w:cs="Arial"/>
          <w:sz w:val="24"/>
          <w:szCs w:val="24"/>
        </w:rPr>
        <w:t xml:space="preserve">forestales, con un monto registrado para el </w:t>
      </w:r>
      <w:r w:rsidR="00E5392F" w:rsidRPr="00437FC5">
        <w:rPr>
          <w:rFonts w:ascii="Arial" w:hAnsi="Arial" w:cs="Arial"/>
          <w:sz w:val="24"/>
          <w:szCs w:val="24"/>
        </w:rPr>
        <w:t>último</w:t>
      </w:r>
      <w:r w:rsidR="00BF4080" w:rsidRPr="00437FC5">
        <w:rPr>
          <w:rFonts w:ascii="Arial" w:hAnsi="Arial" w:cs="Arial"/>
          <w:sz w:val="24"/>
          <w:szCs w:val="24"/>
        </w:rPr>
        <w:t xml:space="preserve"> periodo del 201</w:t>
      </w:r>
      <w:r w:rsidR="008F624D" w:rsidRPr="00437FC5">
        <w:rPr>
          <w:rFonts w:ascii="Arial" w:hAnsi="Arial" w:cs="Arial"/>
          <w:sz w:val="24"/>
          <w:szCs w:val="24"/>
        </w:rPr>
        <w:t>8</w:t>
      </w:r>
      <w:r w:rsidR="00BF4080" w:rsidRPr="00437FC5">
        <w:rPr>
          <w:rFonts w:ascii="Arial" w:hAnsi="Arial" w:cs="Arial"/>
          <w:sz w:val="24"/>
          <w:szCs w:val="24"/>
        </w:rPr>
        <w:t xml:space="preserve"> de ¢2.</w:t>
      </w:r>
      <w:r w:rsidR="005544FD" w:rsidRPr="00437FC5">
        <w:rPr>
          <w:rFonts w:ascii="Arial" w:hAnsi="Arial" w:cs="Arial"/>
          <w:sz w:val="24"/>
          <w:szCs w:val="24"/>
        </w:rPr>
        <w:t>766.653,07</w:t>
      </w:r>
      <w:r w:rsidR="00BF4080" w:rsidRPr="00437FC5">
        <w:rPr>
          <w:rFonts w:ascii="Arial" w:hAnsi="Arial" w:cs="Arial"/>
          <w:sz w:val="24"/>
          <w:szCs w:val="24"/>
        </w:rPr>
        <w:t xml:space="preserve"> mil.</w:t>
      </w:r>
    </w:p>
    <w:p w:rsidR="003F2402" w:rsidRPr="00634FF4" w:rsidRDefault="003F2402" w:rsidP="00787E97">
      <w:pPr>
        <w:contextualSpacing/>
        <w:jc w:val="both"/>
        <w:rPr>
          <w:rFonts w:ascii="Arial" w:hAnsi="Arial" w:cs="Arial"/>
          <w:color w:val="FF0000"/>
          <w:sz w:val="24"/>
          <w:szCs w:val="24"/>
        </w:rPr>
      </w:pPr>
    </w:p>
    <w:p w:rsidR="00B84EFC" w:rsidRPr="00C538B2" w:rsidRDefault="003F2402" w:rsidP="00787E97">
      <w:pPr>
        <w:contextualSpacing/>
        <w:jc w:val="both"/>
        <w:rPr>
          <w:rFonts w:ascii="Arial" w:hAnsi="Arial" w:cs="Arial"/>
          <w:sz w:val="24"/>
          <w:szCs w:val="24"/>
        </w:rPr>
      </w:pPr>
      <w:r w:rsidRPr="00C538B2">
        <w:rPr>
          <w:rFonts w:ascii="Arial" w:hAnsi="Arial" w:cs="Arial"/>
          <w:sz w:val="24"/>
          <w:szCs w:val="24"/>
        </w:rPr>
        <w:t>El pasivo de la institución está representado</w:t>
      </w:r>
      <w:r w:rsidR="00BF4080" w:rsidRPr="00C538B2">
        <w:rPr>
          <w:rFonts w:ascii="Arial" w:hAnsi="Arial" w:cs="Arial"/>
          <w:sz w:val="24"/>
          <w:szCs w:val="24"/>
        </w:rPr>
        <w:t xml:space="preserve"> principalmente en el pasivo corriente</w:t>
      </w:r>
      <w:r w:rsidR="00C538B2" w:rsidRPr="00C538B2">
        <w:rPr>
          <w:rFonts w:ascii="Arial" w:hAnsi="Arial" w:cs="Arial"/>
          <w:sz w:val="24"/>
          <w:szCs w:val="24"/>
        </w:rPr>
        <w:t>,</w:t>
      </w:r>
      <w:r w:rsidRPr="00C538B2">
        <w:rPr>
          <w:rFonts w:ascii="Arial" w:hAnsi="Arial" w:cs="Arial"/>
          <w:sz w:val="24"/>
          <w:szCs w:val="24"/>
        </w:rPr>
        <w:t xml:space="preserve"> específicamente en las cuentas por pagar y provisiones con un </w:t>
      </w:r>
      <w:r w:rsidR="00C538B2" w:rsidRPr="00C538B2">
        <w:rPr>
          <w:rFonts w:ascii="Arial" w:hAnsi="Arial" w:cs="Arial"/>
          <w:sz w:val="24"/>
          <w:szCs w:val="24"/>
        </w:rPr>
        <w:t>6</w:t>
      </w:r>
      <w:r w:rsidR="006F4793" w:rsidRPr="00C538B2">
        <w:rPr>
          <w:rFonts w:ascii="Arial" w:hAnsi="Arial" w:cs="Arial"/>
          <w:sz w:val="24"/>
          <w:szCs w:val="24"/>
        </w:rPr>
        <w:t>9,</w:t>
      </w:r>
      <w:r w:rsidR="00C538B2" w:rsidRPr="00C538B2">
        <w:rPr>
          <w:rFonts w:ascii="Arial" w:hAnsi="Arial" w:cs="Arial"/>
          <w:sz w:val="24"/>
          <w:szCs w:val="24"/>
        </w:rPr>
        <w:t>71</w:t>
      </w:r>
      <w:r w:rsidR="002918D3" w:rsidRPr="00C538B2">
        <w:rPr>
          <w:rFonts w:ascii="Arial" w:hAnsi="Arial" w:cs="Arial"/>
          <w:sz w:val="24"/>
          <w:szCs w:val="24"/>
        </w:rPr>
        <w:t>%</w:t>
      </w:r>
      <w:r w:rsidR="00BF4080" w:rsidRPr="00C538B2">
        <w:rPr>
          <w:rFonts w:ascii="Arial" w:hAnsi="Arial" w:cs="Arial"/>
          <w:sz w:val="24"/>
          <w:szCs w:val="24"/>
        </w:rPr>
        <w:t>, que corresponde a los pagos acumulados por pagar generados por el personal contratado en el Fideicomiso (aguinaldo, vacaciones y el monto a cancelar por concepto de cuotas obrero patronales), el monto para este periodo 201</w:t>
      </w:r>
      <w:r w:rsidR="006F4793" w:rsidRPr="00C538B2">
        <w:rPr>
          <w:rFonts w:ascii="Arial" w:hAnsi="Arial" w:cs="Arial"/>
          <w:sz w:val="24"/>
          <w:szCs w:val="24"/>
        </w:rPr>
        <w:t>8</w:t>
      </w:r>
      <w:r w:rsidR="00BF4080" w:rsidRPr="00C538B2">
        <w:rPr>
          <w:rFonts w:ascii="Arial" w:hAnsi="Arial" w:cs="Arial"/>
          <w:sz w:val="24"/>
          <w:szCs w:val="24"/>
        </w:rPr>
        <w:t xml:space="preserve"> asciende a ¢</w:t>
      </w:r>
      <w:r w:rsidR="00C538B2" w:rsidRPr="00C538B2">
        <w:rPr>
          <w:rFonts w:ascii="Arial" w:hAnsi="Arial" w:cs="Arial"/>
          <w:sz w:val="24"/>
          <w:szCs w:val="24"/>
        </w:rPr>
        <w:t>11.066,17</w:t>
      </w:r>
      <w:r w:rsidR="006F4793" w:rsidRPr="00C538B2">
        <w:rPr>
          <w:rFonts w:ascii="Arial" w:hAnsi="Arial" w:cs="Arial"/>
          <w:sz w:val="24"/>
          <w:szCs w:val="24"/>
        </w:rPr>
        <w:t xml:space="preserve"> mil.</w:t>
      </w:r>
    </w:p>
    <w:p w:rsidR="002918D3" w:rsidRPr="00C538B2" w:rsidRDefault="002918D3" w:rsidP="00787E97">
      <w:pPr>
        <w:contextualSpacing/>
        <w:jc w:val="both"/>
        <w:rPr>
          <w:rFonts w:ascii="Arial" w:hAnsi="Arial" w:cs="Arial"/>
          <w:sz w:val="24"/>
          <w:szCs w:val="24"/>
        </w:rPr>
      </w:pPr>
    </w:p>
    <w:p w:rsidR="009D185D" w:rsidRPr="009B7952" w:rsidRDefault="00135ECE" w:rsidP="00C446C4">
      <w:pPr>
        <w:contextualSpacing/>
        <w:jc w:val="both"/>
        <w:rPr>
          <w:rFonts w:ascii="Arial" w:hAnsi="Arial" w:cs="Arial"/>
          <w:sz w:val="24"/>
          <w:szCs w:val="24"/>
        </w:rPr>
      </w:pPr>
      <w:r w:rsidRPr="009B7952">
        <w:rPr>
          <w:rFonts w:ascii="Arial" w:hAnsi="Arial" w:cs="Arial"/>
          <w:sz w:val="24"/>
          <w:szCs w:val="24"/>
        </w:rPr>
        <w:t>Así</w:t>
      </w:r>
      <w:r w:rsidR="0082687D" w:rsidRPr="009B7952">
        <w:rPr>
          <w:rFonts w:ascii="Arial" w:hAnsi="Arial" w:cs="Arial"/>
          <w:sz w:val="24"/>
          <w:szCs w:val="24"/>
        </w:rPr>
        <w:t xml:space="preserve"> mismo </w:t>
      </w:r>
      <w:r w:rsidR="009B7952" w:rsidRPr="009B7952">
        <w:rPr>
          <w:rFonts w:ascii="Arial" w:hAnsi="Arial" w:cs="Arial"/>
          <w:sz w:val="24"/>
          <w:szCs w:val="24"/>
        </w:rPr>
        <w:t>la mayor porción del</w:t>
      </w:r>
      <w:r w:rsidR="0082687D" w:rsidRPr="009B7952">
        <w:rPr>
          <w:rFonts w:ascii="Arial" w:hAnsi="Arial" w:cs="Arial"/>
          <w:sz w:val="24"/>
          <w:szCs w:val="24"/>
        </w:rPr>
        <w:t xml:space="preserve"> patrimonio de la institución</w:t>
      </w:r>
      <w:r w:rsidRPr="009B7952">
        <w:rPr>
          <w:rFonts w:ascii="Arial" w:hAnsi="Arial" w:cs="Arial"/>
          <w:sz w:val="24"/>
          <w:szCs w:val="24"/>
        </w:rPr>
        <w:t xml:space="preserve"> se ve reflejado </w:t>
      </w:r>
      <w:r w:rsidR="009D185D" w:rsidRPr="009B7952">
        <w:rPr>
          <w:rFonts w:ascii="Arial" w:hAnsi="Arial" w:cs="Arial"/>
          <w:sz w:val="24"/>
          <w:szCs w:val="24"/>
        </w:rPr>
        <w:t>en la cuenta</w:t>
      </w:r>
      <w:r w:rsidR="00C446C4" w:rsidRPr="009B7952">
        <w:rPr>
          <w:rFonts w:ascii="Arial" w:hAnsi="Arial" w:cs="Arial"/>
          <w:sz w:val="24"/>
          <w:szCs w:val="24"/>
        </w:rPr>
        <w:t xml:space="preserve"> aportaciones</w:t>
      </w:r>
      <w:r w:rsidR="00E81CDD" w:rsidRPr="009B7952">
        <w:rPr>
          <w:rFonts w:ascii="Arial" w:hAnsi="Arial" w:cs="Arial"/>
          <w:sz w:val="24"/>
          <w:szCs w:val="24"/>
        </w:rPr>
        <w:t xml:space="preserve"> de fideicomitentes netas por un monto de ¢</w:t>
      </w:r>
      <w:r w:rsidR="002918D3" w:rsidRPr="009B7952">
        <w:rPr>
          <w:rFonts w:ascii="Arial" w:hAnsi="Arial" w:cs="Arial"/>
          <w:sz w:val="24"/>
          <w:szCs w:val="24"/>
        </w:rPr>
        <w:t>4.</w:t>
      </w:r>
      <w:r w:rsidR="009B7952" w:rsidRPr="009B7952">
        <w:rPr>
          <w:rFonts w:ascii="Arial" w:hAnsi="Arial" w:cs="Arial"/>
          <w:sz w:val="24"/>
          <w:szCs w:val="24"/>
        </w:rPr>
        <w:t>827.805,78</w:t>
      </w:r>
      <w:r w:rsidR="00C446C4" w:rsidRPr="009B7952">
        <w:rPr>
          <w:rFonts w:ascii="Arial" w:hAnsi="Arial" w:cs="Arial"/>
          <w:sz w:val="24"/>
          <w:szCs w:val="24"/>
        </w:rPr>
        <w:t xml:space="preserve"> mil</w:t>
      </w:r>
      <w:r w:rsidR="00E81CDD" w:rsidRPr="009B7952">
        <w:rPr>
          <w:rFonts w:ascii="Arial" w:hAnsi="Arial" w:cs="Arial"/>
          <w:sz w:val="24"/>
          <w:szCs w:val="24"/>
        </w:rPr>
        <w:t xml:space="preserve">, los cuales corresponden a las </w:t>
      </w:r>
      <w:r w:rsidR="00281F35" w:rsidRPr="009B7952">
        <w:rPr>
          <w:rFonts w:ascii="Arial" w:hAnsi="Arial" w:cs="Arial"/>
          <w:sz w:val="24"/>
          <w:szCs w:val="24"/>
        </w:rPr>
        <w:t>aportaciones del</w:t>
      </w:r>
      <w:r w:rsidR="00E81CDD" w:rsidRPr="009B7952">
        <w:rPr>
          <w:rFonts w:ascii="Arial" w:hAnsi="Arial" w:cs="Arial"/>
          <w:sz w:val="24"/>
          <w:szCs w:val="24"/>
        </w:rPr>
        <w:t xml:space="preserve"> Fideicomitente al Fideicomiso, </w:t>
      </w:r>
      <w:r w:rsidR="00BD44CA" w:rsidRPr="009B7952">
        <w:rPr>
          <w:rFonts w:ascii="Arial" w:hAnsi="Arial" w:cs="Arial"/>
          <w:sz w:val="24"/>
          <w:szCs w:val="24"/>
        </w:rPr>
        <w:t>así</w:t>
      </w:r>
      <w:r w:rsidR="00E81CDD" w:rsidRPr="009B7952">
        <w:rPr>
          <w:rFonts w:ascii="Arial" w:hAnsi="Arial" w:cs="Arial"/>
          <w:sz w:val="24"/>
          <w:szCs w:val="24"/>
        </w:rPr>
        <w:t xml:space="preserve"> como los retiros de aportaciones </w:t>
      </w:r>
      <w:r w:rsidR="00BD44CA" w:rsidRPr="009B7952">
        <w:rPr>
          <w:rFonts w:ascii="Arial" w:hAnsi="Arial" w:cs="Arial"/>
          <w:sz w:val="24"/>
          <w:szCs w:val="24"/>
        </w:rPr>
        <w:t>y de rendimientos realizados</w:t>
      </w:r>
      <w:r w:rsidR="002918D3" w:rsidRPr="009B7952">
        <w:rPr>
          <w:rFonts w:ascii="Arial" w:hAnsi="Arial" w:cs="Arial"/>
          <w:sz w:val="24"/>
          <w:szCs w:val="24"/>
        </w:rPr>
        <w:t>.</w:t>
      </w:r>
      <w:r w:rsidR="00C446C4" w:rsidRPr="009B7952">
        <w:rPr>
          <w:rFonts w:ascii="Arial" w:hAnsi="Arial" w:cs="Arial"/>
          <w:sz w:val="24"/>
          <w:szCs w:val="24"/>
        </w:rPr>
        <w:t xml:space="preserve"> A su vez el total del patrimonio se ve disminuido por la cuenta utilidad o </w:t>
      </w:r>
      <w:r w:rsidR="00781047" w:rsidRPr="009B7952">
        <w:rPr>
          <w:rFonts w:ascii="Arial" w:hAnsi="Arial" w:cs="Arial"/>
          <w:sz w:val="24"/>
          <w:szCs w:val="24"/>
        </w:rPr>
        <w:t>u</w:t>
      </w:r>
      <w:r w:rsidR="009D185D" w:rsidRPr="009B7952">
        <w:rPr>
          <w:rFonts w:ascii="Arial" w:hAnsi="Arial" w:cs="Arial"/>
          <w:sz w:val="24"/>
          <w:szCs w:val="24"/>
        </w:rPr>
        <w:t xml:space="preserve">tilidades o pérdidas </w:t>
      </w:r>
      <w:r w:rsidR="00C446C4" w:rsidRPr="009B7952">
        <w:rPr>
          <w:rFonts w:ascii="Arial" w:hAnsi="Arial" w:cs="Arial"/>
          <w:sz w:val="24"/>
          <w:szCs w:val="24"/>
        </w:rPr>
        <w:t xml:space="preserve">del periodo, la cual presenta una disminución </w:t>
      </w:r>
      <w:r w:rsidR="009B7952" w:rsidRPr="009B7952">
        <w:rPr>
          <w:rFonts w:ascii="Arial" w:hAnsi="Arial" w:cs="Arial"/>
          <w:sz w:val="24"/>
          <w:szCs w:val="24"/>
        </w:rPr>
        <w:t>de -354.589,97</w:t>
      </w:r>
      <w:r w:rsidR="00C446C4" w:rsidRPr="009B7952">
        <w:rPr>
          <w:rFonts w:ascii="Arial" w:hAnsi="Arial" w:cs="Arial"/>
          <w:sz w:val="24"/>
          <w:szCs w:val="24"/>
        </w:rPr>
        <w:t xml:space="preserve"> mil.</w:t>
      </w:r>
    </w:p>
    <w:p w:rsidR="00E601F6" w:rsidRPr="00634FF4" w:rsidRDefault="00E601F6" w:rsidP="00787E97">
      <w:pPr>
        <w:contextualSpacing/>
        <w:jc w:val="both"/>
        <w:rPr>
          <w:rFonts w:ascii="Arial" w:hAnsi="Arial" w:cs="Arial"/>
          <w:color w:val="FF0000"/>
          <w:sz w:val="22"/>
          <w:szCs w:val="22"/>
        </w:rPr>
      </w:pPr>
    </w:p>
    <w:p w:rsidR="00787E97" w:rsidRPr="00974640" w:rsidRDefault="00F201E0" w:rsidP="00D041AF">
      <w:pPr>
        <w:contextualSpacing/>
        <w:jc w:val="both"/>
        <w:rPr>
          <w:rFonts w:ascii="Arial" w:hAnsi="Arial" w:cs="Arial"/>
          <w:sz w:val="24"/>
          <w:szCs w:val="24"/>
        </w:rPr>
      </w:pPr>
      <w:r w:rsidRPr="00974640">
        <w:rPr>
          <w:rFonts w:ascii="Arial" w:hAnsi="Arial" w:cs="Arial"/>
          <w:sz w:val="24"/>
          <w:szCs w:val="24"/>
        </w:rPr>
        <w:t>L</w:t>
      </w:r>
      <w:r w:rsidR="00135ECE" w:rsidRPr="00974640">
        <w:rPr>
          <w:rFonts w:ascii="Arial" w:hAnsi="Arial" w:cs="Arial"/>
          <w:sz w:val="24"/>
          <w:szCs w:val="24"/>
        </w:rPr>
        <w:t>as cuentas de orden</w:t>
      </w:r>
      <w:r w:rsidRPr="00974640">
        <w:rPr>
          <w:rFonts w:ascii="Arial" w:hAnsi="Arial" w:cs="Arial"/>
          <w:sz w:val="24"/>
          <w:szCs w:val="24"/>
        </w:rPr>
        <w:t xml:space="preserve"> </w:t>
      </w:r>
      <w:r w:rsidR="00F87A1C" w:rsidRPr="00974640">
        <w:rPr>
          <w:rFonts w:ascii="Arial" w:hAnsi="Arial" w:cs="Arial"/>
          <w:sz w:val="24"/>
          <w:szCs w:val="24"/>
        </w:rPr>
        <w:t>corresponden</w:t>
      </w:r>
      <w:r w:rsidR="00135ECE" w:rsidRPr="00974640">
        <w:rPr>
          <w:rFonts w:ascii="Arial" w:hAnsi="Arial" w:cs="Arial"/>
          <w:sz w:val="24"/>
          <w:szCs w:val="24"/>
        </w:rPr>
        <w:t xml:space="preserve"> a los </w:t>
      </w:r>
      <w:r w:rsidR="002918D3" w:rsidRPr="00974640">
        <w:rPr>
          <w:rFonts w:ascii="Arial" w:hAnsi="Arial" w:cs="Arial"/>
          <w:sz w:val="24"/>
          <w:szCs w:val="24"/>
        </w:rPr>
        <w:t xml:space="preserve">intereses de operaciones con </w:t>
      </w:r>
      <w:r w:rsidR="00135ECE" w:rsidRPr="00974640">
        <w:rPr>
          <w:rFonts w:ascii="Arial" w:hAnsi="Arial" w:cs="Arial"/>
          <w:sz w:val="24"/>
          <w:szCs w:val="24"/>
        </w:rPr>
        <w:t>180 días de vencimiento</w:t>
      </w:r>
      <w:r w:rsidRPr="00974640">
        <w:rPr>
          <w:rFonts w:ascii="Arial" w:hAnsi="Arial" w:cs="Arial"/>
          <w:sz w:val="24"/>
          <w:szCs w:val="24"/>
        </w:rPr>
        <w:t xml:space="preserve">, estas son operaciones que </w:t>
      </w:r>
      <w:r w:rsidR="009B7952" w:rsidRPr="00974640">
        <w:rPr>
          <w:rFonts w:ascii="Arial" w:hAnsi="Arial" w:cs="Arial"/>
          <w:sz w:val="24"/>
          <w:szCs w:val="24"/>
        </w:rPr>
        <w:t>se encuentran en cobro judicial las cuales al cierre del</w:t>
      </w:r>
      <w:r w:rsidRPr="00974640">
        <w:rPr>
          <w:rFonts w:ascii="Arial" w:hAnsi="Arial" w:cs="Arial"/>
          <w:sz w:val="24"/>
          <w:szCs w:val="24"/>
        </w:rPr>
        <w:t xml:space="preserve"> periodo 201</w:t>
      </w:r>
      <w:r w:rsidR="000112EF" w:rsidRPr="00974640">
        <w:rPr>
          <w:rFonts w:ascii="Arial" w:hAnsi="Arial" w:cs="Arial"/>
          <w:sz w:val="24"/>
          <w:szCs w:val="24"/>
        </w:rPr>
        <w:t>8</w:t>
      </w:r>
      <w:r w:rsidR="00135ECE" w:rsidRPr="00974640">
        <w:rPr>
          <w:rFonts w:ascii="Arial" w:hAnsi="Arial" w:cs="Arial"/>
          <w:sz w:val="24"/>
          <w:szCs w:val="24"/>
        </w:rPr>
        <w:t xml:space="preserve"> fue</w:t>
      </w:r>
      <w:r w:rsidR="00F87A1C" w:rsidRPr="00974640">
        <w:rPr>
          <w:rFonts w:ascii="Arial" w:hAnsi="Arial" w:cs="Arial"/>
          <w:sz w:val="24"/>
          <w:szCs w:val="24"/>
        </w:rPr>
        <w:t>ron</w:t>
      </w:r>
      <w:r w:rsidR="00135ECE" w:rsidRPr="00974640">
        <w:rPr>
          <w:rFonts w:ascii="Arial" w:hAnsi="Arial" w:cs="Arial"/>
          <w:sz w:val="24"/>
          <w:szCs w:val="24"/>
        </w:rPr>
        <w:t xml:space="preserve"> por </w:t>
      </w:r>
      <w:r w:rsidR="00F87A1C" w:rsidRPr="00974640">
        <w:rPr>
          <w:rFonts w:ascii="Arial" w:hAnsi="Arial" w:cs="Arial"/>
          <w:sz w:val="24"/>
          <w:szCs w:val="24"/>
        </w:rPr>
        <w:t xml:space="preserve">un monto de </w:t>
      </w:r>
      <w:r w:rsidR="00D1098A" w:rsidRPr="00974640">
        <w:rPr>
          <w:rFonts w:ascii="Arial" w:hAnsi="Arial" w:cs="Arial"/>
          <w:sz w:val="24"/>
          <w:szCs w:val="24"/>
        </w:rPr>
        <w:t>¢</w:t>
      </w:r>
      <w:r w:rsidR="002918D3" w:rsidRPr="00974640">
        <w:rPr>
          <w:rFonts w:ascii="Arial" w:hAnsi="Arial" w:cs="Arial"/>
          <w:sz w:val="24"/>
          <w:szCs w:val="24"/>
        </w:rPr>
        <w:t xml:space="preserve"> </w:t>
      </w:r>
      <w:r w:rsidR="009B7952" w:rsidRPr="00974640">
        <w:rPr>
          <w:rFonts w:ascii="Arial" w:hAnsi="Arial" w:cs="Arial"/>
          <w:sz w:val="24"/>
          <w:szCs w:val="24"/>
        </w:rPr>
        <w:t>44.115,80</w:t>
      </w:r>
      <w:r w:rsidR="000112EF" w:rsidRPr="00974640">
        <w:rPr>
          <w:rFonts w:ascii="Arial" w:hAnsi="Arial" w:cs="Arial"/>
          <w:sz w:val="24"/>
          <w:szCs w:val="24"/>
        </w:rPr>
        <w:t xml:space="preserve"> mil</w:t>
      </w:r>
      <w:r w:rsidR="00C73DB6" w:rsidRPr="00974640">
        <w:rPr>
          <w:rFonts w:ascii="Arial" w:hAnsi="Arial" w:cs="Arial"/>
          <w:sz w:val="24"/>
          <w:szCs w:val="24"/>
        </w:rPr>
        <w:t>.</w:t>
      </w:r>
    </w:p>
    <w:p w:rsidR="00CB011B" w:rsidRPr="00634FF4" w:rsidRDefault="00CB011B" w:rsidP="00D041AF">
      <w:pPr>
        <w:contextualSpacing/>
        <w:jc w:val="both"/>
        <w:rPr>
          <w:rFonts w:ascii="Arial" w:hAnsi="Arial" w:cs="Arial"/>
          <w:color w:val="FF0000"/>
          <w:sz w:val="22"/>
          <w:szCs w:val="22"/>
        </w:rPr>
      </w:pPr>
    </w:p>
    <w:p w:rsidR="00CB011B" w:rsidRPr="0022629D" w:rsidRDefault="00CB011B" w:rsidP="00D041AF">
      <w:pPr>
        <w:contextualSpacing/>
        <w:jc w:val="both"/>
        <w:rPr>
          <w:rFonts w:ascii="Arial" w:hAnsi="Arial" w:cs="Arial"/>
          <w:color w:val="FF0000"/>
          <w:sz w:val="22"/>
          <w:szCs w:val="22"/>
        </w:rPr>
      </w:pPr>
    </w:p>
    <w:p w:rsidR="00CB011B" w:rsidRPr="0022629D" w:rsidRDefault="00CB011B" w:rsidP="00D041AF">
      <w:pPr>
        <w:contextualSpacing/>
        <w:jc w:val="both"/>
        <w:rPr>
          <w:rFonts w:ascii="Arial" w:hAnsi="Arial" w:cs="Arial"/>
          <w:color w:val="FF0000"/>
          <w:sz w:val="22"/>
          <w:szCs w:val="22"/>
        </w:rPr>
      </w:pPr>
    </w:p>
    <w:p w:rsidR="00CB011B" w:rsidRPr="0022629D" w:rsidRDefault="00CB011B" w:rsidP="00D041AF">
      <w:pPr>
        <w:contextualSpacing/>
        <w:jc w:val="both"/>
        <w:rPr>
          <w:rFonts w:ascii="Arial" w:hAnsi="Arial" w:cs="Arial"/>
          <w:color w:val="FF0000"/>
          <w:sz w:val="24"/>
          <w:szCs w:val="24"/>
        </w:rPr>
      </w:pPr>
    </w:p>
    <w:p w:rsidR="00CB011B" w:rsidRPr="0022629D" w:rsidRDefault="00CB011B" w:rsidP="00D041AF">
      <w:pPr>
        <w:contextualSpacing/>
        <w:jc w:val="both"/>
        <w:rPr>
          <w:rFonts w:ascii="Arial" w:hAnsi="Arial" w:cs="Arial"/>
          <w:color w:val="FF0000"/>
          <w:sz w:val="24"/>
          <w:szCs w:val="24"/>
        </w:rPr>
      </w:pPr>
    </w:p>
    <w:p w:rsidR="00CB011B" w:rsidRPr="0022629D" w:rsidRDefault="00CB011B" w:rsidP="00D041AF">
      <w:pPr>
        <w:contextualSpacing/>
        <w:jc w:val="both"/>
        <w:rPr>
          <w:rFonts w:ascii="Arial" w:hAnsi="Arial" w:cs="Arial"/>
          <w:color w:val="FF0000"/>
          <w:sz w:val="24"/>
          <w:szCs w:val="24"/>
        </w:rPr>
      </w:pPr>
    </w:p>
    <w:p w:rsidR="00CB011B" w:rsidRPr="0022629D" w:rsidRDefault="00CB011B" w:rsidP="00D041AF">
      <w:pPr>
        <w:contextualSpacing/>
        <w:jc w:val="both"/>
        <w:rPr>
          <w:rFonts w:ascii="Arial" w:hAnsi="Arial" w:cs="Arial"/>
          <w:color w:val="FF0000"/>
          <w:sz w:val="24"/>
          <w:szCs w:val="24"/>
        </w:rPr>
      </w:pPr>
    </w:p>
    <w:p w:rsidR="00CB011B" w:rsidRPr="00767C7C" w:rsidRDefault="00CB011B" w:rsidP="00D041AF">
      <w:pPr>
        <w:contextualSpacing/>
        <w:jc w:val="both"/>
        <w:rPr>
          <w:rFonts w:ascii="Arial" w:hAnsi="Arial" w:cs="Arial"/>
          <w:sz w:val="24"/>
          <w:szCs w:val="24"/>
        </w:rPr>
      </w:pPr>
    </w:p>
    <w:p w:rsidR="00CB011B" w:rsidRPr="00767C7C" w:rsidRDefault="00CB011B" w:rsidP="00D041AF">
      <w:pPr>
        <w:contextualSpacing/>
        <w:jc w:val="both"/>
        <w:rPr>
          <w:rFonts w:ascii="Arial" w:hAnsi="Arial" w:cs="Arial"/>
          <w:sz w:val="24"/>
          <w:szCs w:val="24"/>
        </w:rPr>
      </w:pPr>
    </w:p>
    <w:p w:rsidR="0022629D" w:rsidRDefault="0022629D" w:rsidP="00D041AF">
      <w:pPr>
        <w:contextualSpacing/>
        <w:jc w:val="both"/>
        <w:rPr>
          <w:rFonts w:ascii="Arial" w:hAnsi="Arial" w:cs="Arial"/>
          <w:sz w:val="24"/>
          <w:szCs w:val="24"/>
        </w:rPr>
      </w:pPr>
    </w:p>
    <w:p w:rsidR="0022629D" w:rsidRDefault="0022629D" w:rsidP="00D041AF">
      <w:pPr>
        <w:contextualSpacing/>
        <w:jc w:val="both"/>
        <w:rPr>
          <w:rFonts w:ascii="Arial" w:hAnsi="Arial" w:cs="Arial"/>
          <w:sz w:val="24"/>
          <w:szCs w:val="24"/>
        </w:rPr>
      </w:pPr>
    </w:p>
    <w:p w:rsidR="009B4919" w:rsidRDefault="009B4919" w:rsidP="00D041AF">
      <w:pPr>
        <w:contextualSpacing/>
        <w:jc w:val="both"/>
        <w:rPr>
          <w:rFonts w:ascii="Arial" w:hAnsi="Arial" w:cs="Arial"/>
          <w:sz w:val="24"/>
          <w:szCs w:val="24"/>
        </w:rPr>
      </w:pPr>
    </w:p>
    <w:p w:rsidR="009B4919" w:rsidRDefault="009B4919" w:rsidP="00D041AF">
      <w:pPr>
        <w:contextualSpacing/>
        <w:jc w:val="both"/>
        <w:rPr>
          <w:rFonts w:ascii="Arial" w:hAnsi="Arial" w:cs="Arial"/>
          <w:sz w:val="24"/>
          <w:szCs w:val="24"/>
        </w:rPr>
      </w:pPr>
    </w:p>
    <w:p w:rsidR="009B4919" w:rsidRDefault="009B4919" w:rsidP="00D041AF">
      <w:pPr>
        <w:contextualSpacing/>
        <w:jc w:val="both"/>
        <w:rPr>
          <w:rFonts w:ascii="Arial" w:hAnsi="Arial" w:cs="Arial"/>
          <w:sz w:val="24"/>
          <w:szCs w:val="24"/>
        </w:rPr>
      </w:pPr>
    </w:p>
    <w:p w:rsidR="009B4919" w:rsidRPr="00767C7C" w:rsidRDefault="009B4919" w:rsidP="00D041AF">
      <w:pPr>
        <w:contextualSpacing/>
        <w:jc w:val="both"/>
        <w:rPr>
          <w:rFonts w:ascii="Arial" w:hAnsi="Arial" w:cs="Arial"/>
          <w:sz w:val="24"/>
          <w:szCs w:val="24"/>
        </w:rPr>
      </w:pPr>
    </w:p>
    <w:p w:rsidR="00FD5303" w:rsidRDefault="00FD5303" w:rsidP="00D041AF">
      <w:pPr>
        <w:contextualSpacing/>
        <w:jc w:val="both"/>
        <w:rPr>
          <w:rFonts w:ascii="Arial" w:hAnsi="Arial" w:cs="Arial"/>
          <w:sz w:val="24"/>
          <w:szCs w:val="24"/>
        </w:rPr>
      </w:pPr>
    </w:p>
    <w:p w:rsidR="00F46551" w:rsidRDefault="00F46551" w:rsidP="00D041AF">
      <w:pPr>
        <w:contextualSpacing/>
        <w:jc w:val="both"/>
        <w:rPr>
          <w:rFonts w:ascii="Arial" w:hAnsi="Arial" w:cs="Arial"/>
          <w:sz w:val="24"/>
          <w:szCs w:val="24"/>
        </w:rPr>
      </w:pPr>
    </w:p>
    <w:p w:rsidR="00F46551" w:rsidRDefault="00F46551" w:rsidP="00D041AF">
      <w:pPr>
        <w:contextualSpacing/>
        <w:jc w:val="both"/>
        <w:rPr>
          <w:rFonts w:ascii="Arial" w:hAnsi="Arial" w:cs="Arial"/>
          <w:sz w:val="24"/>
          <w:szCs w:val="24"/>
        </w:rPr>
      </w:pPr>
    </w:p>
    <w:p w:rsidR="00D50FE8" w:rsidRDefault="00D50FE8" w:rsidP="00D041AF">
      <w:pPr>
        <w:contextualSpacing/>
        <w:jc w:val="both"/>
        <w:rPr>
          <w:rFonts w:ascii="Arial" w:hAnsi="Arial" w:cs="Arial"/>
          <w:sz w:val="24"/>
          <w:szCs w:val="24"/>
        </w:rPr>
      </w:pPr>
    </w:p>
    <w:p w:rsidR="00D50FE8" w:rsidRDefault="00D50FE8" w:rsidP="00D041AF">
      <w:pPr>
        <w:contextualSpacing/>
        <w:jc w:val="both"/>
        <w:rPr>
          <w:rFonts w:ascii="Arial" w:hAnsi="Arial" w:cs="Arial"/>
          <w:sz w:val="24"/>
          <w:szCs w:val="24"/>
        </w:rPr>
      </w:pPr>
    </w:p>
    <w:p w:rsidR="00CC7D2B" w:rsidRPr="00767C7C" w:rsidRDefault="00CC7D2B" w:rsidP="00CC7D2B">
      <w:pPr>
        <w:pStyle w:val="Prrafodelista"/>
        <w:ind w:left="1080"/>
        <w:contextualSpacing/>
        <w:jc w:val="center"/>
        <w:rPr>
          <w:rFonts w:ascii="Trebuchet MS" w:hAnsi="Trebuchet MS" w:cs="Arial"/>
          <w:b/>
        </w:rPr>
      </w:pPr>
      <w:r>
        <w:rPr>
          <w:rFonts w:ascii="Trebuchet MS" w:hAnsi="Trebuchet MS" w:cs="Arial"/>
          <w:b/>
        </w:rPr>
        <w:t>Estado de Resultados Consolidado</w:t>
      </w:r>
    </w:p>
    <w:p w:rsidR="00CC7D2B" w:rsidRPr="00015A4E" w:rsidRDefault="00CC7D2B" w:rsidP="00CC7D2B">
      <w:pPr>
        <w:pStyle w:val="Prrafodelista"/>
        <w:ind w:left="1080"/>
        <w:contextualSpacing/>
        <w:jc w:val="center"/>
        <w:rPr>
          <w:rFonts w:ascii="Arial" w:hAnsi="Arial" w:cs="Arial"/>
          <w:b/>
        </w:rPr>
      </w:pPr>
      <w:r w:rsidRPr="00015A4E">
        <w:rPr>
          <w:rFonts w:ascii="Arial" w:hAnsi="Arial" w:cs="Arial"/>
          <w:b/>
        </w:rPr>
        <w:t>Fideicomiso 544 FONAFIFO CONSOLIDADO – BNCR</w:t>
      </w:r>
    </w:p>
    <w:p w:rsidR="00CC7D2B" w:rsidRDefault="00CC7D2B" w:rsidP="00CC7D2B">
      <w:pPr>
        <w:pStyle w:val="Prrafodelista"/>
        <w:ind w:left="1080"/>
        <w:contextualSpacing/>
        <w:jc w:val="center"/>
        <w:rPr>
          <w:rFonts w:ascii="Arial" w:hAnsi="Arial" w:cs="Arial"/>
          <w:b/>
        </w:rPr>
      </w:pPr>
      <w:r w:rsidRPr="00015A4E">
        <w:rPr>
          <w:rFonts w:ascii="Arial" w:hAnsi="Arial" w:cs="Arial"/>
          <w:b/>
        </w:rPr>
        <w:t xml:space="preserve">Al </w:t>
      </w:r>
      <w:r w:rsidR="00315DD2">
        <w:rPr>
          <w:rFonts w:ascii="Arial" w:hAnsi="Arial" w:cs="Arial"/>
          <w:b/>
        </w:rPr>
        <w:t>3</w:t>
      </w:r>
      <w:r w:rsidR="001F232E">
        <w:rPr>
          <w:rFonts w:ascii="Arial" w:hAnsi="Arial" w:cs="Arial"/>
          <w:b/>
        </w:rPr>
        <w:t>1</w:t>
      </w:r>
      <w:r w:rsidR="00315DD2">
        <w:rPr>
          <w:rFonts w:ascii="Arial" w:hAnsi="Arial" w:cs="Arial"/>
          <w:b/>
        </w:rPr>
        <w:t xml:space="preserve"> de </w:t>
      </w:r>
      <w:r w:rsidR="001F232E">
        <w:rPr>
          <w:rFonts w:ascii="Arial" w:hAnsi="Arial" w:cs="Arial"/>
          <w:b/>
        </w:rPr>
        <w:t>diciembre</w:t>
      </w:r>
      <w:r w:rsidR="00281F35">
        <w:rPr>
          <w:rFonts w:ascii="Arial" w:hAnsi="Arial" w:cs="Arial"/>
          <w:b/>
        </w:rPr>
        <w:t xml:space="preserve"> </w:t>
      </w:r>
      <w:r w:rsidRPr="00015A4E">
        <w:rPr>
          <w:rFonts w:ascii="Arial" w:hAnsi="Arial" w:cs="Arial"/>
          <w:b/>
        </w:rPr>
        <w:t>del 201</w:t>
      </w:r>
      <w:r w:rsidR="0022629D">
        <w:rPr>
          <w:rFonts w:ascii="Arial" w:hAnsi="Arial" w:cs="Arial"/>
          <w:b/>
        </w:rPr>
        <w:t>7</w:t>
      </w:r>
      <w:r w:rsidRPr="00015A4E">
        <w:rPr>
          <w:rFonts w:ascii="Arial" w:hAnsi="Arial" w:cs="Arial"/>
          <w:b/>
        </w:rPr>
        <w:t xml:space="preserve"> y 201</w:t>
      </w:r>
      <w:r w:rsidR="0022629D">
        <w:rPr>
          <w:rFonts w:ascii="Arial" w:hAnsi="Arial" w:cs="Arial"/>
          <w:b/>
        </w:rPr>
        <w:t>8</w:t>
      </w:r>
    </w:p>
    <w:p w:rsidR="00787E97" w:rsidRPr="00281F35" w:rsidRDefault="00CC7D2B" w:rsidP="00281F35">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10729" w:type="dxa"/>
        <w:tblInd w:w="-356" w:type="dxa"/>
        <w:tblLayout w:type="fixed"/>
        <w:tblCellMar>
          <w:left w:w="70" w:type="dxa"/>
          <w:right w:w="70" w:type="dxa"/>
        </w:tblCellMar>
        <w:tblLook w:val="04A0" w:firstRow="1" w:lastRow="0" w:firstColumn="1" w:lastColumn="0" w:noHBand="0" w:noVBand="1"/>
      </w:tblPr>
      <w:tblGrid>
        <w:gridCol w:w="3350"/>
        <w:gridCol w:w="444"/>
        <w:gridCol w:w="2216"/>
        <w:gridCol w:w="1286"/>
        <w:gridCol w:w="2432"/>
        <w:gridCol w:w="1001"/>
      </w:tblGrid>
      <w:tr w:rsidR="00DE2499" w:rsidRPr="00DE2499" w:rsidTr="00DE2499">
        <w:trPr>
          <w:trHeight w:val="236"/>
        </w:trPr>
        <w:tc>
          <w:tcPr>
            <w:tcW w:w="335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E2499" w:rsidRPr="00DE2499" w:rsidRDefault="00DE2499" w:rsidP="00DE2499">
            <w:pPr>
              <w:jc w:val="cente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Detalle</w:t>
            </w:r>
          </w:p>
        </w:tc>
        <w:tc>
          <w:tcPr>
            <w:tcW w:w="444"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E2499" w:rsidRPr="00DE2499" w:rsidRDefault="00DE2499" w:rsidP="00DE2499">
            <w:pPr>
              <w:jc w:val="cente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Nota</w:t>
            </w:r>
          </w:p>
        </w:tc>
        <w:tc>
          <w:tcPr>
            <w:tcW w:w="2216"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E2499" w:rsidRPr="00DE2499" w:rsidRDefault="00DE2499" w:rsidP="00DE2499">
            <w:pPr>
              <w:jc w:val="cente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Saldos a Diciembre 2017</w:t>
            </w:r>
          </w:p>
        </w:tc>
        <w:tc>
          <w:tcPr>
            <w:tcW w:w="1286"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E2499" w:rsidRPr="00DE2499" w:rsidRDefault="00DE2499" w:rsidP="00DE2499">
            <w:pPr>
              <w:jc w:val="cente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Porcentaje</w:t>
            </w:r>
          </w:p>
        </w:tc>
        <w:tc>
          <w:tcPr>
            <w:tcW w:w="2432" w:type="dxa"/>
            <w:vMerge w:val="restart"/>
            <w:tcBorders>
              <w:top w:val="single" w:sz="8" w:space="0" w:color="auto"/>
              <w:left w:val="nil"/>
              <w:bottom w:val="single" w:sz="8" w:space="0" w:color="000000"/>
              <w:right w:val="single" w:sz="8" w:space="0" w:color="auto"/>
            </w:tcBorders>
            <w:shd w:val="clear" w:color="000000" w:fill="00B050"/>
            <w:vAlign w:val="center"/>
            <w:hideMark/>
          </w:tcPr>
          <w:p w:rsidR="00DE2499" w:rsidRPr="00DE2499" w:rsidRDefault="00DE2499" w:rsidP="00DE2499">
            <w:pPr>
              <w:jc w:val="cente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Saldo a Diciembre 2018</w:t>
            </w:r>
          </w:p>
        </w:tc>
        <w:tc>
          <w:tcPr>
            <w:tcW w:w="1001"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E2499" w:rsidRPr="00DE2499" w:rsidRDefault="00DE2499" w:rsidP="00DE2499">
            <w:pPr>
              <w:jc w:val="cente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Porcentaje</w:t>
            </w:r>
          </w:p>
        </w:tc>
      </w:tr>
      <w:tr w:rsidR="00DE2499" w:rsidRPr="00DE2499" w:rsidTr="00DE2499">
        <w:trPr>
          <w:trHeight w:val="247"/>
        </w:trPr>
        <w:tc>
          <w:tcPr>
            <w:tcW w:w="3350" w:type="dxa"/>
            <w:vMerge/>
            <w:tcBorders>
              <w:top w:val="single" w:sz="8" w:space="0" w:color="auto"/>
              <w:left w:val="single" w:sz="8" w:space="0" w:color="auto"/>
              <w:bottom w:val="single" w:sz="8" w:space="0" w:color="000000"/>
              <w:right w:val="single" w:sz="8" w:space="0" w:color="auto"/>
            </w:tcBorders>
            <w:vAlign w:val="center"/>
            <w:hideMark/>
          </w:tcPr>
          <w:p w:rsidR="00DE2499" w:rsidRPr="00DE2499" w:rsidRDefault="00DE2499" w:rsidP="00DE2499">
            <w:pPr>
              <w:rPr>
                <w:rFonts w:ascii="Arial" w:eastAsia="Times New Roman" w:hAnsi="Arial" w:cs="Arial"/>
                <w:b/>
                <w:bCs/>
                <w:color w:val="000000"/>
                <w:sz w:val="14"/>
                <w:szCs w:val="14"/>
                <w:lang w:val="es-MX" w:eastAsia="es-MX"/>
              </w:rPr>
            </w:pPr>
          </w:p>
        </w:tc>
        <w:tc>
          <w:tcPr>
            <w:tcW w:w="444" w:type="dxa"/>
            <w:vMerge/>
            <w:tcBorders>
              <w:top w:val="single" w:sz="8" w:space="0" w:color="auto"/>
              <w:left w:val="single" w:sz="8" w:space="0" w:color="auto"/>
              <w:bottom w:val="single" w:sz="8" w:space="0" w:color="000000"/>
              <w:right w:val="single" w:sz="8" w:space="0" w:color="auto"/>
            </w:tcBorders>
            <w:vAlign w:val="center"/>
            <w:hideMark/>
          </w:tcPr>
          <w:p w:rsidR="00DE2499" w:rsidRPr="00DE2499" w:rsidRDefault="00DE2499" w:rsidP="00DE2499">
            <w:pPr>
              <w:rPr>
                <w:rFonts w:ascii="Arial" w:eastAsia="Times New Roman" w:hAnsi="Arial" w:cs="Arial"/>
                <w:b/>
                <w:bCs/>
                <w:color w:val="000000"/>
                <w:sz w:val="14"/>
                <w:szCs w:val="14"/>
                <w:lang w:val="es-MX" w:eastAsia="es-MX"/>
              </w:rPr>
            </w:pPr>
          </w:p>
        </w:tc>
        <w:tc>
          <w:tcPr>
            <w:tcW w:w="2216" w:type="dxa"/>
            <w:vMerge/>
            <w:tcBorders>
              <w:top w:val="single" w:sz="8" w:space="0" w:color="auto"/>
              <w:left w:val="single" w:sz="8" w:space="0" w:color="auto"/>
              <w:bottom w:val="single" w:sz="8" w:space="0" w:color="000000"/>
              <w:right w:val="single" w:sz="8" w:space="0" w:color="auto"/>
            </w:tcBorders>
            <w:vAlign w:val="center"/>
            <w:hideMark/>
          </w:tcPr>
          <w:p w:rsidR="00DE2499" w:rsidRPr="00DE2499" w:rsidRDefault="00DE2499" w:rsidP="00DE2499">
            <w:pPr>
              <w:rPr>
                <w:rFonts w:ascii="Arial" w:eastAsia="Times New Roman" w:hAnsi="Arial" w:cs="Arial"/>
                <w:b/>
                <w:bCs/>
                <w:color w:val="000000"/>
                <w:sz w:val="14"/>
                <w:szCs w:val="14"/>
                <w:lang w:val="es-MX" w:eastAsia="es-MX"/>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rsidR="00DE2499" w:rsidRPr="00DE2499" w:rsidRDefault="00DE2499" w:rsidP="00DE2499">
            <w:pPr>
              <w:rPr>
                <w:rFonts w:ascii="Arial" w:eastAsia="Times New Roman" w:hAnsi="Arial" w:cs="Arial"/>
                <w:b/>
                <w:bCs/>
                <w:color w:val="000000"/>
                <w:sz w:val="14"/>
                <w:szCs w:val="14"/>
                <w:lang w:val="es-MX" w:eastAsia="es-MX"/>
              </w:rPr>
            </w:pPr>
          </w:p>
        </w:tc>
        <w:tc>
          <w:tcPr>
            <w:tcW w:w="2432" w:type="dxa"/>
            <w:vMerge/>
            <w:tcBorders>
              <w:top w:val="single" w:sz="8" w:space="0" w:color="auto"/>
              <w:left w:val="nil"/>
              <w:bottom w:val="single" w:sz="8" w:space="0" w:color="000000"/>
              <w:right w:val="single" w:sz="8" w:space="0" w:color="auto"/>
            </w:tcBorders>
            <w:vAlign w:val="center"/>
            <w:hideMark/>
          </w:tcPr>
          <w:p w:rsidR="00DE2499" w:rsidRPr="00DE2499" w:rsidRDefault="00DE2499" w:rsidP="00DE2499">
            <w:pPr>
              <w:rPr>
                <w:rFonts w:ascii="Arial" w:eastAsia="Times New Roman" w:hAnsi="Arial" w:cs="Arial"/>
                <w:b/>
                <w:bCs/>
                <w:color w:val="000000"/>
                <w:sz w:val="14"/>
                <w:szCs w:val="14"/>
                <w:lang w:val="es-MX" w:eastAsia="es-MX"/>
              </w:rPr>
            </w:pPr>
          </w:p>
        </w:tc>
        <w:tc>
          <w:tcPr>
            <w:tcW w:w="1001" w:type="dxa"/>
            <w:vMerge/>
            <w:tcBorders>
              <w:top w:val="single" w:sz="8" w:space="0" w:color="auto"/>
              <w:left w:val="single" w:sz="8" w:space="0" w:color="auto"/>
              <w:bottom w:val="single" w:sz="8" w:space="0" w:color="000000"/>
              <w:right w:val="single" w:sz="8" w:space="0" w:color="auto"/>
            </w:tcBorders>
            <w:vAlign w:val="center"/>
            <w:hideMark/>
          </w:tcPr>
          <w:p w:rsidR="00DE2499" w:rsidRPr="00DE2499" w:rsidRDefault="00DE2499" w:rsidP="00DE2499">
            <w:pPr>
              <w:rPr>
                <w:rFonts w:ascii="Arial" w:eastAsia="Times New Roman" w:hAnsi="Arial" w:cs="Arial"/>
                <w:b/>
                <w:bCs/>
                <w:color w:val="000000"/>
                <w:sz w:val="14"/>
                <w:szCs w:val="14"/>
                <w:lang w:val="es-MX" w:eastAsia="es-MX"/>
              </w:rPr>
            </w:pP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Ingresos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Ingresos Operativos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Productos por cartera de crédito</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24</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174.455.581,16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29%</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156.628.510,53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17%</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Disminución Estimaciones por incobrables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25</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8.451.477,72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136.577.198,29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14%</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Ingresos por Bienes Realizables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26</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7.039.168,34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Ingresos por Afectaciones-PSA</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27</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49.909,29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37.025.342,58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4%</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Ingresos por formalizaciones de Crédito</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28</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375.000,00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Otros Ingresos Operativos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29</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399.487.708,51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67%</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588.850.835,42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62%</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Total Ingresoso operativos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582.819.676,68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98%</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926.121.055,16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98%</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Ingresos Financieros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Ingresos Financieros por Disponibilidades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30</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3.496,32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627,28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Ingreso por diferencial cambiario</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31</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14.405.557,30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17.965.381,46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w:t>
            </w:r>
          </w:p>
        </w:tc>
      </w:tr>
      <w:tr w:rsidR="00DE2499" w:rsidRPr="00DE2499" w:rsidTr="00DE2499">
        <w:trPr>
          <w:trHeight w:val="247"/>
        </w:trPr>
        <w:tc>
          <w:tcPr>
            <w:tcW w:w="3350" w:type="dxa"/>
            <w:tcBorders>
              <w:top w:val="nil"/>
              <w:left w:val="single" w:sz="8" w:space="0" w:color="auto"/>
              <w:bottom w:val="single" w:sz="8" w:space="0" w:color="auto"/>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Total ingresos financieros</w:t>
            </w:r>
          </w:p>
        </w:tc>
        <w:tc>
          <w:tcPr>
            <w:tcW w:w="444" w:type="dxa"/>
            <w:tcBorders>
              <w:top w:val="nil"/>
              <w:left w:val="nil"/>
              <w:bottom w:val="single" w:sz="8" w:space="0" w:color="auto"/>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w:t>
            </w:r>
          </w:p>
        </w:tc>
        <w:tc>
          <w:tcPr>
            <w:tcW w:w="2216" w:type="dxa"/>
            <w:tcBorders>
              <w:top w:val="nil"/>
              <w:left w:val="nil"/>
              <w:bottom w:val="single" w:sz="8" w:space="0" w:color="auto"/>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14.409.053,62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2%</w:t>
            </w:r>
          </w:p>
        </w:tc>
        <w:tc>
          <w:tcPr>
            <w:tcW w:w="2432"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17.966.008,74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2%</w:t>
            </w:r>
          </w:p>
        </w:tc>
      </w:tr>
      <w:tr w:rsidR="00DE2499" w:rsidRPr="00DE2499" w:rsidTr="00DE2499">
        <w:trPr>
          <w:trHeight w:val="247"/>
        </w:trPr>
        <w:tc>
          <w:tcPr>
            <w:tcW w:w="3350" w:type="dxa"/>
            <w:tcBorders>
              <w:top w:val="nil"/>
              <w:left w:val="single" w:sz="8" w:space="0" w:color="auto"/>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Total ingresos</w:t>
            </w:r>
          </w:p>
        </w:tc>
        <w:tc>
          <w:tcPr>
            <w:tcW w:w="444"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w:t>
            </w:r>
          </w:p>
        </w:tc>
        <w:tc>
          <w:tcPr>
            <w:tcW w:w="2216"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597.228.730,30 </w:t>
            </w:r>
          </w:p>
        </w:tc>
        <w:tc>
          <w:tcPr>
            <w:tcW w:w="1286" w:type="dxa"/>
            <w:tcBorders>
              <w:top w:val="single" w:sz="8" w:space="0" w:color="auto"/>
              <w:left w:val="nil"/>
              <w:bottom w:val="single" w:sz="8" w:space="0" w:color="auto"/>
              <w:right w:val="nil"/>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100%</w:t>
            </w:r>
          </w:p>
        </w:tc>
        <w:tc>
          <w:tcPr>
            <w:tcW w:w="2432"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944.087.063,90 </w:t>
            </w:r>
          </w:p>
        </w:tc>
        <w:tc>
          <w:tcPr>
            <w:tcW w:w="100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100%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Egresos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Gastos operativos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por estimación cartera crédito</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32</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166.139.265,74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14%</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87.149.493,47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7%</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por Bienes Realizables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33</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35.496.450,26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65.036.084,96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5%</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Servicios Ambietales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34</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7.303.417,70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Comisión por servicios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35</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122.720.551,56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125.869.211,76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Otros gastos operativos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36</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22.390.187,81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3.721.401,22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Total Gastos Operativos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354.049.873,07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29%</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281.776.191,41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22%</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Gastos Financieros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Diferencial cambiario</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37</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4.086.131,64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3.615.335,13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Total gastos Financieros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4.086.131,64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3.615.335,13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Gastos de Administración</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de personal</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38</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250.366.066,56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21%</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229.733.130,12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18%</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por provisiones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39</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84.434.332,25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7%</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88.555.136,29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7%</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por servicios externos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40</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315.111.647,75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26%</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556.664.031,77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43%</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de movilidad y comunicaciones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41</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29.604.450,57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27.148.495,42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de infraestructura</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42</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67.333.843,29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6%</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63.570.830,50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5%</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generales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43</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99.543.256,05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8%</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45.772.965,94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4%</w:t>
            </w:r>
          </w:p>
        </w:tc>
      </w:tr>
      <w:tr w:rsidR="00DE2499" w:rsidRPr="00DE2499" w:rsidTr="00DE2499">
        <w:trPr>
          <w:trHeight w:val="236"/>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Gastos por cencelación de servicios ambientales</w:t>
            </w:r>
          </w:p>
        </w:tc>
        <w:tc>
          <w:tcPr>
            <w:tcW w:w="444"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44</w:t>
            </w:r>
          </w:p>
        </w:tc>
        <w:tc>
          <w:tcPr>
            <w:tcW w:w="2216" w:type="dxa"/>
            <w:tcBorders>
              <w:top w:val="nil"/>
              <w:left w:val="nil"/>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xml:space="preserve">                      1.840.913,92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0%</w:t>
            </w:r>
          </w:p>
        </w:tc>
      </w:tr>
      <w:tr w:rsidR="00DE2499" w:rsidRPr="00DE2499" w:rsidTr="00DE2499">
        <w:trPr>
          <w:trHeight w:val="247"/>
        </w:trPr>
        <w:tc>
          <w:tcPr>
            <w:tcW w:w="3350"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Total Gastos Administrativos </w:t>
            </w:r>
          </w:p>
        </w:tc>
        <w:tc>
          <w:tcPr>
            <w:tcW w:w="444" w:type="dxa"/>
            <w:tcBorders>
              <w:top w:val="nil"/>
              <w:left w:val="nil"/>
              <w:bottom w:val="single" w:sz="8" w:space="0" w:color="auto"/>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single" w:sz="8" w:space="0" w:color="auto"/>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846.393.596,47 </w:t>
            </w:r>
          </w:p>
        </w:tc>
        <w:tc>
          <w:tcPr>
            <w:tcW w:w="1286" w:type="dxa"/>
            <w:tcBorders>
              <w:top w:val="nil"/>
              <w:left w:val="nil"/>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70%</w:t>
            </w:r>
          </w:p>
        </w:tc>
        <w:tc>
          <w:tcPr>
            <w:tcW w:w="2432"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1.013.285.503,96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78%</w:t>
            </w:r>
          </w:p>
        </w:tc>
      </w:tr>
      <w:tr w:rsidR="00DE2499" w:rsidRPr="00DE2499" w:rsidTr="00DE2499">
        <w:trPr>
          <w:trHeight w:val="247"/>
        </w:trPr>
        <w:tc>
          <w:tcPr>
            <w:tcW w:w="3350" w:type="dxa"/>
            <w:tcBorders>
              <w:top w:val="single" w:sz="8" w:space="0" w:color="auto"/>
              <w:left w:val="single" w:sz="8" w:space="0" w:color="auto"/>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Total  Egresos</w:t>
            </w:r>
          </w:p>
        </w:tc>
        <w:tc>
          <w:tcPr>
            <w:tcW w:w="444"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1.204.529.601,18 </w:t>
            </w:r>
          </w:p>
        </w:tc>
        <w:tc>
          <w:tcPr>
            <w:tcW w:w="1286" w:type="dxa"/>
            <w:tcBorders>
              <w:top w:val="single" w:sz="8" w:space="0" w:color="auto"/>
              <w:left w:val="nil"/>
              <w:bottom w:val="single" w:sz="8" w:space="0" w:color="auto"/>
              <w:right w:val="nil"/>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100%</w:t>
            </w:r>
          </w:p>
        </w:tc>
        <w:tc>
          <w:tcPr>
            <w:tcW w:w="2432"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1.298.677.030,50 </w:t>
            </w:r>
          </w:p>
        </w:tc>
        <w:tc>
          <w:tcPr>
            <w:tcW w:w="100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E2499" w:rsidRPr="00DE2499" w:rsidRDefault="00DE2499" w:rsidP="00DE2499">
            <w:pPr>
              <w:jc w:val="right"/>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100%</w:t>
            </w:r>
          </w:p>
        </w:tc>
      </w:tr>
      <w:tr w:rsidR="00DE2499" w:rsidRPr="00DE2499" w:rsidTr="00DE2499">
        <w:trPr>
          <w:trHeight w:val="236"/>
        </w:trPr>
        <w:tc>
          <w:tcPr>
            <w:tcW w:w="3350" w:type="dxa"/>
            <w:tcBorders>
              <w:top w:val="nil"/>
              <w:left w:val="single" w:sz="8" w:space="0" w:color="auto"/>
              <w:bottom w:val="nil"/>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w:t>
            </w:r>
          </w:p>
        </w:tc>
        <w:tc>
          <w:tcPr>
            <w:tcW w:w="444"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216"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286"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2432" w:type="dxa"/>
            <w:tcBorders>
              <w:top w:val="nil"/>
              <w:left w:val="nil"/>
              <w:bottom w:val="nil"/>
              <w:right w:val="nil"/>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c>
          <w:tcPr>
            <w:tcW w:w="1001" w:type="dxa"/>
            <w:tcBorders>
              <w:top w:val="nil"/>
              <w:left w:val="single" w:sz="8" w:space="0" w:color="auto"/>
              <w:bottom w:val="nil"/>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r>
      <w:tr w:rsidR="00DE2499" w:rsidRPr="00DE2499" w:rsidTr="00DE2499">
        <w:trPr>
          <w:trHeight w:val="247"/>
        </w:trPr>
        <w:tc>
          <w:tcPr>
            <w:tcW w:w="3350" w:type="dxa"/>
            <w:tcBorders>
              <w:top w:val="nil"/>
              <w:left w:val="single" w:sz="8" w:space="0" w:color="auto"/>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Utilidad o (Perdida)</w:t>
            </w:r>
          </w:p>
        </w:tc>
        <w:tc>
          <w:tcPr>
            <w:tcW w:w="444" w:type="dxa"/>
            <w:tcBorders>
              <w:top w:val="nil"/>
              <w:left w:val="nil"/>
              <w:bottom w:val="single" w:sz="8" w:space="0" w:color="auto"/>
              <w:right w:val="nil"/>
            </w:tcBorders>
            <w:shd w:val="clear" w:color="000000" w:fill="FFFFFF"/>
            <w:noWrap/>
            <w:vAlign w:val="bottom"/>
            <w:hideMark/>
          </w:tcPr>
          <w:p w:rsidR="00DE2499" w:rsidRPr="00DE2499" w:rsidRDefault="00DE2499" w:rsidP="00DE2499">
            <w:pPr>
              <w:jc w:val="right"/>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22</w:t>
            </w:r>
          </w:p>
        </w:tc>
        <w:tc>
          <w:tcPr>
            <w:tcW w:w="2216"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607.300.870,88 </w:t>
            </w:r>
          </w:p>
        </w:tc>
        <w:tc>
          <w:tcPr>
            <w:tcW w:w="1286"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   </w:t>
            </w:r>
          </w:p>
        </w:tc>
        <w:tc>
          <w:tcPr>
            <w:tcW w:w="2432" w:type="dxa"/>
            <w:tcBorders>
              <w:top w:val="nil"/>
              <w:left w:val="nil"/>
              <w:bottom w:val="single" w:sz="8" w:space="0" w:color="auto"/>
              <w:right w:val="nil"/>
            </w:tcBorders>
            <w:shd w:val="clear" w:color="000000" w:fill="FFFFFF"/>
            <w:noWrap/>
            <w:vAlign w:val="bottom"/>
            <w:hideMark/>
          </w:tcPr>
          <w:p w:rsidR="00DE2499" w:rsidRPr="00DE2499" w:rsidRDefault="00DE2499" w:rsidP="00DE2499">
            <w:pPr>
              <w:rPr>
                <w:rFonts w:ascii="Arial" w:eastAsia="Times New Roman" w:hAnsi="Arial" w:cs="Arial"/>
                <w:b/>
                <w:bCs/>
                <w:color w:val="000000"/>
                <w:sz w:val="14"/>
                <w:szCs w:val="14"/>
                <w:lang w:val="es-MX" w:eastAsia="es-MX"/>
              </w:rPr>
            </w:pPr>
            <w:r w:rsidRPr="00DE2499">
              <w:rPr>
                <w:rFonts w:ascii="Arial" w:eastAsia="Times New Roman" w:hAnsi="Arial" w:cs="Arial"/>
                <w:b/>
                <w:bCs/>
                <w:color w:val="000000"/>
                <w:sz w:val="14"/>
                <w:szCs w:val="14"/>
                <w:lang w:val="es-MX" w:eastAsia="es-MX"/>
              </w:rPr>
              <w:t xml:space="preserve">-                354.589.966,60 </w:t>
            </w:r>
          </w:p>
        </w:tc>
        <w:tc>
          <w:tcPr>
            <w:tcW w:w="1001" w:type="dxa"/>
            <w:tcBorders>
              <w:top w:val="nil"/>
              <w:left w:val="single" w:sz="8" w:space="0" w:color="auto"/>
              <w:bottom w:val="single" w:sz="8" w:space="0" w:color="auto"/>
              <w:right w:val="single" w:sz="8" w:space="0" w:color="auto"/>
            </w:tcBorders>
            <w:shd w:val="clear" w:color="000000" w:fill="FFFFFF"/>
            <w:noWrap/>
            <w:vAlign w:val="bottom"/>
            <w:hideMark/>
          </w:tcPr>
          <w:p w:rsidR="00DE2499" w:rsidRPr="00DE2499" w:rsidRDefault="00DE2499" w:rsidP="00DE2499">
            <w:pPr>
              <w:rPr>
                <w:rFonts w:ascii="Arial" w:eastAsia="Times New Roman" w:hAnsi="Arial" w:cs="Arial"/>
                <w:color w:val="000000"/>
                <w:sz w:val="14"/>
                <w:szCs w:val="14"/>
                <w:lang w:val="es-MX" w:eastAsia="es-MX"/>
              </w:rPr>
            </w:pPr>
            <w:r w:rsidRPr="00DE2499">
              <w:rPr>
                <w:rFonts w:ascii="Arial" w:eastAsia="Times New Roman" w:hAnsi="Arial" w:cs="Arial"/>
                <w:color w:val="000000"/>
                <w:sz w:val="14"/>
                <w:szCs w:val="14"/>
                <w:lang w:val="es-MX" w:eastAsia="es-MX"/>
              </w:rPr>
              <w:t> </w:t>
            </w:r>
          </w:p>
        </w:tc>
      </w:tr>
    </w:tbl>
    <w:p w:rsidR="00CC6AF9" w:rsidRPr="00767C7C" w:rsidRDefault="00CC6AF9" w:rsidP="00D041AF">
      <w:pPr>
        <w:contextualSpacing/>
        <w:jc w:val="both"/>
        <w:rPr>
          <w:rFonts w:ascii="Arial" w:hAnsi="Arial" w:cs="Arial"/>
          <w:sz w:val="24"/>
          <w:szCs w:val="24"/>
        </w:rPr>
      </w:pPr>
    </w:p>
    <w:p w:rsidR="00CC6AF9" w:rsidRDefault="00CC6AF9" w:rsidP="00D041AF">
      <w:pPr>
        <w:contextualSpacing/>
        <w:jc w:val="both"/>
        <w:rPr>
          <w:rFonts w:ascii="Arial" w:hAnsi="Arial" w:cs="Arial"/>
          <w:sz w:val="24"/>
          <w:szCs w:val="24"/>
        </w:rPr>
      </w:pPr>
    </w:p>
    <w:p w:rsidR="00E175B0" w:rsidRDefault="00E175B0" w:rsidP="00D041AF">
      <w:pPr>
        <w:contextualSpacing/>
        <w:jc w:val="both"/>
        <w:rPr>
          <w:rFonts w:ascii="Arial" w:hAnsi="Arial" w:cs="Arial"/>
          <w:sz w:val="24"/>
          <w:szCs w:val="24"/>
        </w:rPr>
      </w:pPr>
    </w:p>
    <w:p w:rsidR="00113B19" w:rsidRDefault="00113B19" w:rsidP="00D041AF">
      <w:pPr>
        <w:contextualSpacing/>
        <w:jc w:val="both"/>
        <w:rPr>
          <w:rFonts w:ascii="Arial" w:hAnsi="Arial" w:cs="Arial"/>
          <w:sz w:val="24"/>
          <w:szCs w:val="24"/>
        </w:rPr>
      </w:pPr>
    </w:p>
    <w:p w:rsidR="00113B19" w:rsidRDefault="00113B19" w:rsidP="00D041AF">
      <w:pPr>
        <w:contextualSpacing/>
        <w:jc w:val="both"/>
        <w:rPr>
          <w:rFonts w:ascii="Arial" w:hAnsi="Arial" w:cs="Arial"/>
          <w:sz w:val="24"/>
          <w:szCs w:val="24"/>
        </w:rPr>
      </w:pPr>
    </w:p>
    <w:p w:rsidR="00113B19" w:rsidRDefault="00113B19" w:rsidP="00D041AF">
      <w:pPr>
        <w:contextualSpacing/>
        <w:jc w:val="both"/>
        <w:rPr>
          <w:rFonts w:ascii="Arial" w:hAnsi="Arial" w:cs="Arial"/>
          <w:sz w:val="24"/>
          <w:szCs w:val="24"/>
        </w:rPr>
      </w:pPr>
    </w:p>
    <w:p w:rsidR="00F1343B" w:rsidRPr="00767C7C" w:rsidRDefault="00F1343B" w:rsidP="00D041AF">
      <w:pPr>
        <w:contextualSpacing/>
        <w:jc w:val="both"/>
        <w:rPr>
          <w:rFonts w:ascii="Arial" w:hAnsi="Arial" w:cs="Arial"/>
          <w:sz w:val="24"/>
          <w:szCs w:val="24"/>
        </w:rPr>
      </w:pPr>
    </w:p>
    <w:p w:rsidR="00787E97" w:rsidRPr="00FA2DF6" w:rsidRDefault="00787E97" w:rsidP="00787E97">
      <w:pPr>
        <w:contextualSpacing/>
        <w:jc w:val="both"/>
        <w:rPr>
          <w:rFonts w:ascii="Arial" w:hAnsi="Arial" w:cs="Arial"/>
          <w:b/>
          <w:sz w:val="24"/>
          <w:szCs w:val="24"/>
        </w:rPr>
      </w:pPr>
      <w:r w:rsidRPr="00FA2DF6">
        <w:rPr>
          <w:rFonts w:ascii="Arial" w:hAnsi="Arial" w:cs="Arial"/>
          <w:b/>
          <w:sz w:val="24"/>
          <w:szCs w:val="24"/>
        </w:rPr>
        <w:t>Otros comentarios al Estado de Resultados:</w:t>
      </w:r>
    </w:p>
    <w:p w:rsidR="00787E97" w:rsidRPr="008B0DED" w:rsidRDefault="00787E97" w:rsidP="00787E97">
      <w:pPr>
        <w:rPr>
          <w:rFonts w:ascii="Arial" w:hAnsi="Arial" w:cs="Arial"/>
          <w:color w:val="FF0000"/>
          <w:sz w:val="24"/>
          <w:szCs w:val="24"/>
          <w:lang w:val="es-MX" w:eastAsia="es-CR"/>
        </w:rPr>
      </w:pPr>
    </w:p>
    <w:p w:rsidR="00FA2DF6" w:rsidRPr="008B0DED" w:rsidRDefault="00FA2DF6" w:rsidP="008B0DED">
      <w:pPr>
        <w:pStyle w:val="Default"/>
        <w:jc w:val="both"/>
        <w:rPr>
          <w:color w:val="auto"/>
        </w:rPr>
      </w:pPr>
      <w:r w:rsidRPr="008B0DED">
        <w:rPr>
          <w:color w:val="auto"/>
        </w:rPr>
        <w:t xml:space="preserve">Se observa que los ingresos </w:t>
      </w:r>
      <w:r w:rsidR="008B0DED" w:rsidRPr="008B0DED">
        <w:rPr>
          <w:color w:val="auto"/>
        </w:rPr>
        <w:t xml:space="preserve">más representativos </w:t>
      </w:r>
      <w:r w:rsidRPr="008B0DED">
        <w:rPr>
          <w:color w:val="auto"/>
        </w:rPr>
        <w:t xml:space="preserve">del Fideicomiso se concentran en </w:t>
      </w:r>
      <w:r w:rsidR="008B0DED" w:rsidRPr="008B0DED">
        <w:rPr>
          <w:color w:val="auto"/>
        </w:rPr>
        <w:t>otros ingresos operativ</w:t>
      </w:r>
      <w:r w:rsidRPr="008B0DED">
        <w:rPr>
          <w:color w:val="auto"/>
        </w:rPr>
        <w:t>o</w:t>
      </w:r>
      <w:r w:rsidR="008B0DED" w:rsidRPr="008B0DED">
        <w:rPr>
          <w:color w:val="auto"/>
        </w:rPr>
        <w:t>s</w:t>
      </w:r>
      <w:r w:rsidR="008B0DED" w:rsidRPr="008B0DED">
        <w:rPr>
          <w:color w:val="auto"/>
        </w:rPr>
        <w:tab/>
      </w:r>
      <w:r w:rsidRPr="008B0DED">
        <w:rPr>
          <w:color w:val="auto"/>
        </w:rPr>
        <w:t xml:space="preserve">los cuales representan un </w:t>
      </w:r>
      <w:r w:rsidR="008B0DED" w:rsidRPr="008B0DED">
        <w:rPr>
          <w:color w:val="auto"/>
        </w:rPr>
        <w:t>62,37</w:t>
      </w:r>
      <w:r w:rsidRPr="008B0DED">
        <w:rPr>
          <w:color w:val="auto"/>
        </w:rPr>
        <w:t>% de los ingresos totales y</w:t>
      </w:r>
      <w:r w:rsidR="008B0DED" w:rsidRPr="008B0DED">
        <w:rPr>
          <w:color w:val="auto"/>
        </w:rPr>
        <w:t xml:space="preserve"> corresponden a los depósitos efectuados por donaciones, venta de servicios ambientales entre otros</w:t>
      </w:r>
      <w:r w:rsidRPr="008B0DED">
        <w:rPr>
          <w:color w:val="auto"/>
        </w:rPr>
        <w:t>.</w:t>
      </w:r>
    </w:p>
    <w:p w:rsidR="00FA2DF6" w:rsidRPr="00DD1FB2" w:rsidRDefault="00FA2DF6" w:rsidP="00787E97">
      <w:pPr>
        <w:contextualSpacing/>
        <w:jc w:val="both"/>
        <w:rPr>
          <w:rFonts w:ascii="Arial" w:hAnsi="Arial" w:cs="Arial"/>
          <w:sz w:val="24"/>
          <w:szCs w:val="24"/>
        </w:rPr>
      </w:pPr>
      <w:r w:rsidRPr="00DD1FB2">
        <w:rPr>
          <w:rFonts w:ascii="Arial" w:hAnsi="Arial" w:cs="Arial"/>
          <w:sz w:val="24"/>
          <w:szCs w:val="24"/>
        </w:rPr>
        <w:t xml:space="preserve">Con respecto a los gastos, la cuenta de mayor peso relativo con respeto al total de gastos es la de gastos por servicios externos, la cual, al cierre del </w:t>
      </w:r>
      <w:r w:rsidR="00DD1FB2" w:rsidRPr="00DD1FB2">
        <w:rPr>
          <w:rFonts w:ascii="Arial" w:hAnsi="Arial" w:cs="Arial"/>
          <w:sz w:val="24"/>
          <w:szCs w:val="24"/>
        </w:rPr>
        <w:t>año</w:t>
      </w:r>
      <w:r w:rsidRPr="00DD1FB2">
        <w:rPr>
          <w:rFonts w:ascii="Arial" w:hAnsi="Arial" w:cs="Arial"/>
          <w:sz w:val="24"/>
          <w:szCs w:val="24"/>
        </w:rPr>
        <w:t xml:space="preserve"> 2018 representa un </w:t>
      </w:r>
      <w:r w:rsidR="00DD1FB2" w:rsidRPr="00DD1FB2">
        <w:rPr>
          <w:rFonts w:ascii="Arial" w:hAnsi="Arial" w:cs="Arial"/>
          <w:sz w:val="24"/>
          <w:szCs w:val="24"/>
        </w:rPr>
        <w:t>29,99</w:t>
      </w:r>
      <w:r w:rsidRPr="00DD1FB2">
        <w:rPr>
          <w:rFonts w:ascii="Arial" w:hAnsi="Arial" w:cs="Arial"/>
          <w:sz w:val="24"/>
          <w:szCs w:val="24"/>
        </w:rPr>
        <w:t>% del total de gastos.</w:t>
      </w:r>
    </w:p>
    <w:p w:rsidR="00AC1FAC" w:rsidRPr="00634FF4" w:rsidRDefault="00AC1FAC" w:rsidP="00787E97">
      <w:pPr>
        <w:contextualSpacing/>
        <w:jc w:val="both"/>
        <w:rPr>
          <w:rFonts w:ascii="Arial" w:hAnsi="Arial" w:cs="Arial"/>
          <w:color w:val="FF0000"/>
          <w:sz w:val="24"/>
          <w:szCs w:val="24"/>
        </w:rPr>
      </w:pPr>
    </w:p>
    <w:p w:rsidR="00352DEB" w:rsidRPr="00634FF4" w:rsidRDefault="00352DEB" w:rsidP="00787E97">
      <w:pPr>
        <w:contextualSpacing/>
        <w:jc w:val="both"/>
        <w:rPr>
          <w:rFonts w:ascii="Arial" w:hAnsi="Arial" w:cs="Arial"/>
          <w:color w:val="FF0000"/>
          <w:sz w:val="24"/>
          <w:szCs w:val="24"/>
        </w:rPr>
      </w:pPr>
    </w:p>
    <w:p w:rsidR="00787E97" w:rsidRPr="005D1F0A" w:rsidRDefault="00787E97" w:rsidP="00787E97">
      <w:pPr>
        <w:pStyle w:val="Prrafodelista"/>
        <w:numPr>
          <w:ilvl w:val="1"/>
          <w:numId w:val="28"/>
        </w:numPr>
        <w:spacing w:after="0" w:line="240" w:lineRule="auto"/>
        <w:ind w:left="0"/>
        <w:contextualSpacing/>
        <w:jc w:val="both"/>
        <w:rPr>
          <w:rFonts w:ascii="Arial" w:eastAsia="SimSun" w:hAnsi="Arial" w:cs="Arial"/>
          <w:b/>
          <w:sz w:val="24"/>
          <w:szCs w:val="24"/>
          <w:lang w:val="es-ES_tradnl" w:eastAsia="es-ES"/>
        </w:rPr>
      </w:pPr>
      <w:r w:rsidRPr="005D1F0A">
        <w:rPr>
          <w:rFonts w:ascii="Arial" w:eastAsia="SimSun" w:hAnsi="Arial" w:cs="Arial"/>
          <w:b/>
          <w:sz w:val="24"/>
          <w:szCs w:val="24"/>
          <w:lang w:eastAsia="es-ES"/>
        </w:rPr>
        <w:t>Razones Financieras</w:t>
      </w:r>
    </w:p>
    <w:p w:rsidR="00787E97" w:rsidRPr="00634FF4" w:rsidRDefault="00787E97" w:rsidP="00787E97">
      <w:pPr>
        <w:pStyle w:val="Prrafodelista"/>
        <w:spacing w:after="0" w:line="240" w:lineRule="auto"/>
        <w:ind w:left="1080"/>
        <w:jc w:val="both"/>
        <w:rPr>
          <w:rFonts w:ascii="Arial" w:eastAsia="SimSun" w:hAnsi="Arial" w:cs="Arial"/>
          <w:b/>
          <w:color w:val="FF0000"/>
          <w:sz w:val="24"/>
          <w:szCs w:val="24"/>
          <w:lang w:val="es-ES_tradnl" w:eastAsia="es-ES"/>
        </w:rPr>
      </w:pPr>
    </w:p>
    <w:p w:rsidR="00787E97" w:rsidRPr="000544F0" w:rsidRDefault="00787E97" w:rsidP="00787E97">
      <w:pPr>
        <w:numPr>
          <w:ilvl w:val="0"/>
          <w:numId w:val="27"/>
        </w:numPr>
        <w:ind w:left="0"/>
        <w:contextualSpacing/>
        <w:jc w:val="both"/>
        <w:rPr>
          <w:rFonts w:ascii="Arial" w:hAnsi="Arial" w:cs="Arial"/>
          <w:b/>
          <w:sz w:val="24"/>
          <w:szCs w:val="24"/>
        </w:rPr>
      </w:pPr>
      <w:r w:rsidRPr="000544F0">
        <w:rPr>
          <w:rFonts w:ascii="Arial" w:hAnsi="Arial" w:cs="Arial"/>
          <w:b/>
          <w:sz w:val="24"/>
          <w:szCs w:val="24"/>
        </w:rPr>
        <w:t>Razón Circulante:</w:t>
      </w:r>
      <w:r w:rsidRPr="000544F0">
        <w:rPr>
          <w:rFonts w:ascii="Arial" w:hAnsi="Arial" w:cs="Arial"/>
          <w:sz w:val="24"/>
          <w:szCs w:val="24"/>
        </w:rPr>
        <w:t xml:space="preserve"> la razón circulante del</w:t>
      </w:r>
      <w:r w:rsidR="00E70CCE" w:rsidRPr="000544F0">
        <w:rPr>
          <w:rFonts w:ascii="Arial" w:hAnsi="Arial" w:cs="Arial"/>
          <w:sz w:val="24"/>
          <w:szCs w:val="24"/>
        </w:rPr>
        <w:t xml:space="preserve"> Fideicomiso</w:t>
      </w:r>
      <w:r w:rsidRPr="000544F0">
        <w:rPr>
          <w:rFonts w:ascii="Arial" w:hAnsi="Arial" w:cs="Arial"/>
          <w:sz w:val="24"/>
          <w:szCs w:val="24"/>
        </w:rPr>
        <w:t xml:space="preserve"> para el</w:t>
      </w:r>
      <w:r w:rsidR="00352DEB" w:rsidRPr="000544F0">
        <w:rPr>
          <w:rFonts w:ascii="Arial" w:hAnsi="Arial" w:cs="Arial"/>
          <w:sz w:val="24"/>
          <w:szCs w:val="24"/>
        </w:rPr>
        <w:t xml:space="preserve"> </w:t>
      </w:r>
      <w:r w:rsidR="000A7686" w:rsidRPr="000544F0">
        <w:rPr>
          <w:rFonts w:ascii="Arial" w:hAnsi="Arial" w:cs="Arial"/>
          <w:sz w:val="24"/>
          <w:szCs w:val="24"/>
        </w:rPr>
        <w:t>primer</w:t>
      </w:r>
      <w:r w:rsidR="00352DEB" w:rsidRPr="000544F0">
        <w:rPr>
          <w:rFonts w:ascii="Arial" w:hAnsi="Arial" w:cs="Arial"/>
          <w:sz w:val="24"/>
          <w:szCs w:val="24"/>
        </w:rPr>
        <w:t xml:space="preserve"> semestre del</w:t>
      </w:r>
      <w:r w:rsidRPr="000544F0">
        <w:rPr>
          <w:rFonts w:ascii="Arial" w:hAnsi="Arial" w:cs="Arial"/>
          <w:sz w:val="24"/>
          <w:szCs w:val="24"/>
        </w:rPr>
        <w:t xml:space="preserve"> añ</w:t>
      </w:r>
      <w:r w:rsidR="00E70CCE" w:rsidRPr="000544F0">
        <w:rPr>
          <w:rFonts w:ascii="Arial" w:hAnsi="Arial" w:cs="Arial"/>
          <w:sz w:val="24"/>
          <w:szCs w:val="24"/>
        </w:rPr>
        <w:t xml:space="preserve">o </w:t>
      </w:r>
      <w:r w:rsidR="00352DEB" w:rsidRPr="000544F0">
        <w:rPr>
          <w:rFonts w:ascii="Arial" w:hAnsi="Arial" w:cs="Arial"/>
          <w:sz w:val="24"/>
          <w:szCs w:val="24"/>
        </w:rPr>
        <w:t xml:space="preserve">refleja un resultado </w:t>
      </w:r>
      <w:r w:rsidR="004A0154" w:rsidRPr="000544F0">
        <w:rPr>
          <w:rFonts w:ascii="Arial" w:hAnsi="Arial" w:cs="Arial"/>
          <w:sz w:val="24"/>
          <w:szCs w:val="24"/>
        </w:rPr>
        <w:t xml:space="preserve">de </w:t>
      </w:r>
      <w:r w:rsidR="00AF2742" w:rsidRPr="000544F0">
        <w:rPr>
          <w:rFonts w:ascii="Arial" w:hAnsi="Arial" w:cs="Arial"/>
          <w:sz w:val="24"/>
          <w:szCs w:val="24"/>
        </w:rPr>
        <w:t>¢</w:t>
      </w:r>
      <w:r w:rsidR="000544F0" w:rsidRPr="000544F0">
        <w:rPr>
          <w:rFonts w:ascii="Arial" w:hAnsi="Arial" w:cs="Arial"/>
          <w:sz w:val="24"/>
          <w:szCs w:val="24"/>
        </w:rPr>
        <w:t>112,07</w:t>
      </w:r>
      <w:r w:rsidRPr="000544F0">
        <w:rPr>
          <w:rFonts w:ascii="Arial" w:hAnsi="Arial" w:cs="Arial"/>
          <w:sz w:val="24"/>
          <w:szCs w:val="24"/>
        </w:rPr>
        <w:t xml:space="preserve"> lo que representa la cantidad de veces que los activos corrientes alcanzarían para pagar los pasivos a corto plazo.</w:t>
      </w:r>
      <w:r w:rsidR="003A1733" w:rsidRPr="000544F0">
        <w:rPr>
          <w:rFonts w:ascii="Arial" w:hAnsi="Arial" w:cs="Arial"/>
          <w:sz w:val="24"/>
          <w:szCs w:val="24"/>
        </w:rPr>
        <w:t xml:space="preserve"> Lo anterior es originado por que el Fideicomiso no mantiene deudas significativas.</w:t>
      </w:r>
    </w:p>
    <w:p w:rsidR="00787E97" w:rsidRPr="00634FF4" w:rsidRDefault="00787E97" w:rsidP="00787E97">
      <w:pPr>
        <w:contextualSpacing/>
        <w:jc w:val="both"/>
        <w:rPr>
          <w:rFonts w:ascii="Arial" w:hAnsi="Arial" w:cs="Arial"/>
          <w:b/>
          <w:color w:val="FF0000"/>
          <w:sz w:val="24"/>
          <w:szCs w:val="24"/>
        </w:rPr>
      </w:pPr>
    </w:p>
    <w:p w:rsidR="00787E97" w:rsidRPr="005D1F0A" w:rsidRDefault="00787E97" w:rsidP="00787E97">
      <w:pPr>
        <w:numPr>
          <w:ilvl w:val="0"/>
          <w:numId w:val="27"/>
        </w:numPr>
        <w:ind w:left="0"/>
        <w:contextualSpacing/>
        <w:jc w:val="both"/>
        <w:rPr>
          <w:rFonts w:ascii="Arial" w:hAnsi="Arial" w:cs="Arial"/>
          <w:sz w:val="24"/>
          <w:szCs w:val="24"/>
        </w:rPr>
      </w:pPr>
      <w:r w:rsidRPr="005D1F0A">
        <w:rPr>
          <w:rFonts w:ascii="Arial" w:hAnsi="Arial" w:cs="Arial"/>
          <w:b/>
          <w:sz w:val="24"/>
          <w:szCs w:val="24"/>
        </w:rPr>
        <w:t>Razón de Endeudamiento:</w:t>
      </w:r>
      <w:r w:rsidRPr="005D1F0A">
        <w:rPr>
          <w:rFonts w:ascii="Arial" w:hAnsi="Arial" w:cs="Arial"/>
          <w:sz w:val="24"/>
          <w:szCs w:val="24"/>
        </w:rPr>
        <w:t xml:space="preserve"> la razón de deuda del </w:t>
      </w:r>
      <w:r w:rsidR="00C25ADE" w:rsidRPr="005D1F0A">
        <w:rPr>
          <w:rFonts w:ascii="Arial" w:hAnsi="Arial" w:cs="Arial"/>
          <w:sz w:val="24"/>
          <w:szCs w:val="24"/>
        </w:rPr>
        <w:t>Fideicom</w:t>
      </w:r>
      <w:r w:rsidR="004A0154" w:rsidRPr="005D1F0A">
        <w:rPr>
          <w:rFonts w:ascii="Arial" w:hAnsi="Arial" w:cs="Arial"/>
          <w:sz w:val="24"/>
          <w:szCs w:val="24"/>
        </w:rPr>
        <w:t xml:space="preserve">iso es de un </w:t>
      </w:r>
      <w:r w:rsidR="005D1F0A" w:rsidRPr="005D1F0A">
        <w:rPr>
          <w:rFonts w:ascii="Arial" w:hAnsi="Arial" w:cs="Arial"/>
          <w:sz w:val="24"/>
          <w:szCs w:val="24"/>
        </w:rPr>
        <w:t>0,34</w:t>
      </w:r>
      <w:r w:rsidRPr="005D1F0A">
        <w:rPr>
          <w:rFonts w:ascii="Arial" w:hAnsi="Arial" w:cs="Arial"/>
          <w:sz w:val="24"/>
          <w:szCs w:val="24"/>
        </w:rPr>
        <w:t xml:space="preserve">%, lo </w:t>
      </w:r>
      <w:r w:rsidR="003A1733" w:rsidRPr="005D1F0A">
        <w:rPr>
          <w:rFonts w:ascii="Arial" w:hAnsi="Arial" w:cs="Arial"/>
          <w:sz w:val="24"/>
          <w:szCs w:val="24"/>
        </w:rPr>
        <w:t>cual no representa un riesgo significativo</w:t>
      </w:r>
      <w:r w:rsidR="00202DE9" w:rsidRPr="005D1F0A">
        <w:rPr>
          <w:rFonts w:ascii="Arial" w:hAnsi="Arial" w:cs="Arial"/>
          <w:sz w:val="24"/>
          <w:szCs w:val="24"/>
        </w:rPr>
        <w:t xml:space="preserve"> al contar con deudas</w:t>
      </w:r>
      <w:r w:rsidR="005D1F0A">
        <w:rPr>
          <w:rFonts w:ascii="Arial" w:hAnsi="Arial" w:cs="Arial"/>
          <w:sz w:val="24"/>
          <w:szCs w:val="24"/>
        </w:rPr>
        <w:t xml:space="preserve"> relativamente pequeñas para el Fideicomiso</w:t>
      </w:r>
      <w:r w:rsidR="00202DE9" w:rsidRPr="005D1F0A">
        <w:rPr>
          <w:rFonts w:ascii="Arial" w:hAnsi="Arial" w:cs="Arial"/>
          <w:sz w:val="24"/>
          <w:szCs w:val="24"/>
        </w:rPr>
        <w:t>.</w:t>
      </w:r>
    </w:p>
    <w:p w:rsidR="00787E97" w:rsidRPr="00634FF4" w:rsidRDefault="00787E97" w:rsidP="00D041AF">
      <w:pPr>
        <w:contextualSpacing/>
        <w:jc w:val="both"/>
        <w:rPr>
          <w:rFonts w:ascii="Arial" w:hAnsi="Arial" w:cs="Arial"/>
          <w:color w:val="FF0000"/>
          <w:sz w:val="24"/>
          <w:szCs w:val="24"/>
        </w:rPr>
      </w:pPr>
    </w:p>
    <w:p w:rsidR="00C91A29" w:rsidRPr="00634FF4" w:rsidRDefault="00C91A29" w:rsidP="00D041AF">
      <w:pPr>
        <w:contextualSpacing/>
        <w:jc w:val="both"/>
        <w:rPr>
          <w:rFonts w:ascii="Arial" w:hAnsi="Arial" w:cs="Arial"/>
          <w:color w:val="FF0000"/>
          <w:sz w:val="24"/>
          <w:szCs w:val="24"/>
        </w:rPr>
      </w:pPr>
    </w:p>
    <w:p w:rsidR="00BD44CA" w:rsidRPr="00634FF4" w:rsidRDefault="00BD44CA" w:rsidP="00D041AF">
      <w:pPr>
        <w:contextualSpacing/>
        <w:jc w:val="both"/>
        <w:rPr>
          <w:rFonts w:ascii="Arial" w:hAnsi="Arial" w:cs="Arial"/>
          <w:color w:val="FF0000"/>
          <w:sz w:val="24"/>
          <w:szCs w:val="24"/>
        </w:rPr>
      </w:pPr>
    </w:p>
    <w:p w:rsidR="004137F9" w:rsidRPr="000B60F0" w:rsidRDefault="004137F9" w:rsidP="009B4919">
      <w:pPr>
        <w:pStyle w:val="Ttulo1"/>
        <w:numPr>
          <w:ilvl w:val="0"/>
          <w:numId w:val="42"/>
        </w:numPr>
        <w:rPr>
          <w:rFonts w:ascii="Arial" w:hAnsi="Arial" w:cs="Arial"/>
          <w:b/>
        </w:rPr>
      </w:pPr>
      <w:bookmarkStart w:id="14" w:name="_Toc520729583"/>
      <w:r w:rsidRPr="000B60F0">
        <w:rPr>
          <w:rFonts w:ascii="Arial" w:hAnsi="Arial" w:cs="Arial"/>
          <w:b/>
        </w:rPr>
        <w:t>Medidas Correctivas y Acciones de Mejora</w:t>
      </w:r>
      <w:bookmarkEnd w:id="14"/>
    </w:p>
    <w:p w:rsidR="007D4247" w:rsidRDefault="007D4247" w:rsidP="00C639C2">
      <w:pPr>
        <w:contextualSpacing/>
        <w:jc w:val="both"/>
        <w:rPr>
          <w:rFonts w:ascii="Arial" w:hAnsi="Arial" w:cs="Arial"/>
          <w:color w:val="FF0000"/>
          <w:sz w:val="22"/>
          <w:szCs w:val="22"/>
        </w:rPr>
      </w:pPr>
    </w:p>
    <w:p w:rsidR="000B60F0" w:rsidRPr="000B60F0" w:rsidRDefault="000B60F0" w:rsidP="000B60F0">
      <w:pPr>
        <w:contextualSpacing/>
        <w:jc w:val="both"/>
        <w:rPr>
          <w:rFonts w:ascii="Arial" w:hAnsi="Arial" w:cs="Arial"/>
          <w:sz w:val="24"/>
          <w:szCs w:val="24"/>
        </w:rPr>
      </w:pPr>
      <w:r w:rsidRPr="000B60F0">
        <w:rPr>
          <w:rFonts w:ascii="Arial" w:hAnsi="Arial" w:cs="Arial"/>
          <w:sz w:val="24"/>
          <w:szCs w:val="24"/>
        </w:rPr>
        <w:t>Dados los resultados obtenidos, la institución ha ajustado las metas de sus indicadores, contextualizada en las condiciones dadas y con el presupuesto disponible para el año 2019.</w:t>
      </w:r>
    </w:p>
    <w:p w:rsidR="004137F9" w:rsidRPr="000B60F0" w:rsidRDefault="000B60F0" w:rsidP="00113B19">
      <w:pPr>
        <w:contextualSpacing/>
        <w:jc w:val="both"/>
        <w:rPr>
          <w:rFonts w:ascii="Arial" w:hAnsi="Arial" w:cs="Arial"/>
          <w:sz w:val="24"/>
          <w:szCs w:val="24"/>
        </w:rPr>
      </w:pPr>
      <w:r w:rsidRPr="000B60F0">
        <w:rPr>
          <w:rFonts w:ascii="Arial" w:hAnsi="Arial" w:cs="Arial"/>
          <w:sz w:val="24"/>
          <w:szCs w:val="24"/>
        </w:rPr>
        <w:t>Siendo que l</w:t>
      </w:r>
      <w:r w:rsidR="00C639C2" w:rsidRPr="000B60F0">
        <w:rPr>
          <w:rFonts w:ascii="Arial" w:hAnsi="Arial" w:cs="Arial"/>
          <w:sz w:val="24"/>
          <w:szCs w:val="24"/>
        </w:rPr>
        <w:t xml:space="preserve">a ejecución presupuestaria de egresos </w:t>
      </w:r>
      <w:r w:rsidR="00113B19" w:rsidRPr="000B60F0">
        <w:rPr>
          <w:rFonts w:ascii="Arial" w:hAnsi="Arial" w:cs="Arial"/>
          <w:sz w:val="24"/>
          <w:szCs w:val="24"/>
        </w:rPr>
        <w:t xml:space="preserve">del Fideicomiso se </w:t>
      </w:r>
      <w:r w:rsidRPr="000B60F0">
        <w:rPr>
          <w:rFonts w:ascii="Arial" w:hAnsi="Arial" w:cs="Arial"/>
          <w:sz w:val="24"/>
          <w:szCs w:val="24"/>
        </w:rPr>
        <w:t>ve especialmente afectada</w:t>
      </w:r>
      <w:r w:rsidR="00113B19" w:rsidRPr="000B60F0">
        <w:rPr>
          <w:rFonts w:ascii="Arial" w:hAnsi="Arial" w:cs="Arial"/>
          <w:sz w:val="24"/>
          <w:szCs w:val="24"/>
        </w:rPr>
        <w:t xml:space="preserve"> por la ejecución del Fideicomiso 544-16 en el que se maneja el proyecto REDD+, </w:t>
      </w:r>
      <w:r w:rsidRPr="000B60F0">
        <w:rPr>
          <w:rFonts w:ascii="Arial" w:hAnsi="Arial" w:cs="Arial"/>
          <w:sz w:val="24"/>
          <w:szCs w:val="24"/>
        </w:rPr>
        <w:t>desde inicios del año 2019 se están realizando los ajustes necesarios para garantizar una adecuada ejecución.</w:t>
      </w:r>
    </w:p>
    <w:sectPr w:rsidR="004137F9" w:rsidRPr="000B60F0" w:rsidSect="004D1561">
      <w:headerReference w:type="default" r:id="rId12"/>
      <w:footerReference w:type="default" r:id="rId13"/>
      <w:headerReference w:type="first" r:id="rId14"/>
      <w:footerReference w:type="first" r:id="rId15"/>
      <w:pgSz w:w="12242" w:h="15842" w:code="1"/>
      <w:pgMar w:top="1134" w:right="1440" w:bottom="141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A62" w:rsidRDefault="00AF6A62">
      <w:r>
        <w:separator/>
      </w:r>
    </w:p>
  </w:endnote>
  <w:endnote w:type="continuationSeparator" w:id="0">
    <w:p w:rsidR="00AF6A62" w:rsidRDefault="00AF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ligraphe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524070"/>
      <w:docPartObj>
        <w:docPartGallery w:val="Page Numbers (Bottom of Page)"/>
        <w:docPartUnique/>
      </w:docPartObj>
    </w:sdtPr>
    <w:sdtContent>
      <w:p w:rsidR="00AF6A62" w:rsidRDefault="00AF6A62">
        <w:pPr>
          <w:pStyle w:val="Piedepgina"/>
        </w:pPr>
        <w:r>
          <w:fldChar w:fldCharType="begin"/>
        </w:r>
        <w:r>
          <w:instrText>PAGE   \* MERGEFORMAT</w:instrText>
        </w:r>
        <w:r>
          <w:fldChar w:fldCharType="separate"/>
        </w:r>
        <w:r w:rsidR="00C67A3E">
          <w:rPr>
            <w:noProof/>
          </w:rPr>
          <w:t>27</w:t>
        </w:r>
        <w:r>
          <w:rPr>
            <w:noProof/>
          </w:rPr>
          <w:fldChar w:fldCharType="end"/>
        </w:r>
      </w:p>
    </w:sdtContent>
  </w:sdt>
  <w:p w:rsidR="00AF6A62" w:rsidRDefault="00AF6A6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720495"/>
      <w:docPartObj>
        <w:docPartGallery w:val="Page Numbers (Top of Page)"/>
        <w:docPartUnique/>
      </w:docPartObj>
    </w:sdtPr>
    <w:sdtContent>
      <w:p w:rsidR="00AF6A62" w:rsidRDefault="00AF6A62" w:rsidP="006C2303">
        <w:pPr>
          <w:pStyle w:val="Piedepgina"/>
          <w:jc w:val="center"/>
          <w:rPr>
            <w:sz w:val="20"/>
            <w:lang w:val="es-CR"/>
          </w:rPr>
        </w:pPr>
        <w:r>
          <w:t xml:space="preserve">Página </w:t>
        </w:r>
        <w:r>
          <w:rPr>
            <w:b/>
            <w:bCs/>
            <w:szCs w:val="24"/>
          </w:rPr>
          <w:fldChar w:fldCharType="begin"/>
        </w:r>
        <w:r>
          <w:rPr>
            <w:b/>
            <w:bCs/>
          </w:rPr>
          <w:instrText>PAGE</w:instrText>
        </w:r>
        <w:r>
          <w:rPr>
            <w:b/>
            <w:bCs/>
            <w:szCs w:val="24"/>
          </w:rPr>
          <w:fldChar w:fldCharType="separate"/>
        </w:r>
        <w:r w:rsidR="00C67A3E">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67A3E">
          <w:rPr>
            <w:b/>
            <w:bCs/>
            <w:noProof/>
          </w:rPr>
          <w:t>29</w:t>
        </w:r>
        <w:r>
          <w:rPr>
            <w:b/>
            <w:bCs/>
            <w:szCs w:val="24"/>
          </w:rPr>
          <w:fldChar w:fldCharType="end"/>
        </w:r>
      </w:p>
    </w:sdtContent>
  </w:sdt>
  <w:p w:rsidR="00AF6A62" w:rsidRDefault="00AF6A62" w:rsidP="00C539A9">
    <w:pPr>
      <w:pStyle w:val="Piedepgina"/>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A62" w:rsidRDefault="00AF6A62">
      <w:r>
        <w:separator/>
      </w:r>
    </w:p>
  </w:footnote>
  <w:footnote w:type="continuationSeparator" w:id="0">
    <w:p w:rsidR="00AF6A62" w:rsidRDefault="00AF6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62" w:rsidRDefault="00AF6A62" w:rsidP="00AC1FAC">
    <w:pPr>
      <w:jc w:val="center"/>
      <w:rPr>
        <w:rFonts w:ascii="Arial" w:hAnsi="Arial" w:cs="Arial"/>
        <w:b/>
      </w:rPr>
    </w:pPr>
    <w:r>
      <w:rPr>
        <w:rFonts w:ascii="Arial" w:hAnsi="Arial" w:cs="Arial"/>
        <w:b/>
        <w:noProof/>
        <w:lang w:val="es-MX" w:eastAsia="es-MX"/>
      </w:rPr>
      <w:drawing>
        <wp:anchor distT="0" distB="0" distL="114300" distR="114300" simplePos="0" relativeHeight="251661312" behindDoc="0" locked="0" layoutInCell="1" allowOverlap="1">
          <wp:simplePos x="0" y="0"/>
          <wp:positionH relativeFrom="page">
            <wp:posOffset>19050</wp:posOffset>
          </wp:positionH>
          <wp:positionV relativeFrom="paragraph">
            <wp:posOffset>-307340</wp:posOffset>
          </wp:positionV>
          <wp:extent cx="7810500" cy="419100"/>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810500" cy="419100"/>
                  </a:xfrm>
                  <a:prstGeom prst="rect">
                    <a:avLst/>
                  </a:prstGeom>
                </pic:spPr>
              </pic:pic>
            </a:graphicData>
          </a:graphic>
        </wp:anchor>
      </w:drawing>
    </w:r>
  </w:p>
  <w:p w:rsidR="00AF6A62" w:rsidRPr="00AC1FAC" w:rsidRDefault="00AF6A62" w:rsidP="00AC1FAC">
    <w:pPr>
      <w:jc w:val="center"/>
      <w:rPr>
        <w:rFonts w:ascii="Arial" w:hAnsi="Arial" w:cs="Arial"/>
        <w:b/>
      </w:rPr>
    </w:pPr>
    <w:r w:rsidRPr="00AC1FAC">
      <w:rPr>
        <w:rFonts w:ascii="Arial" w:hAnsi="Arial" w:cs="Arial"/>
        <w:b/>
      </w:rPr>
      <w:t>Fideicomiso 544 FONAFIFO/BNCR</w:t>
    </w:r>
  </w:p>
  <w:p w:rsidR="00AF6A62" w:rsidRDefault="00AF6A62" w:rsidP="005316B7">
    <w:pPr>
      <w:jc w:val="center"/>
      <w:rPr>
        <w:rFonts w:ascii="Arial" w:hAnsi="Arial" w:cs="Arial"/>
        <w:b/>
      </w:rPr>
    </w:pPr>
    <w:r w:rsidRPr="00335D4D">
      <w:rPr>
        <w:rFonts w:ascii="Arial" w:hAnsi="Arial" w:cs="Arial"/>
        <w:b/>
      </w:rPr>
      <w:t xml:space="preserve">Informe </w:t>
    </w:r>
    <w:r>
      <w:rPr>
        <w:rFonts w:ascii="Arial" w:hAnsi="Arial" w:cs="Arial"/>
        <w:b/>
      </w:rPr>
      <w:t xml:space="preserve">de </w:t>
    </w:r>
    <w:r w:rsidRPr="00335D4D">
      <w:rPr>
        <w:rFonts w:ascii="Arial" w:hAnsi="Arial" w:cs="Arial"/>
        <w:b/>
      </w:rPr>
      <w:t>Evaluación Presupuestaria</w:t>
    </w:r>
  </w:p>
  <w:p w:rsidR="00AF6A62" w:rsidRDefault="00AF6A62" w:rsidP="005246F8">
    <w:pPr>
      <w:jc w:val="center"/>
    </w:pPr>
    <w:r w:rsidRPr="00335D4D">
      <w:rPr>
        <w:rFonts w:ascii="Arial" w:hAnsi="Arial" w:cs="Arial"/>
        <w:b/>
      </w:rPr>
      <w:t xml:space="preserve"> </w:t>
    </w:r>
    <w:r>
      <w:rPr>
        <w:rFonts w:ascii="Arial" w:hAnsi="Arial" w:cs="Arial"/>
        <w:b/>
      </w:rPr>
      <w:t>II Semestre 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62" w:rsidRDefault="00AF6A62" w:rsidP="006C2303">
    <w:pPr>
      <w:pStyle w:val="Encabezado"/>
    </w:pPr>
    <w:r w:rsidRPr="007011BD">
      <w:rPr>
        <w:noProof/>
        <w:lang w:val="es-MX" w:eastAsia="es-MX"/>
      </w:rPr>
      <w:drawing>
        <wp:anchor distT="0" distB="0" distL="114300" distR="114300" simplePos="0" relativeHeight="251659264" behindDoc="0" locked="0" layoutInCell="1" allowOverlap="1">
          <wp:simplePos x="0" y="0"/>
          <wp:positionH relativeFrom="column">
            <wp:posOffset>-696578</wp:posOffset>
          </wp:positionH>
          <wp:positionV relativeFrom="paragraph">
            <wp:posOffset>-453991</wp:posOffset>
          </wp:positionV>
          <wp:extent cx="7741920" cy="485775"/>
          <wp:effectExtent l="1905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41920" cy="485775"/>
                  </a:xfrm>
                  <a:prstGeom prst="rect">
                    <a:avLst/>
                  </a:prstGeom>
                </pic:spPr>
              </pic:pic>
            </a:graphicData>
          </a:graphic>
        </wp:anchor>
      </w:drawing>
    </w:r>
  </w:p>
  <w:p w:rsidR="00AF6A62" w:rsidRDefault="00AF6A62" w:rsidP="006C2303">
    <w:pPr>
      <w:jc w:val="center"/>
      <w:rPr>
        <w:rFonts w:ascii="Arial" w:hAnsi="Arial" w:cs="Arial"/>
        <w:b/>
      </w:rPr>
    </w:pPr>
    <w:r>
      <w:rPr>
        <w:rFonts w:ascii="Arial" w:hAnsi="Arial" w:cs="Arial"/>
        <w:b/>
      </w:rPr>
      <w:t>Fideicomiso 544 FONAFIFO/BNCR</w:t>
    </w:r>
  </w:p>
  <w:p w:rsidR="00AF6A62" w:rsidRDefault="00AF6A62" w:rsidP="006C2303">
    <w:pPr>
      <w:jc w:val="center"/>
      <w:rPr>
        <w:rFonts w:ascii="Arial" w:hAnsi="Arial" w:cs="Arial"/>
        <w:b/>
      </w:rPr>
    </w:pPr>
    <w:r w:rsidRPr="00335D4D">
      <w:rPr>
        <w:rFonts w:ascii="Arial" w:hAnsi="Arial" w:cs="Arial"/>
        <w:b/>
      </w:rPr>
      <w:t xml:space="preserve">Informe </w:t>
    </w:r>
    <w:r>
      <w:rPr>
        <w:rFonts w:ascii="Arial" w:hAnsi="Arial" w:cs="Arial"/>
        <w:b/>
      </w:rPr>
      <w:t xml:space="preserve">de </w:t>
    </w:r>
    <w:r w:rsidRPr="00335D4D">
      <w:rPr>
        <w:rFonts w:ascii="Arial" w:hAnsi="Arial" w:cs="Arial"/>
        <w:b/>
      </w:rPr>
      <w:t xml:space="preserve">Evaluación Presupuestaria </w:t>
    </w:r>
    <w:r>
      <w:rPr>
        <w:rFonts w:ascii="Arial" w:hAnsi="Arial" w:cs="Arial"/>
        <w:b/>
      </w:rPr>
      <w:t>II Semestre 2015</w:t>
    </w:r>
  </w:p>
  <w:p w:rsidR="00AF6A62" w:rsidRPr="00AE0F9F" w:rsidRDefault="00AF6A62" w:rsidP="005C1AE7">
    <w:pPr>
      <w:pStyle w:val="Encabezado"/>
      <w:tabs>
        <w:tab w:val="clear" w:pos="4419"/>
        <w:tab w:val="clear" w:pos="8838"/>
        <w:tab w:val="left" w:pos="3386"/>
      </w:tabs>
      <w:jc w:val="left"/>
      <w:rPr>
        <w:lang w:val="es-C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540"/>
    <w:multiLevelType w:val="hybridMultilevel"/>
    <w:tmpl w:val="19AE71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185A55"/>
    <w:multiLevelType w:val="hybridMultilevel"/>
    <w:tmpl w:val="948646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F1077E"/>
    <w:multiLevelType w:val="hybridMultilevel"/>
    <w:tmpl w:val="28F498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A573DB"/>
    <w:multiLevelType w:val="hybridMultilevel"/>
    <w:tmpl w:val="B04033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470EE1"/>
    <w:multiLevelType w:val="hybridMultilevel"/>
    <w:tmpl w:val="8A14CA7C"/>
    <w:lvl w:ilvl="0" w:tplc="EBA250D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11CA28B3"/>
    <w:multiLevelType w:val="hybridMultilevel"/>
    <w:tmpl w:val="1EE46960"/>
    <w:lvl w:ilvl="0" w:tplc="8D6612F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3380B20"/>
    <w:multiLevelType w:val="hybridMultilevel"/>
    <w:tmpl w:val="D4D0A818"/>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8" w15:restartNumberingAfterBreak="0">
    <w:nsid w:val="15477CFC"/>
    <w:multiLevelType w:val="hybridMultilevel"/>
    <w:tmpl w:val="A86E26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F03F27"/>
    <w:multiLevelType w:val="hybridMultilevel"/>
    <w:tmpl w:val="4B60FA08"/>
    <w:lvl w:ilvl="0" w:tplc="64C8C1B8">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1F6117"/>
    <w:multiLevelType w:val="hybridMultilevel"/>
    <w:tmpl w:val="18E20A6C"/>
    <w:lvl w:ilvl="0" w:tplc="03AC29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523F5"/>
    <w:multiLevelType w:val="hybridMultilevel"/>
    <w:tmpl w:val="3992E53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00C20DA"/>
    <w:multiLevelType w:val="hybridMultilevel"/>
    <w:tmpl w:val="EEFC0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244618"/>
    <w:multiLevelType w:val="hybridMultilevel"/>
    <w:tmpl w:val="707CE6CC"/>
    <w:lvl w:ilvl="0" w:tplc="140A000B">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4" w15:restartNumberingAfterBreak="0">
    <w:nsid w:val="22FE1CC7"/>
    <w:multiLevelType w:val="hybridMultilevel"/>
    <w:tmpl w:val="6C183FF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9196F48"/>
    <w:multiLevelType w:val="hybridMultilevel"/>
    <w:tmpl w:val="C24C927C"/>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296F4A8D"/>
    <w:multiLevelType w:val="hybridMultilevel"/>
    <w:tmpl w:val="AAF2B8D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0402D"/>
    <w:multiLevelType w:val="hybridMultilevel"/>
    <w:tmpl w:val="79E85C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BCA1AA7"/>
    <w:multiLevelType w:val="hybridMultilevel"/>
    <w:tmpl w:val="CEA4DD9E"/>
    <w:lvl w:ilvl="0" w:tplc="64C8C1B8">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C09005D"/>
    <w:multiLevelType w:val="hybridMultilevel"/>
    <w:tmpl w:val="19D2051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40033A1"/>
    <w:multiLevelType w:val="hybridMultilevel"/>
    <w:tmpl w:val="E4981BFA"/>
    <w:lvl w:ilvl="0" w:tplc="03CE33F6">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E01695"/>
    <w:multiLevelType w:val="hybridMultilevel"/>
    <w:tmpl w:val="E62A9C9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9A821EB"/>
    <w:multiLevelType w:val="multilevel"/>
    <w:tmpl w:val="E9DC1AB2"/>
    <w:lvl w:ilvl="0">
      <w:start w:val="1"/>
      <w:numFmt w:val="upperRoman"/>
      <w:lvlText w:val="%1."/>
      <w:lvlJc w:val="left"/>
      <w:pPr>
        <w:ind w:left="1080" w:hanging="720"/>
      </w:pPr>
      <w:rPr>
        <w:rFonts w:hint="default"/>
        <w:b/>
      </w:rPr>
    </w:lvl>
    <w:lvl w:ilvl="1">
      <w:start w:val="1"/>
      <w:numFmt w:val="decimal"/>
      <w:isLgl/>
      <w:lvlText w:val="%1.%2"/>
      <w:lvlJc w:val="left"/>
      <w:pPr>
        <w:ind w:left="2460" w:hanging="2100"/>
      </w:pPr>
      <w:rPr>
        <w:rFonts w:hint="default"/>
      </w:rPr>
    </w:lvl>
    <w:lvl w:ilvl="2">
      <w:numFmt w:val="decimal"/>
      <w:isLgl/>
      <w:lvlText w:val="%1.%2.%3"/>
      <w:lvlJc w:val="left"/>
      <w:pPr>
        <w:ind w:left="2460" w:hanging="2100"/>
      </w:pPr>
      <w:rPr>
        <w:rFonts w:hint="default"/>
      </w:rPr>
    </w:lvl>
    <w:lvl w:ilvl="3">
      <w:numFmt w:val="decimal"/>
      <w:isLgl/>
      <w:lvlText w:val="%1.%2.%3.%4"/>
      <w:lvlJc w:val="left"/>
      <w:pPr>
        <w:ind w:left="2460" w:hanging="2100"/>
      </w:pPr>
      <w:rPr>
        <w:rFonts w:hint="default"/>
      </w:rPr>
    </w:lvl>
    <w:lvl w:ilvl="4">
      <w:numFmt w:val="decimalZero"/>
      <w:isLgl/>
      <w:lvlText w:val="%1.%2.%3.%4.%5"/>
      <w:lvlJc w:val="left"/>
      <w:pPr>
        <w:ind w:left="2460" w:hanging="2100"/>
      </w:pPr>
      <w:rPr>
        <w:rFonts w:hint="default"/>
      </w:rPr>
    </w:lvl>
    <w:lvl w:ilvl="5">
      <w:numFmt w:val="decimalZero"/>
      <w:isLgl/>
      <w:lvlText w:val="%1.%2.%3.%4.%5.%6"/>
      <w:lvlJc w:val="left"/>
      <w:pPr>
        <w:ind w:left="2460" w:hanging="2100"/>
      </w:pPr>
      <w:rPr>
        <w:rFonts w:hint="default"/>
      </w:rPr>
    </w:lvl>
    <w:lvl w:ilvl="6">
      <w:numFmt w:val="decimal"/>
      <w:isLgl/>
      <w:lvlText w:val="%1.%2.%3.%4.%5.%6.%7"/>
      <w:lvlJc w:val="left"/>
      <w:pPr>
        <w:ind w:left="2460" w:hanging="2100"/>
      </w:pPr>
      <w:rPr>
        <w:rFonts w:hint="default"/>
      </w:rPr>
    </w:lvl>
    <w:lvl w:ilvl="7">
      <w:numFmt w:val="decimal"/>
      <w:isLgl/>
      <w:lvlText w:val="%1.%2.%3.%4.%5.%6.%7.%8"/>
      <w:lvlJc w:val="left"/>
      <w:pPr>
        <w:ind w:left="2460" w:hanging="2100"/>
      </w:pPr>
      <w:rPr>
        <w:rFonts w:hint="default"/>
      </w:rPr>
    </w:lvl>
    <w:lvl w:ilvl="8">
      <w:numFmt w:val="decimalZero"/>
      <w:isLgl/>
      <w:lvlText w:val="%1.%2.%3.%4.%5.%6.%7.%8.%9"/>
      <w:lvlJc w:val="left"/>
      <w:pPr>
        <w:ind w:left="2460" w:hanging="2100"/>
      </w:pPr>
      <w:rPr>
        <w:rFonts w:hint="default"/>
      </w:rPr>
    </w:lvl>
  </w:abstractNum>
  <w:abstractNum w:abstractNumId="23" w15:restartNumberingAfterBreak="0">
    <w:nsid w:val="39B100FF"/>
    <w:multiLevelType w:val="hybridMultilevel"/>
    <w:tmpl w:val="7AB842C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4" w15:restartNumberingAfterBreak="0">
    <w:nsid w:val="3A4F1C23"/>
    <w:multiLevelType w:val="hybridMultilevel"/>
    <w:tmpl w:val="F0BC1346"/>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5" w15:restartNumberingAfterBreak="0">
    <w:nsid w:val="3BBD0935"/>
    <w:multiLevelType w:val="hybridMultilevel"/>
    <w:tmpl w:val="DB76E8A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2A20837"/>
    <w:multiLevelType w:val="multilevel"/>
    <w:tmpl w:val="7B527C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5BF6FCF"/>
    <w:multiLevelType w:val="hybridMultilevel"/>
    <w:tmpl w:val="60981892"/>
    <w:lvl w:ilvl="0" w:tplc="AFC80E6A">
      <w:start w:val="1"/>
      <w:numFmt w:val="decimal"/>
      <w:lvlText w:val="%1."/>
      <w:lvlJc w:val="left"/>
      <w:pPr>
        <w:ind w:left="371" w:hanging="360"/>
      </w:pPr>
      <w:rPr>
        <w:rFonts w:hint="default"/>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28" w15:restartNumberingAfterBreak="0">
    <w:nsid w:val="46BD00E3"/>
    <w:multiLevelType w:val="hybridMultilevel"/>
    <w:tmpl w:val="8312D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F65854"/>
    <w:multiLevelType w:val="hybridMultilevel"/>
    <w:tmpl w:val="A43C30C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0" w15:restartNumberingAfterBreak="0">
    <w:nsid w:val="4A266068"/>
    <w:multiLevelType w:val="hybridMultilevel"/>
    <w:tmpl w:val="5D749D64"/>
    <w:lvl w:ilvl="0" w:tplc="140A0001">
      <w:start w:val="1"/>
      <w:numFmt w:val="bullet"/>
      <w:lvlText w:val=""/>
      <w:lvlJc w:val="left"/>
      <w:pPr>
        <w:ind w:left="765" w:hanging="360"/>
      </w:pPr>
      <w:rPr>
        <w:rFonts w:ascii="Symbol" w:hAnsi="Symbol" w:hint="default"/>
      </w:rPr>
    </w:lvl>
    <w:lvl w:ilvl="1" w:tplc="140A0003">
      <w:start w:val="1"/>
      <w:numFmt w:val="bullet"/>
      <w:lvlText w:val="o"/>
      <w:lvlJc w:val="left"/>
      <w:pPr>
        <w:ind w:left="1485" w:hanging="360"/>
      </w:pPr>
      <w:rPr>
        <w:rFonts w:ascii="Courier New" w:hAnsi="Courier New" w:cs="Courier New" w:hint="default"/>
      </w:rPr>
    </w:lvl>
    <w:lvl w:ilvl="2" w:tplc="140A0005">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31" w15:restartNumberingAfterBreak="0">
    <w:nsid w:val="4AB07B01"/>
    <w:multiLevelType w:val="hybridMultilevel"/>
    <w:tmpl w:val="B8C4B7F8"/>
    <w:lvl w:ilvl="0" w:tplc="140A000B">
      <w:start w:val="1"/>
      <w:numFmt w:val="bullet"/>
      <w:lvlText w:val=""/>
      <w:lvlJc w:val="left"/>
      <w:pPr>
        <w:ind w:left="765" w:hanging="360"/>
      </w:pPr>
      <w:rPr>
        <w:rFonts w:ascii="Wingdings" w:hAnsi="Wingdings"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32" w15:restartNumberingAfterBreak="0">
    <w:nsid w:val="4FEF4B23"/>
    <w:multiLevelType w:val="hybridMultilevel"/>
    <w:tmpl w:val="F698AC2C"/>
    <w:lvl w:ilvl="0" w:tplc="C76C20F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442614"/>
    <w:multiLevelType w:val="multilevel"/>
    <w:tmpl w:val="E9DC1AB2"/>
    <w:lvl w:ilvl="0">
      <w:start w:val="1"/>
      <w:numFmt w:val="upperRoman"/>
      <w:lvlText w:val="%1."/>
      <w:lvlJc w:val="left"/>
      <w:pPr>
        <w:ind w:left="1080" w:hanging="720"/>
      </w:pPr>
      <w:rPr>
        <w:rFonts w:hint="default"/>
        <w:b/>
      </w:rPr>
    </w:lvl>
    <w:lvl w:ilvl="1">
      <w:start w:val="1"/>
      <w:numFmt w:val="decimal"/>
      <w:isLgl/>
      <w:lvlText w:val="%1.%2"/>
      <w:lvlJc w:val="left"/>
      <w:pPr>
        <w:ind w:left="2460" w:hanging="2100"/>
      </w:pPr>
      <w:rPr>
        <w:rFonts w:hint="default"/>
      </w:rPr>
    </w:lvl>
    <w:lvl w:ilvl="2">
      <w:numFmt w:val="decimal"/>
      <w:isLgl/>
      <w:lvlText w:val="%1.%2.%3"/>
      <w:lvlJc w:val="left"/>
      <w:pPr>
        <w:ind w:left="2460" w:hanging="2100"/>
      </w:pPr>
      <w:rPr>
        <w:rFonts w:hint="default"/>
      </w:rPr>
    </w:lvl>
    <w:lvl w:ilvl="3">
      <w:numFmt w:val="decimal"/>
      <w:isLgl/>
      <w:lvlText w:val="%1.%2.%3.%4"/>
      <w:lvlJc w:val="left"/>
      <w:pPr>
        <w:ind w:left="2460" w:hanging="2100"/>
      </w:pPr>
      <w:rPr>
        <w:rFonts w:hint="default"/>
      </w:rPr>
    </w:lvl>
    <w:lvl w:ilvl="4">
      <w:numFmt w:val="decimalZero"/>
      <w:isLgl/>
      <w:lvlText w:val="%1.%2.%3.%4.%5"/>
      <w:lvlJc w:val="left"/>
      <w:pPr>
        <w:ind w:left="2460" w:hanging="2100"/>
      </w:pPr>
      <w:rPr>
        <w:rFonts w:hint="default"/>
      </w:rPr>
    </w:lvl>
    <w:lvl w:ilvl="5">
      <w:numFmt w:val="decimalZero"/>
      <w:isLgl/>
      <w:lvlText w:val="%1.%2.%3.%4.%5.%6"/>
      <w:lvlJc w:val="left"/>
      <w:pPr>
        <w:ind w:left="2460" w:hanging="2100"/>
      </w:pPr>
      <w:rPr>
        <w:rFonts w:hint="default"/>
      </w:rPr>
    </w:lvl>
    <w:lvl w:ilvl="6">
      <w:numFmt w:val="decimal"/>
      <w:isLgl/>
      <w:lvlText w:val="%1.%2.%3.%4.%5.%6.%7"/>
      <w:lvlJc w:val="left"/>
      <w:pPr>
        <w:ind w:left="2460" w:hanging="2100"/>
      </w:pPr>
      <w:rPr>
        <w:rFonts w:hint="default"/>
      </w:rPr>
    </w:lvl>
    <w:lvl w:ilvl="7">
      <w:numFmt w:val="decimal"/>
      <w:isLgl/>
      <w:lvlText w:val="%1.%2.%3.%4.%5.%6.%7.%8"/>
      <w:lvlJc w:val="left"/>
      <w:pPr>
        <w:ind w:left="2460" w:hanging="2100"/>
      </w:pPr>
      <w:rPr>
        <w:rFonts w:hint="default"/>
      </w:rPr>
    </w:lvl>
    <w:lvl w:ilvl="8">
      <w:numFmt w:val="decimalZero"/>
      <w:isLgl/>
      <w:lvlText w:val="%1.%2.%3.%4.%5.%6.%7.%8.%9"/>
      <w:lvlJc w:val="left"/>
      <w:pPr>
        <w:ind w:left="2460" w:hanging="2100"/>
      </w:pPr>
      <w:rPr>
        <w:rFonts w:hint="default"/>
      </w:rPr>
    </w:lvl>
  </w:abstractNum>
  <w:abstractNum w:abstractNumId="34" w15:restartNumberingAfterBreak="0">
    <w:nsid w:val="5D566509"/>
    <w:multiLevelType w:val="hybridMultilevel"/>
    <w:tmpl w:val="9A9E159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5" w15:restartNumberingAfterBreak="0">
    <w:nsid w:val="5FFC1051"/>
    <w:multiLevelType w:val="hybridMultilevel"/>
    <w:tmpl w:val="2A2AF61C"/>
    <w:lvl w:ilvl="0" w:tplc="140A000D">
      <w:start w:val="1"/>
      <w:numFmt w:val="bullet"/>
      <w:lvlText w:val=""/>
      <w:lvlJc w:val="left"/>
      <w:pPr>
        <w:ind w:left="2826" w:hanging="360"/>
      </w:pPr>
      <w:rPr>
        <w:rFonts w:ascii="Wingdings" w:hAnsi="Wingdings" w:hint="default"/>
      </w:rPr>
    </w:lvl>
    <w:lvl w:ilvl="1" w:tplc="140A0003" w:tentative="1">
      <w:start w:val="1"/>
      <w:numFmt w:val="bullet"/>
      <w:lvlText w:val="o"/>
      <w:lvlJc w:val="left"/>
      <w:pPr>
        <w:ind w:left="3546" w:hanging="360"/>
      </w:pPr>
      <w:rPr>
        <w:rFonts w:ascii="Courier New" w:hAnsi="Courier New" w:cs="Courier New" w:hint="default"/>
      </w:rPr>
    </w:lvl>
    <w:lvl w:ilvl="2" w:tplc="140A0005" w:tentative="1">
      <w:start w:val="1"/>
      <w:numFmt w:val="bullet"/>
      <w:lvlText w:val=""/>
      <w:lvlJc w:val="left"/>
      <w:pPr>
        <w:ind w:left="4266" w:hanging="360"/>
      </w:pPr>
      <w:rPr>
        <w:rFonts w:ascii="Wingdings" w:hAnsi="Wingdings" w:hint="default"/>
      </w:rPr>
    </w:lvl>
    <w:lvl w:ilvl="3" w:tplc="140A0001" w:tentative="1">
      <w:start w:val="1"/>
      <w:numFmt w:val="bullet"/>
      <w:lvlText w:val=""/>
      <w:lvlJc w:val="left"/>
      <w:pPr>
        <w:ind w:left="4986" w:hanging="360"/>
      </w:pPr>
      <w:rPr>
        <w:rFonts w:ascii="Symbol" w:hAnsi="Symbol" w:hint="default"/>
      </w:rPr>
    </w:lvl>
    <w:lvl w:ilvl="4" w:tplc="140A0003" w:tentative="1">
      <w:start w:val="1"/>
      <w:numFmt w:val="bullet"/>
      <w:lvlText w:val="o"/>
      <w:lvlJc w:val="left"/>
      <w:pPr>
        <w:ind w:left="5706" w:hanging="360"/>
      </w:pPr>
      <w:rPr>
        <w:rFonts w:ascii="Courier New" w:hAnsi="Courier New" w:cs="Courier New" w:hint="default"/>
      </w:rPr>
    </w:lvl>
    <w:lvl w:ilvl="5" w:tplc="140A0005" w:tentative="1">
      <w:start w:val="1"/>
      <w:numFmt w:val="bullet"/>
      <w:lvlText w:val=""/>
      <w:lvlJc w:val="left"/>
      <w:pPr>
        <w:ind w:left="6426" w:hanging="360"/>
      </w:pPr>
      <w:rPr>
        <w:rFonts w:ascii="Wingdings" w:hAnsi="Wingdings" w:hint="default"/>
      </w:rPr>
    </w:lvl>
    <w:lvl w:ilvl="6" w:tplc="140A0001" w:tentative="1">
      <w:start w:val="1"/>
      <w:numFmt w:val="bullet"/>
      <w:lvlText w:val=""/>
      <w:lvlJc w:val="left"/>
      <w:pPr>
        <w:ind w:left="7146" w:hanging="360"/>
      </w:pPr>
      <w:rPr>
        <w:rFonts w:ascii="Symbol" w:hAnsi="Symbol" w:hint="default"/>
      </w:rPr>
    </w:lvl>
    <w:lvl w:ilvl="7" w:tplc="140A0003" w:tentative="1">
      <w:start w:val="1"/>
      <w:numFmt w:val="bullet"/>
      <w:lvlText w:val="o"/>
      <w:lvlJc w:val="left"/>
      <w:pPr>
        <w:ind w:left="7866" w:hanging="360"/>
      </w:pPr>
      <w:rPr>
        <w:rFonts w:ascii="Courier New" w:hAnsi="Courier New" w:cs="Courier New" w:hint="default"/>
      </w:rPr>
    </w:lvl>
    <w:lvl w:ilvl="8" w:tplc="140A0005" w:tentative="1">
      <w:start w:val="1"/>
      <w:numFmt w:val="bullet"/>
      <w:lvlText w:val=""/>
      <w:lvlJc w:val="left"/>
      <w:pPr>
        <w:ind w:left="8586" w:hanging="360"/>
      </w:pPr>
      <w:rPr>
        <w:rFonts w:ascii="Wingdings" w:hAnsi="Wingdings" w:hint="default"/>
      </w:rPr>
    </w:lvl>
  </w:abstractNum>
  <w:abstractNum w:abstractNumId="36" w15:restartNumberingAfterBreak="0">
    <w:nsid w:val="61F828E8"/>
    <w:multiLevelType w:val="hybridMultilevel"/>
    <w:tmpl w:val="0932027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C564A3"/>
    <w:multiLevelType w:val="hybridMultilevel"/>
    <w:tmpl w:val="B688F244"/>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8" w15:restartNumberingAfterBreak="0">
    <w:nsid w:val="64804EE0"/>
    <w:multiLevelType w:val="hybridMultilevel"/>
    <w:tmpl w:val="797C276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5C05495"/>
    <w:multiLevelType w:val="hybridMultilevel"/>
    <w:tmpl w:val="D5D00606"/>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40" w15:restartNumberingAfterBreak="0">
    <w:nsid w:val="66D95AB9"/>
    <w:multiLevelType w:val="hybridMultilevel"/>
    <w:tmpl w:val="49326CDC"/>
    <w:lvl w:ilvl="0" w:tplc="140A000B">
      <w:start w:val="1"/>
      <w:numFmt w:val="bullet"/>
      <w:lvlText w:val=""/>
      <w:lvlJc w:val="left"/>
      <w:pPr>
        <w:ind w:left="765" w:hanging="360"/>
      </w:pPr>
      <w:rPr>
        <w:rFonts w:ascii="Wingdings" w:hAnsi="Wingdings"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41" w15:restartNumberingAfterBreak="0">
    <w:nsid w:val="6DB92271"/>
    <w:multiLevelType w:val="hybridMultilevel"/>
    <w:tmpl w:val="005869DA"/>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2" w15:restartNumberingAfterBreak="0">
    <w:nsid w:val="71BF7893"/>
    <w:multiLevelType w:val="hybridMultilevel"/>
    <w:tmpl w:val="EDF0A3EE"/>
    <w:lvl w:ilvl="0" w:tplc="140A000B">
      <w:start w:val="1"/>
      <w:numFmt w:val="bullet"/>
      <w:lvlText w:val=""/>
      <w:lvlJc w:val="left"/>
      <w:pPr>
        <w:ind w:left="1004" w:hanging="360"/>
      </w:pPr>
      <w:rPr>
        <w:rFonts w:ascii="Wingdings" w:hAnsi="Wingdings"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43" w15:restartNumberingAfterBreak="0">
    <w:nsid w:val="762A723A"/>
    <w:multiLevelType w:val="hybridMultilevel"/>
    <w:tmpl w:val="EF14791C"/>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4" w15:restartNumberingAfterBreak="0">
    <w:nsid w:val="7DFD39D5"/>
    <w:multiLevelType w:val="hybridMultilevel"/>
    <w:tmpl w:val="AFA01602"/>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4"/>
  </w:num>
  <w:num w:numId="4">
    <w:abstractNumId w:val="13"/>
  </w:num>
  <w:num w:numId="5">
    <w:abstractNumId w:val="38"/>
  </w:num>
  <w:num w:numId="6">
    <w:abstractNumId w:val="36"/>
  </w:num>
  <w:num w:numId="7">
    <w:abstractNumId w:val="43"/>
  </w:num>
  <w:num w:numId="8">
    <w:abstractNumId w:val="40"/>
  </w:num>
  <w:num w:numId="9">
    <w:abstractNumId w:val="31"/>
  </w:num>
  <w:num w:numId="10">
    <w:abstractNumId w:val="4"/>
  </w:num>
  <w:num w:numId="11">
    <w:abstractNumId w:val="24"/>
  </w:num>
  <w:num w:numId="12">
    <w:abstractNumId w:val="6"/>
  </w:num>
  <w:num w:numId="13">
    <w:abstractNumId w:val="23"/>
  </w:num>
  <w:num w:numId="14">
    <w:abstractNumId w:val="37"/>
  </w:num>
  <w:num w:numId="15">
    <w:abstractNumId w:val="41"/>
  </w:num>
  <w:num w:numId="16">
    <w:abstractNumId w:val="17"/>
  </w:num>
  <w:num w:numId="17">
    <w:abstractNumId w:val="2"/>
  </w:num>
  <w:num w:numId="18">
    <w:abstractNumId w:val="3"/>
  </w:num>
  <w:num w:numId="19">
    <w:abstractNumId w:val="7"/>
  </w:num>
  <w:num w:numId="20">
    <w:abstractNumId w:val="8"/>
  </w:num>
  <w:num w:numId="21">
    <w:abstractNumId w:val="25"/>
  </w:num>
  <w:num w:numId="22">
    <w:abstractNumId w:val="33"/>
  </w:num>
  <w:num w:numId="23">
    <w:abstractNumId w:val="35"/>
  </w:num>
  <w:num w:numId="24">
    <w:abstractNumId w:val="19"/>
  </w:num>
  <w:num w:numId="25">
    <w:abstractNumId w:val="34"/>
  </w:num>
  <w:num w:numId="26">
    <w:abstractNumId w:val="9"/>
  </w:num>
  <w:num w:numId="27">
    <w:abstractNumId w:val="39"/>
  </w:num>
  <w:num w:numId="28">
    <w:abstractNumId w:val="15"/>
  </w:num>
  <w:num w:numId="29">
    <w:abstractNumId w:val="1"/>
  </w:num>
  <w:num w:numId="30">
    <w:abstractNumId w:val="30"/>
  </w:num>
  <w:num w:numId="31">
    <w:abstractNumId w:val="26"/>
  </w:num>
  <w:num w:numId="32">
    <w:abstractNumId w:val="14"/>
  </w:num>
  <w:num w:numId="33">
    <w:abstractNumId w:val="29"/>
  </w:num>
  <w:num w:numId="34">
    <w:abstractNumId w:val="0"/>
  </w:num>
  <w:num w:numId="35">
    <w:abstractNumId w:val="5"/>
  </w:num>
  <w:num w:numId="36">
    <w:abstractNumId w:val="42"/>
  </w:num>
  <w:num w:numId="37">
    <w:abstractNumId w:val="11"/>
  </w:num>
  <w:num w:numId="38">
    <w:abstractNumId w:val="21"/>
  </w:num>
  <w:num w:numId="39">
    <w:abstractNumId w:val="18"/>
  </w:num>
  <w:num w:numId="40">
    <w:abstractNumId w:val="28"/>
  </w:num>
  <w:num w:numId="41">
    <w:abstractNumId w:val="12"/>
  </w:num>
  <w:num w:numId="42">
    <w:abstractNumId w:val="10"/>
  </w:num>
  <w:num w:numId="43">
    <w:abstractNumId w:val="20"/>
  </w:num>
  <w:num w:numId="44">
    <w:abstractNumId w:val="27"/>
  </w:num>
  <w:num w:numId="4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83767F"/>
    <w:rsid w:val="000008FF"/>
    <w:rsid w:val="00000E4C"/>
    <w:rsid w:val="00001D4B"/>
    <w:rsid w:val="000024C6"/>
    <w:rsid w:val="00002D14"/>
    <w:rsid w:val="000038E0"/>
    <w:rsid w:val="000046A6"/>
    <w:rsid w:val="0000724E"/>
    <w:rsid w:val="000112EF"/>
    <w:rsid w:val="0001262A"/>
    <w:rsid w:val="00012AFF"/>
    <w:rsid w:val="00012CA8"/>
    <w:rsid w:val="000139B3"/>
    <w:rsid w:val="00015A4E"/>
    <w:rsid w:val="000173F0"/>
    <w:rsid w:val="0002295E"/>
    <w:rsid w:val="00022D63"/>
    <w:rsid w:val="00023062"/>
    <w:rsid w:val="00023277"/>
    <w:rsid w:val="00024431"/>
    <w:rsid w:val="000266BF"/>
    <w:rsid w:val="00031556"/>
    <w:rsid w:val="00032688"/>
    <w:rsid w:val="000328A4"/>
    <w:rsid w:val="00036B04"/>
    <w:rsid w:val="0003799F"/>
    <w:rsid w:val="00040204"/>
    <w:rsid w:val="0004308D"/>
    <w:rsid w:val="00044961"/>
    <w:rsid w:val="000475BF"/>
    <w:rsid w:val="00050124"/>
    <w:rsid w:val="0005071D"/>
    <w:rsid w:val="00053E62"/>
    <w:rsid w:val="000544F0"/>
    <w:rsid w:val="0005481B"/>
    <w:rsid w:val="000564CD"/>
    <w:rsid w:val="00060822"/>
    <w:rsid w:val="00060C07"/>
    <w:rsid w:val="0006125C"/>
    <w:rsid w:val="00062F84"/>
    <w:rsid w:val="000635C9"/>
    <w:rsid w:val="00064044"/>
    <w:rsid w:val="0006409F"/>
    <w:rsid w:val="00066F56"/>
    <w:rsid w:val="00071276"/>
    <w:rsid w:val="000728FE"/>
    <w:rsid w:val="00072ED7"/>
    <w:rsid w:val="000731D5"/>
    <w:rsid w:val="000747B1"/>
    <w:rsid w:val="00075AE3"/>
    <w:rsid w:val="00081BDA"/>
    <w:rsid w:val="00082445"/>
    <w:rsid w:val="0008268D"/>
    <w:rsid w:val="00082845"/>
    <w:rsid w:val="000834B3"/>
    <w:rsid w:val="0008572F"/>
    <w:rsid w:val="000862AF"/>
    <w:rsid w:val="00086750"/>
    <w:rsid w:val="00086A90"/>
    <w:rsid w:val="000911A5"/>
    <w:rsid w:val="00091F7B"/>
    <w:rsid w:val="00095281"/>
    <w:rsid w:val="000961F9"/>
    <w:rsid w:val="00096615"/>
    <w:rsid w:val="00096718"/>
    <w:rsid w:val="000A3DE3"/>
    <w:rsid w:val="000A6635"/>
    <w:rsid w:val="000A712E"/>
    <w:rsid w:val="000A7686"/>
    <w:rsid w:val="000B170F"/>
    <w:rsid w:val="000B24C0"/>
    <w:rsid w:val="000B2BAD"/>
    <w:rsid w:val="000B48EE"/>
    <w:rsid w:val="000B60F0"/>
    <w:rsid w:val="000B75C0"/>
    <w:rsid w:val="000B7CC7"/>
    <w:rsid w:val="000C07FB"/>
    <w:rsid w:val="000C1787"/>
    <w:rsid w:val="000C1B48"/>
    <w:rsid w:val="000C32D7"/>
    <w:rsid w:val="000C3441"/>
    <w:rsid w:val="000C5818"/>
    <w:rsid w:val="000C5EC1"/>
    <w:rsid w:val="000C787F"/>
    <w:rsid w:val="000C7D61"/>
    <w:rsid w:val="000D2F9E"/>
    <w:rsid w:val="000D3F50"/>
    <w:rsid w:val="000D4D00"/>
    <w:rsid w:val="000D5CB2"/>
    <w:rsid w:val="000E0E6F"/>
    <w:rsid w:val="000E3696"/>
    <w:rsid w:val="000E4167"/>
    <w:rsid w:val="000E6280"/>
    <w:rsid w:val="000E753E"/>
    <w:rsid w:val="000E7CA0"/>
    <w:rsid w:val="000F0207"/>
    <w:rsid w:val="000F37BC"/>
    <w:rsid w:val="000F544B"/>
    <w:rsid w:val="000F668F"/>
    <w:rsid w:val="000F70C0"/>
    <w:rsid w:val="001004E6"/>
    <w:rsid w:val="0010083F"/>
    <w:rsid w:val="00102F79"/>
    <w:rsid w:val="0010582F"/>
    <w:rsid w:val="00106369"/>
    <w:rsid w:val="0010645C"/>
    <w:rsid w:val="00113554"/>
    <w:rsid w:val="00113B19"/>
    <w:rsid w:val="001146EE"/>
    <w:rsid w:val="0011658E"/>
    <w:rsid w:val="00120742"/>
    <w:rsid w:val="0012185A"/>
    <w:rsid w:val="00123926"/>
    <w:rsid w:val="001239C2"/>
    <w:rsid w:val="0012456E"/>
    <w:rsid w:val="00125CC4"/>
    <w:rsid w:val="00125D39"/>
    <w:rsid w:val="0012666E"/>
    <w:rsid w:val="001268F0"/>
    <w:rsid w:val="00126C30"/>
    <w:rsid w:val="0013350D"/>
    <w:rsid w:val="0013455B"/>
    <w:rsid w:val="001347D1"/>
    <w:rsid w:val="00134EA4"/>
    <w:rsid w:val="00135ECE"/>
    <w:rsid w:val="0013639C"/>
    <w:rsid w:val="0013705C"/>
    <w:rsid w:val="00143236"/>
    <w:rsid w:val="00144E58"/>
    <w:rsid w:val="00145C50"/>
    <w:rsid w:val="00146F33"/>
    <w:rsid w:val="00147006"/>
    <w:rsid w:val="001515B3"/>
    <w:rsid w:val="00154524"/>
    <w:rsid w:val="001547A8"/>
    <w:rsid w:val="001557E7"/>
    <w:rsid w:val="00155F44"/>
    <w:rsid w:val="00160512"/>
    <w:rsid w:val="00161240"/>
    <w:rsid w:val="0016154C"/>
    <w:rsid w:val="0016168F"/>
    <w:rsid w:val="0016572D"/>
    <w:rsid w:val="001659DE"/>
    <w:rsid w:val="00165E9E"/>
    <w:rsid w:val="00166906"/>
    <w:rsid w:val="00170A53"/>
    <w:rsid w:val="00175AC1"/>
    <w:rsid w:val="00175E5E"/>
    <w:rsid w:val="001760D1"/>
    <w:rsid w:val="001779E1"/>
    <w:rsid w:val="00181661"/>
    <w:rsid w:val="0018643F"/>
    <w:rsid w:val="0019075E"/>
    <w:rsid w:val="00190FDC"/>
    <w:rsid w:val="0019162B"/>
    <w:rsid w:val="00193799"/>
    <w:rsid w:val="00196F16"/>
    <w:rsid w:val="001A1A5F"/>
    <w:rsid w:val="001A29B7"/>
    <w:rsid w:val="001A31B3"/>
    <w:rsid w:val="001A3FD6"/>
    <w:rsid w:val="001B5950"/>
    <w:rsid w:val="001B5ECA"/>
    <w:rsid w:val="001B75F5"/>
    <w:rsid w:val="001C05E6"/>
    <w:rsid w:val="001C2205"/>
    <w:rsid w:val="001C2AA8"/>
    <w:rsid w:val="001C3FD0"/>
    <w:rsid w:val="001C6CB3"/>
    <w:rsid w:val="001C7401"/>
    <w:rsid w:val="001C7850"/>
    <w:rsid w:val="001D078D"/>
    <w:rsid w:val="001D34BB"/>
    <w:rsid w:val="001E0CD6"/>
    <w:rsid w:val="001E2999"/>
    <w:rsid w:val="001E2F7E"/>
    <w:rsid w:val="001E4B2F"/>
    <w:rsid w:val="001E62AA"/>
    <w:rsid w:val="001E666B"/>
    <w:rsid w:val="001F005C"/>
    <w:rsid w:val="001F232E"/>
    <w:rsid w:val="001F4420"/>
    <w:rsid w:val="001F5CAB"/>
    <w:rsid w:val="001F6B56"/>
    <w:rsid w:val="00202DE9"/>
    <w:rsid w:val="00206709"/>
    <w:rsid w:val="00206DD0"/>
    <w:rsid w:val="00210DDB"/>
    <w:rsid w:val="00210DF6"/>
    <w:rsid w:val="00213CCB"/>
    <w:rsid w:val="002167F8"/>
    <w:rsid w:val="00217740"/>
    <w:rsid w:val="00217B79"/>
    <w:rsid w:val="00217F51"/>
    <w:rsid w:val="00221468"/>
    <w:rsid w:val="002217C4"/>
    <w:rsid w:val="00222178"/>
    <w:rsid w:val="00224907"/>
    <w:rsid w:val="0022629D"/>
    <w:rsid w:val="0022769A"/>
    <w:rsid w:val="00227E75"/>
    <w:rsid w:val="0023013D"/>
    <w:rsid w:val="0023056D"/>
    <w:rsid w:val="0023126F"/>
    <w:rsid w:val="00231417"/>
    <w:rsid w:val="00233BD6"/>
    <w:rsid w:val="00237754"/>
    <w:rsid w:val="00237859"/>
    <w:rsid w:val="00240060"/>
    <w:rsid w:val="00241114"/>
    <w:rsid w:val="0024591D"/>
    <w:rsid w:val="00246B1E"/>
    <w:rsid w:val="00246C27"/>
    <w:rsid w:val="00246ECC"/>
    <w:rsid w:val="002473C8"/>
    <w:rsid w:val="002479FD"/>
    <w:rsid w:val="00255600"/>
    <w:rsid w:val="0025575B"/>
    <w:rsid w:val="00261453"/>
    <w:rsid w:val="00264B28"/>
    <w:rsid w:val="00265518"/>
    <w:rsid w:val="00273467"/>
    <w:rsid w:val="0027361D"/>
    <w:rsid w:val="00273DBA"/>
    <w:rsid w:val="00274BD1"/>
    <w:rsid w:val="00281A36"/>
    <w:rsid w:val="00281F35"/>
    <w:rsid w:val="002864B5"/>
    <w:rsid w:val="00287E6A"/>
    <w:rsid w:val="002918D3"/>
    <w:rsid w:val="00292A15"/>
    <w:rsid w:val="00292E66"/>
    <w:rsid w:val="002963E7"/>
    <w:rsid w:val="00296EA0"/>
    <w:rsid w:val="002A1644"/>
    <w:rsid w:val="002A1F99"/>
    <w:rsid w:val="002A20A5"/>
    <w:rsid w:val="002A7C77"/>
    <w:rsid w:val="002B077E"/>
    <w:rsid w:val="002B1979"/>
    <w:rsid w:val="002B1CAD"/>
    <w:rsid w:val="002B4A49"/>
    <w:rsid w:val="002B59AF"/>
    <w:rsid w:val="002B5B8D"/>
    <w:rsid w:val="002C127D"/>
    <w:rsid w:val="002C21D8"/>
    <w:rsid w:val="002C4320"/>
    <w:rsid w:val="002C4ADF"/>
    <w:rsid w:val="002C57C4"/>
    <w:rsid w:val="002C7CA7"/>
    <w:rsid w:val="002D1102"/>
    <w:rsid w:val="002D26B4"/>
    <w:rsid w:val="002D29C5"/>
    <w:rsid w:val="002D647C"/>
    <w:rsid w:val="002D65A0"/>
    <w:rsid w:val="002E1A29"/>
    <w:rsid w:val="002E295D"/>
    <w:rsid w:val="002E2A84"/>
    <w:rsid w:val="002E2C8B"/>
    <w:rsid w:val="002E42EF"/>
    <w:rsid w:val="002E5057"/>
    <w:rsid w:val="002E50DC"/>
    <w:rsid w:val="002E6076"/>
    <w:rsid w:val="002E6BD3"/>
    <w:rsid w:val="002F10C1"/>
    <w:rsid w:val="002F17B3"/>
    <w:rsid w:val="002F1C50"/>
    <w:rsid w:val="002F2237"/>
    <w:rsid w:val="002F5003"/>
    <w:rsid w:val="002F70AD"/>
    <w:rsid w:val="00301BD7"/>
    <w:rsid w:val="00302666"/>
    <w:rsid w:val="0030322B"/>
    <w:rsid w:val="00306F75"/>
    <w:rsid w:val="00307F6F"/>
    <w:rsid w:val="003109C1"/>
    <w:rsid w:val="0031149B"/>
    <w:rsid w:val="00313316"/>
    <w:rsid w:val="003139EE"/>
    <w:rsid w:val="0031445C"/>
    <w:rsid w:val="00315DD2"/>
    <w:rsid w:val="00316B34"/>
    <w:rsid w:val="00323F26"/>
    <w:rsid w:val="003268B4"/>
    <w:rsid w:val="00331993"/>
    <w:rsid w:val="00331FD6"/>
    <w:rsid w:val="00335450"/>
    <w:rsid w:val="00341F5D"/>
    <w:rsid w:val="0034245E"/>
    <w:rsid w:val="0034269E"/>
    <w:rsid w:val="00342BAC"/>
    <w:rsid w:val="003463CE"/>
    <w:rsid w:val="00352DEB"/>
    <w:rsid w:val="00352E49"/>
    <w:rsid w:val="00353A87"/>
    <w:rsid w:val="0035473B"/>
    <w:rsid w:val="00355B5B"/>
    <w:rsid w:val="003576DD"/>
    <w:rsid w:val="0035790C"/>
    <w:rsid w:val="00360719"/>
    <w:rsid w:val="003608CE"/>
    <w:rsid w:val="003608DF"/>
    <w:rsid w:val="003637A8"/>
    <w:rsid w:val="00363C86"/>
    <w:rsid w:val="003653D0"/>
    <w:rsid w:val="00365A0D"/>
    <w:rsid w:val="00367AB7"/>
    <w:rsid w:val="00371687"/>
    <w:rsid w:val="0037284D"/>
    <w:rsid w:val="00372F36"/>
    <w:rsid w:val="003744C1"/>
    <w:rsid w:val="00374598"/>
    <w:rsid w:val="003747DA"/>
    <w:rsid w:val="00375A79"/>
    <w:rsid w:val="003763EC"/>
    <w:rsid w:val="00377502"/>
    <w:rsid w:val="00377771"/>
    <w:rsid w:val="00377EA2"/>
    <w:rsid w:val="00380F08"/>
    <w:rsid w:val="00382F4D"/>
    <w:rsid w:val="003833BE"/>
    <w:rsid w:val="0038581D"/>
    <w:rsid w:val="00387CDE"/>
    <w:rsid w:val="0039375A"/>
    <w:rsid w:val="00394CC8"/>
    <w:rsid w:val="003A1733"/>
    <w:rsid w:val="003A17BB"/>
    <w:rsid w:val="003A19B4"/>
    <w:rsid w:val="003A2144"/>
    <w:rsid w:val="003A3F8E"/>
    <w:rsid w:val="003A7D70"/>
    <w:rsid w:val="003B6EB9"/>
    <w:rsid w:val="003C0619"/>
    <w:rsid w:val="003C2808"/>
    <w:rsid w:val="003C3518"/>
    <w:rsid w:val="003C4767"/>
    <w:rsid w:val="003C4F7E"/>
    <w:rsid w:val="003C6E6D"/>
    <w:rsid w:val="003D2C10"/>
    <w:rsid w:val="003D3415"/>
    <w:rsid w:val="003D6508"/>
    <w:rsid w:val="003D6A5D"/>
    <w:rsid w:val="003D7CE4"/>
    <w:rsid w:val="003E3950"/>
    <w:rsid w:val="003E3D8B"/>
    <w:rsid w:val="003E4815"/>
    <w:rsid w:val="003E6BA6"/>
    <w:rsid w:val="003F0ED1"/>
    <w:rsid w:val="003F2402"/>
    <w:rsid w:val="003F2704"/>
    <w:rsid w:val="003F2925"/>
    <w:rsid w:val="003F5F11"/>
    <w:rsid w:val="003F758C"/>
    <w:rsid w:val="003F7BB5"/>
    <w:rsid w:val="00400974"/>
    <w:rsid w:val="00404854"/>
    <w:rsid w:val="0040568A"/>
    <w:rsid w:val="0040716A"/>
    <w:rsid w:val="004072D9"/>
    <w:rsid w:val="004079E8"/>
    <w:rsid w:val="00410DA6"/>
    <w:rsid w:val="00412B1A"/>
    <w:rsid w:val="004137F9"/>
    <w:rsid w:val="004157B7"/>
    <w:rsid w:val="004167DA"/>
    <w:rsid w:val="00416814"/>
    <w:rsid w:val="0042420D"/>
    <w:rsid w:val="00424DB9"/>
    <w:rsid w:val="00433328"/>
    <w:rsid w:val="00435CAB"/>
    <w:rsid w:val="00435F84"/>
    <w:rsid w:val="00437CF1"/>
    <w:rsid w:val="00437FC5"/>
    <w:rsid w:val="00440162"/>
    <w:rsid w:val="00442942"/>
    <w:rsid w:val="00442CA8"/>
    <w:rsid w:val="00443B2C"/>
    <w:rsid w:val="004456FA"/>
    <w:rsid w:val="00451505"/>
    <w:rsid w:val="00453A7A"/>
    <w:rsid w:val="00455138"/>
    <w:rsid w:val="00460593"/>
    <w:rsid w:val="00460E42"/>
    <w:rsid w:val="00461966"/>
    <w:rsid w:val="004621EB"/>
    <w:rsid w:val="00462B95"/>
    <w:rsid w:val="004630F0"/>
    <w:rsid w:val="004632A0"/>
    <w:rsid w:val="00471DA5"/>
    <w:rsid w:val="00473433"/>
    <w:rsid w:val="00473F6A"/>
    <w:rsid w:val="004752FE"/>
    <w:rsid w:val="004759C1"/>
    <w:rsid w:val="00475AE2"/>
    <w:rsid w:val="00480081"/>
    <w:rsid w:val="00481CE0"/>
    <w:rsid w:val="0048318D"/>
    <w:rsid w:val="00487534"/>
    <w:rsid w:val="00494773"/>
    <w:rsid w:val="00494B08"/>
    <w:rsid w:val="004A00BC"/>
    <w:rsid w:val="004A0154"/>
    <w:rsid w:val="004A0A43"/>
    <w:rsid w:val="004A4502"/>
    <w:rsid w:val="004A4744"/>
    <w:rsid w:val="004A5AE6"/>
    <w:rsid w:val="004A7B25"/>
    <w:rsid w:val="004B0154"/>
    <w:rsid w:val="004B4D94"/>
    <w:rsid w:val="004B5E93"/>
    <w:rsid w:val="004B6E50"/>
    <w:rsid w:val="004C0D62"/>
    <w:rsid w:val="004C166E"/>
    <w:rsid w:val="004C22BD"/>
    <w:rsid w:val="004C66F5"/>
    <w:rsid w:val="004D05EF"/>
    <w:rsid w:val="004D1561"/>
    <w:rsid w:val="004D2DA5"/>
    <w:rsid w:val="004D3748"/>
    <w:rsid w:val="004D4554"/>
    <w:rsid w:val="004D739D"/>
    <w:rsid w:val="004E2A26"/>
    <w:rsid w:val="004E4B80"/>
    <w:rsid w:val="004E4ECA"/>
    <w:rsid w:val="004F203B"/>
    <w:rsid w:val="004F2E09"/>
    <w:rsid w:val="004F493F"/>
    <w:rsid w:val="004F4D5E"/>
    <w:rsid w:val="00502DDA"/>
    <w:rsid w:val="00504C5D"/>
    <w:rsid w:val="00506666"/>
    <w:rsid w:val="005115D6"/>
    <w:rsid w:val="00512774"/>
    <w:rsid w:val="0051373E"/>
    <w:rsid w:val="005137C2"/>
    <w:rsid w:val="00516C4C"/>
    <w:rsid w:val="00516F13"/>
    <w:rsid w:val="00517859"/>
    <w:rsid w:val="005200B7"/>
    <w:rsid w:val="00520E20"/>
    <w:rsid w:val="005216C3"/>
    <w:rsid w:val="005246F8"/>
    <w:rsid w:val="00524FC8"/>
    <w:rsid w:val="0052556C"/>
    <w:rsid w:val="00526C5B"/>
    <w:rsid w:val="005270C5"/>
    <w:rsid w:val="0053037D"/>
    <w:rsid w:val="00530CFE"/>
    <w:rsid w:val="005315C1"/>
    <w:rsid w:val="005316B7"/>
    <w:rsid w:val="00532569"/>
    <w:rsid w:val="00532934"/>
    <w:rsid w:val="00532B92"/>
    <w:rsid w:val="005338D9"/>
    <w:rsid w:val="00533947"/>
    <w:rsid w:val="00533A94"/>
    <w:rsid w:val="00533F36"/>
    <w:rsid w:val="00534FC6"/>
    <w:rsid w:val="00540E31"/>
    <w:rsid w:val="0054126A"/>
    <w:rsid w:val="005412A2"/>
    <w:rsid w:val="00546501"/>
    <w:rsid w:val="005473B9"/>
    <w:rsid w:val="00547FD2"/>
    <w:rsid w:val="005512D2"/>
    <w:rsid w:val="005524FD"/>
    <w:rsid w:val="005544FD"/>
    <w:rsid w:val="00555B01"/>
    <w:rsid w:val="005609E1"/>
    <w:rsid w:val="005631E4"/>
    <w:rsid w:val="005633A4"/>
    <w:rsid w:val="005646DE"/>
    <w:rsid w:val="0056577F"/>
    <w:rsid w:val="00571542"/>
    <w:rsid w:val="005733FF"/>
    <w:rsid w:val="00575AF6"/>
    <w:rsid w:val="00576306"/>
    <w:rsid w:val="00576815"/>
    <w:rsid w:val="00580373"/>
    <w:rsid w:val="0058058E"/>
    <w:rsid w:val="00580A8C"/>
    <w:rsid w:val="00582AEB"/>
    <w:rsid w:val="00592B62"/>
    <w:rsid w:val="00593006"/>
    <w:rsid w:val="00593D0D"/>
    <w:rsid w:val="00593EF4"/>
    <w:rsid w:val="00595477"/>
    <w:rsid w:val="00595E67"/>
    <w:rsid w:val="005A1DE8"/>
    <w:rsid w:val="005A2FEC"/>
    <w:rsid w:val="005A316C"/>
    <w:rsid w:val="005A4966"/>
    <w:rsid w:val="005A761F"/>
    <w:rsid w:val="005B046E"/>
    <w:rsid w:val="005B0575"/>
    <w:rsid w:val="005B12B9"/>
    <w:rsid w:val="005B18AC"/>
    <w:rsid w:val="005B1957"/>
    <w:rsid w:val="005B1E52"/>
    <w:rsid w:val="005B4F61"/>
    <w:rsid w:val="005B550F"/>
    <w:rsid w:val="005B55C8"/>
    <w:rsid w:val="005C0CA7"/>
    <w:rsid w:val="005C1988"/>
    <w:rsid w:val="005C1AE7"/>
    <w:rsid w:val="005D1F0A"/>
    <w:rsid w:val="005D360F"/>
    <w:rsid w:val="005D3856"/>
    <w:rsid w:val="005D5E14"/>
    <w:rsid w:val="005D7735"/>
    <w:rsid w:val="005E1B10"/>
    <w:rsid w:val="005E220F"/>
    <w:rsid w:val="005E4CF3"/>
    <w:rsid w:val="005E787B"/>
    <w:rsid w:val="005F44DC"/>
    <w:rsid w:val="005F453E"/>
    <w:rsid w:val="005F4810"/>
    <w:rsid w:val="005F72A0"/>
    <w:rsid w:val="00606808"/>
    <w:rsid w:val="00606E28"/>
    <w:rsid w:val="006079E7"/>
    <w:rsid w:val="006104FC"/>
    <w:rsid w:val="00613951"/>
    <w:rsid w:val="006176B5"/>
    <w:rsid w:val="00617ADC"/>
    <w:rsid w:val="006217E5"/>
    <w:rsid w:val="006247D0"/>
    <w:rsid w:val="00625A6C"/>
    <w:rsid w:val="00627DC6"/>
    <w:rsid w:val="006314C5"/>
    <w:rsid w:val="00631D42"/>
    <w:rsid w:val="006329D1"/>
    <w:rsid w:val="00633616"/>
    <w:rsid w:val="0063390C"/>
    <w:rsid w:val="00634A0E"/>
    <w:rsid w:val="00634FF4"/>
    <w:rsid w:val="00636A16"/>
    <w:rsid w:val="00636D88"/>
    <w:rsid w:val="006370AD"/>
    <w:rsid w:val="00637712"/>
    <w:rsid w:val="00641D11"/>
    <w:rsid w:val="0064398E"/>
    <w:rsid w:val="0064400A"/>
    <w:rsid w:val="00645F2A"/>
    <w:rsid w:val="006464B0"/>
    <w:rsid w:val="00650550"/>
    <w:rsid w:val="00651293"/>
    <w:rsid w:val="00651433"/>
    <w:rsid w:val="00654095"/>
    <w:rsid w:val="00654F71"/>
    <w:rsid w:val="006568AF"/>
    <w:rsid w:val="006571C3"/>
    <w:rsid w:val="00657822"/>
    <w:rsid w:val="00660473"/>
    <w:rsid w:val="0066329D"/>
    <w:rsid w:val="00663BD1"/>
    <w:rsid w:val="00665C72"/>
    <w:rsid w:val="00665D3C"/>
    <w:rsid w:val="006661BD"/>
    <w:rsid w:val="00670567"/>
    <w:rsid w:val="006712FB"/>
    <w:rsid w:val="0067513B"/>
    <w:rsid w:val="00680DFD"/>
    <w:rsid w:val="0068144C"/>
    <w:rsid w:val="0068202B"/>
    <w:rsid w:val="00684FD0"/>
    <w:rsid w:val="0068530E"/>
    <w:rsid w:val="006856A5"/>
    <w:rsid w:val="00687203"/>
    <w:rsid w:val="00690876"/>
    <w:rsid w:val="00691B12"/>
    <w:rsid w:val="006929EF"/>
    <w:rsid w:val="0069613F"/>
    <w:rsid w:val="00696D2F"/>
    <w:rsid w:val="006978FF"/>
    <w:rsid w:val="006A13BB"/>
    <w:rsid w:val="006A1428"/>
    <w:rsid w:val="006A1768"/>
    <w:rsid w:val="006A21A8"/>
    <w:rsid w:val="006A275C"/>
    <w:rsid w:val="006A751D"/>
    <w:rsid w:val="006B29BC"/>
    <w:rsid w:val="006B3075"/>
    <w:rsid w:val="006B4A79"/>
    <w:rsid w:val="006B5875"/>
    <w:rsid w:val="006B6A7C"/>
    <w:rsid w:val="006B6D35"/>
    <w:rsid w:val="006B723F"/>
    <w:rsid w:val="006C04A0"/>
    <w:rsid w:val="006C2303"/>
    <w:rsid w:val="006C3643"/>
    <w:rsid w:val="006C6CD4"/>
    <w:rsid w:val="006C79BF"/>
    <w:rsid w:val="006D01A9"/>
    <w:rsid w:val="006D02E4"/>
    <w:rsid w:val="006E0138"/>
    <w:rsid w:val="006E11C1"/>
    <w:rsid w:val="006E1DBA"/>
    <w:rsid w:val="006E4372"/>
    <w:rsid w:val="006F2A44"/>
    <w:rsid w:val="006F3958"/>
    <w:rsid w:val="006F4793"/>
    <w:rsid w:val="006F4C82"/>
    <w:rsid w:val="00700536"/>
    <w:rsid w:val="0070068D"/>
    <w:rsid w:val="00701171"/>
    <w:rsid w:val="007044D5"/>
    <w:rsid w:val="007062DB"/>
    <w:rsid w:val="007117F1"/>
    <w:rsid w:val="00713AE3"/>
    <w:rsid w:val="00713B4A"/>
    <w:rsid w:val="00713CF3"/>
    <w:rsid w:val="00714546"/>
    <w:rsid w:val="00715C93"/>
    <w:rsid w:val="007178D6"/>
    <w:rsid w:val="00717996"/>
    <w:rsid w:val="0072467E"/>
    <w:rsid w:val="00724716"/>
    <w:rsid w:val="0072699B"/>
    <w:rsid w:val="00731A5E"/>
    <w:rsid w:val="00732BD0"/>
    <w:rsid w:val="007348AD"/>
    <w:rsid w:val="00734BD9"/>
    <w:rsid w:val="007358E2"/>
    <w:rsid w:val="00736EAD"/>
    <w:rsid w:val="007376CC"/>
    <w:rsid w:val="00740848"/>
    <w:rsid w:val="007416BB"/>
    <w:rsid w:val="00741B9E"/>
    <w:rsid w:val="00742F47"/>
    <w:rsid w:val="0074334E"/>
    <w:rsid w:val="007441B6"/>
    <w:rsid w:val="007473D7"/>
    <w:rsid w:val="00747AA4"/>
    <w:rsid w:val="0075215D"/>
    <w:rsid w:val="00752CAB"/>
    <w:rsid w:val="00754429"/>
    <w:rsid w:val="00755E0C"/>
    <w:rsid w:val="00757AB8"/>
    <w:rsid w:val="007601F3"/>
    <w:rsid w:val="0076106B"/>
    <w:rsid w:val="00761449"/>
    <w:rsid w:val="007639F6"/>
    <w:rsid w:val="00763B79"/>
    <w:rsid w:val="00765D8B"/>
    <w:rsid w:val="00767C7C"/>
    <w:rsid w:val="0077215A"/>
    <w:rsid w:val="00773FEF"/>
    <w:rsid w:val="007741D0"/>
    <w:rsid w:val="00780325"/>
    <w:rsid w:val="00781047"/>
    <w:rsid w:val="00781F78"/>
    <w:rsid w:val="00784986"/>
    <w:rsid w:val="00784B00"/>
    <w:rsid w:val="00785324"/>
    <w:rsid w:val="00787E97"/>
    <w:rsid w:val="00792359"/>
    <w:rsid w:val="007934D3"/>
    <w:rsid w:val="00795B33"/>
    <w:rsid w:val="0079699C"/>
    <w:rsid w:val="007969A5"/>
    <w:rsid w:val="007A15A0"/>
    <w:rsid w:val="007A1980"/>
    <w:rsid w:val="007A31A3"/>
    <w:rsid w:val="007A5100"/>
    <w:rsid w:val="007A7697"/>
    <w:rsid w:val="007A7DA0"/>
    <w:rsid w:val="007B097A"/>
    <w:rsid w:val="007B1662"/>
    <w:rsid w:val="007B3A5E"/>
    <w:rsid w:val="007B3D99"/>
    <w:rsid w:val="007B3F01"/>
    <w:rsid w:val="007B6E79"/>
    <w:rsid w:val="007C0216"/>
    <w:rsid w:val="007C1235"/>
    <w:rsid w:val="007C1246"/>
    <w:rsid w:val="007C26F0"/>
    <w:rsid w:val="007C2A5B"/>
    <w:rsid w:val="007C3152"/>
    <w:rsid w:val="007C3619"/>
    <w:rsid w:val="007C4757"/>
    <w:rsid w:val="007C6CAF"/>
    <w:rsid w:val="007C7B5C"/>
    <w:rsid w:val="007D08FE"/>
    <w:rsid w:val="007D11FB"/>
    <w:rsid w:val="007D4247"/>
    <w:rsid w:val="007D71A9"/>
    <w:rsid w:val="007D7993"/>
    <w:rsid w:val="007E263E"/>
    <w:rsid w:val="007E2CAB"/>
    <w:rsid w:val="007E4045"/>
    <w:rsid w:val="007E46BB"/>
    <w:rsid w:val="007E747F"/>
    <w:rsid w:val="007F0E15"/>
    <w:rsid w:val="007F0F88"/>
    <w:rsid w:val="007F267A"/>
    <w:rsid w:val="007F2F1F"/>
    <w:rsid w:val="007F3022"/>
    <w:rsid w:val="007F3037"/>
    <w:rsid w:val="007F3965"/>
    <w:rsid w:val="007F3D8B"/>
    <w:rsid w:val="007F4568"/>
    <w:rsid w:val="007F474E"/>
    <w:rsid w:val="007F75B7"/>
    <w:rsid w:val="00800C5B"/>
    <w:rsid w:val="00803067"/>
    <w:rsid w:val="00805BF3"/>
    <w:rsid w:val="00806B92"/>
    <w:rsid w:val="008072AE"/>
    <w:rsid w:val="008078B9"/>
    <w:rsid w:val="00810901"/>
    <w:rsid w:val="0081332A"/>
    <w:rsid w:val="008136E9"/>
    <w:rsid w:val="00816AAF"/>
    <w:rsid w:val="008176F3"/>
    <w:rsid w:val="0082008C"/>
    <w:rsid w:val="008213E1"/>
    <w:rsid w:val="00822A81"/>
    <w:rsid w:val="00824248"/>
    <w:rsid w:val="008251B2"/>
    <w:rsid w:val="00826750"/>
    <w:rsid w:val="0082687D"/>
    <w:rsid w:val="008278C6"/>
    <w:rsid w:val="00831622"/>
    <w:rsid w:val="00833C2A"/>
    <w:rsid w:val="0083405A"/>
    <w:rsid w:val="0083446A"/>
    <w:rsid w:val="00835A5E"/>
    <w:rsid w:val="00837340"/>
    <w:rsid w:val="0083767F"/>
    <w:rsid w:val="00837AE9"/>
    <w:rsid w:val="00837EBA"/>
    <w:rsid w:val="0084023B"/>
    <w:rsid w:val="008413FD"/>
    <w:rsid w:val="008423F8"/>
    <w:rsid w:val="0084338B"/>
    <w:rsid w:val="008436C6"/>
    <w:rsid w:val="00845D29"/>
    <w:rsid w:val="00845FD8"/>
    <w:rsid w:val="00852BBB"/>
    <w:rsid w:val="00854261"/>
    <w:rsid w:val="008551D0"/>
    <w:rsid w:val="00857887"/>
    <w:rsid w:val="00860929"/>
    <w:rsid w:val="0086095E"/>
    <w:rsid w:val="008646D3"/>
    <w:rsid w:val="0086581D"/>
    <w:rsid w:val="00867E6B"/>
    <w:rsid w:val="00872C1A"/>
    <w:rsid w:val="00873933"/>
    <w:rsid w:val="0087549C"/>
    <w:rsid w:val="00876142"/>
    <w:rsid w:val="0087717F"/>
    <w:rsid w:val="00877257"/>
    <w:rsid w:val="0088699E"/>
    <w:rsid w:val="008872AA"/>
    <w:rsid w:val="00890176"/>
    <w:rsid w:val="008910B0"/>
    <w:rsid w:val="0089373B"/>
    <w:rsid w:val="008A1DCA"/>
    <w:rsid w:val="008A36E0"/>
    <w:rsid w:val="008A371A"/>
    <w:rsid w:val="008A6255"/>
    <w:rsid w:val="008B0DED"/>
    <w:rsid w:val="008B22EB"/>
    <w:rsid w:val="008B2BE1"/>
    <w:rsid w:val="008B45F4"/>
    <w:rsid w:val="008B4A4C"/>
    <w:rsid w:val="008B6886"/>
    <w:rsid w:val="008B7101"/>
    <w:rsid w:val="008C30D6"/>
    <w:rsid w:val="008C34B4"/>
    <w:rsid w:val="008C5CA1"/>
    <w:rsid w:val="008C6CB0"/>
    <w:rsid w:val="008D1757"/>
    <w:rsid w:val="008D397E"/>
    <w:rsid w:val="008D3A3F"/>
    <w:rsid w:val="008D409A"/>
    <w:rsid w:val="008E2495"/>
    <w:rsid w:val="008E29E0"/>
    <w:rsid w:val="008E2C15"/>
    <w:rsid w:val="008F1014"/>
    <w:rsid w:val="008F1C20"/>
    <w:rsid w:val="008F3856"/>
    <w:rsid w:val="008F3E0A"/>
    <w:rsid w:val="008F48AB"/>
    <w:rsid w:val="008F5850"/>
    <w:rsid w:val="008F610E"/>
    <w:rsid w:val="008F624D"/>
    <w:rsid w:val="008F797F"/>
    <w:rsid w:val="00900E55"/>
    <w:rsid w:val="009016F2"/>
    <w:rsid w:val="00901DAE"/>
    <w:rsid w:val="00904016"/>
    <w:rsid w:val="00905FC0"/>
    <w:rsid w:val="00906CB7"/>
    <w:rsid w:val="00910E62"/>
    <w:rsid w:val="009121F5"/>
    <w:rsid w:val="00912272"/>
    <w:rsid w:val="0091380C"/>
    <w:rsid w:val="00915663"/>
    <w:rsid w:val="00920713"/>
    <w:rsid w:val="00921DB3"/>
    <w:rsid w:val="00922D4C"/>
    <w:rsid w:val="00923737"/>
    <w:rsid w:val="00924F0A"/>
    <w:rsid w:val="0092503A"/>
    <w:rsid w:val="0092566B"/>
    <w:rsid w:val="00925E6F"/>
    <w:rsid w:val="00926A05"/>
    <w:rsid w:val="00931022"/>
    <w:rsid w:val="00933BC2"/>
    <w:rsid w:val="00934B2A"/>
    <w:rsid w:val="00940166"/>
    <w:rsid w:val="00944060"/>
    <w:rsid w:val="00944E54"/>
    <w:rsid w:val="00950A0D"/>
    <w:rsid w:val="009565FE"/>
    <w:rsid w:val="00956C46"/>
    <w:rsid w:val="00961360"/>
    <w:rsid w:val="00963D41"/>
    <w:rsid w:val="00966D21"/>
    <w:rsid w:val="00967F7F"/>
    <w:rsid w:val="00971B7C"/>
    <w:rsid w:val="0097274C"/>
    <w:rsid w:val="009731FC"/>
    <w:rsid w:val="00973E73"/>
    <w:rsid w:val="00974640"/>
    <w:rsid w:val="009750CC"/>
    <w:rsid w:val="009752DE"/>
    <w:rsid w:val="00975419"/>
    <w:rsid w:val="00975F2E"/>
    <w:rsid w:val="0097675E"/>
    <w:rsid w:val="00976824"/>
    <w:rsid w:val="00980691"/>
    <w:rsid w:val="00982A07"/>
    <w:rsid w:val="00982E77"/>
    <w:rsid w:val="0098378E"/>
    <w:rsid w:val="009848AB"/>
    <w:rsid w:val="00984AA8"/>
    <w:rsid w:val="00984E6E"/>
    <w:rsid w:val="00985B3E"/>
    <w:rsid w:val="00987C0F"/>
    <w:rsid w:val="00991434"/>
    <w:rsid w:val="00991F3E"/>
    <w:rsid w:val="009951DC"/>
    <w:rsid w:val="00995C14"/>
    <w:rsid w:val="00997F7B"/>
    <w:rsid w:val="009A0497"/>
    <w:rsid w:val="009A2013"/>
    <w:rsid w:val="009A3941"/>
    <w:rsid w:val="009A3DA0"/>
    <w:rsid w:val="009A46CA"/>
    <w:rsid w:val="009B2888"/>
    <w:rsid w:val="009B4919"/>
    <w:rsid w:val="009B7952"/>
    <w:rsid w:val="009B7AF5"/>
    <w:rsid w:val="009B7C93"/>
    <w:rsid w:val="009C10E9"/>
    <w:rsid w:val="009C21EC"/>
    <w:rsid w:val="009D0796"/>
    <w:rsid w:val="009D185D"/>
    <w:rsid w:val="009D3FE8"/>
    <w:rsid w:val="009D447C"/>
    <w:rsid w:val="009D4F87"/>
    <w:rsid w:val="009D73B6"/>
    <w:rsid w:val="009D75B5"/>
    <w:rsid w:val="009E2FB5"/>
    <w:rsid w:val="009E38A1"/>
    <w:rsid w:val="009E5B15"/>
    <w:rsid w:val="009F3745"/>
    <w:rsid w:val="009F3BBB"/>
    <w:rsid w:val="009F62B3"/>
    <w:rsid w:val="009F7CCA"/>
    <w:rsid w:val="00A0045A"/>
    <w:rsid w:val="00A00485"/>
    <w:rsid w:val="00A03920"/>
    <w:rsid w:val="00A03F9F"/>
    <w:rsid w:val="00A04356"/>
    <w:rsid w:val="00A0625F"/>
    <w:rsid w:val="00A07827"/>
    <w:rsid w:val="00A079F7"/>
    <w:rsid w:val="00A1043B"/>
    <w:rsid w:val="00A114B8"/>
    <w:rsid w:val="00A12C95"/>
    <w:rsid w:val="00A13C3D"/>
    <w:rsid w:val="00A17187"/>
    <w:rsid w:val="00A17C5F"/>
    <w:rsid w:val="00A205B3"/>
    <w:rsid w:val="00A21EEA"/>
    <w:rsid w:val="00A24117"/>
    <w:rsid w:val="00A24884"/>
    <w:rsid w:val="00A250B6"/>
    <w:rsid w:val="00A2558A"/>
    <w:rsid w:val="00A25C49"/>
    <w:rsid w:val="00A26253"/>
    <w:rsid w:val="00A27174"/>
    <w:rsid w:val="00A328ED"/>
    <w:rsid w:val="00A32DA3"/>
    <w:rsid w:val="00A34AC9"/>
    <w:rsid w:val="00A34E7D"/>
    <w:rsid w:val="00A37EDE"/>
    <w:rsid w:val="00A4029F"/>
    <w:rsid w:val="00A420C5"/>
    <w:rsid w:val="00A43216"/>
    <w:rsid w:val="00A437A8"/>
    <w:rsid w:val="00A466C9"/>
    <w:rsid w:val="00A46D04"/>
    <w:rsid w:val="00A47960"/>
    <w:rsid w:val="00A47EE8"/>
    <w:rsid w:val="00A502CD"/>
    <w:rsid w:val="00A53848"/>
    <w:rsid w:val="00A56D21"/>
    <w:rsid w:val="00A578F9"/>
    <w:rsid w:val="00A57ADC"/>
    <w:rsid w:val="00A57AFB"/>
    <w:rsid w:val="00A6130F"/>
    <w:rsid w:val="00A6228E"/>
    <w:rsid w:val="00A62317"/>
    <w:rsid w:val="00A63D89"/>
    <w:rsid w:val="00A63E81"/>
    <w:rsid w:val="00A64231"/>
    <w:rsid w:val="00A655DE"/>
    <w:rsid w:val="00A66940"/>
    <w:rsid w:val="00A672C4"/>
    <w:rsid w:val="00A703BD"/>
    <w:rsid w:val="00A7294F"/>
    <w:rsid w:val="00A743BA"/>
    <w:rsid w:val="00A7664F"/>
    <w:rsid w:val="00A76DC8"/>
    <w:rsid w:val="00A77984"/>
    <w:rsid w:val="00A77A47"/>
    <w:rsid w:val="00A815A7"/>
    <w:rsid w:val="00A82819"/>
    <w:rsid w:val="00A8457B"/>
    <w:rsid w:val="00A85988"/>
    <w:rsid w:val="00A863BD"/>
    <w:rsid w:val="00A86876"/>
    <w:rsid w:val="00A872B4"/>
    <w:rsid w:val="00A91106"/>
    <w:rsid w:val="00A9147E"/>
    <w:rsid w:val="00A9278C"/>
    <w:rsid w:val="00A93571"/>
    <w:rsid w:val="00A93918"/>
    <w:rsid w:val="00A97D37"/>
    <w:rsid w:val="00AA0341"/>
    <w:rsid w:val="00AA0E21"/>
    <w:rsid w:val="00AA3960"/>
    <w:rsid w:val="00AA63F7"/>
    <w:rsid w:val="00AB00DE"/>
    <w:rsid w:val="00AB11C6"/>
    <w:rsid w:val="00AB264D"/>
    <w:rsid w:val="00AB73B5"/>
    <w:rsid w:val="00AC0E3A"/>
    <w:rsid w:val="00AC1A1F"/>
    <w:rsid w:val="00AC1F16"/>
    <w:rsid w:val="00AC1FAC"/>
    <w:rsid w:val="00AC2C83"/>
    <w:rsid w:val="00AD0171"/>
    <w:rsid w:val="00AD0577"/>
    <w:rsid w:val="00AD1024"/>
    <w:rsid w:val="00AD2D9B"/>
    <w:rsid w:val="00AD352B"/>
    <w:rsid w:val="00AD495E"/>
    <w:rsid w:val="00AD5F46"/>
    <w:rsid w:val="00AD6D8D"/>
    <w:rsid w:val="00AE08C8"/>
    <w:rsid w:val="00AE0DDF"/>
    <w:rsid w:val="00AE0F9F"/>
    <w:rsid w:val="00AE1756"/>
    <w:rsid w:val="00AE46EA"/>
    <w:rsid w:val="00AE48B9"/>
    <w:rsid w:val="00AF1D0D"/>
    <w:rsid w:val="00AF2742"/>
    <w:rsid w:val="00AF35DB"/>
    <w:rsid w:val="00AF6A39"/>
    <w:rsid w:val="00AF6A62"/>
    <w:rsid w:val="00B020CD"/>
    <w:rsid w:val="00B02B35"/>
    <w:rsid w:val="00B02E0F"/>
    <w:rsid w:val="00B038F7"/>
    <w:rsid w:val="00B0399D"/>
    <w:rsid w:val="00B11E30"/>
    <w:rsid w:val="00B152E8"/>
    <w:rsid w:val="00B15888"/>
    <w:rsid w:val="00B162B8"/>
    <w:rsid w:val="00B20CC0"/>
    <w:rsid w:val="00B21619"/>
    <w:rsid w:val="00B22D4F"/>
    <w:rsid w:val="00B23666"/>
    <w:rsid w:val="00B25EE9"/>
    <w:rsid w:val="00B271E3"/>
    <w:rsid w:val="00B3046D"/>
    <w:rsid w:val="00B35EE5"/>
    <w:rsid w:val="00B416C8"/>
    <w:rsid w:val="00B42B41"/>
    <w:rsid w:val="00B447CB"/>
    <w:rsid w:val="00B45E4F"/>
    <w:rsid w:val="00B50E74"/>
    <w:rsid w:val="00B52E9F"/>
    <w:rsid w:val="00B535C3"/>
    <w:rsid w:val="00B560B7"/>
    <w:rsid w:val="00B56B2C"/>
    <w:rsid w:val="00B5737F"/>
    <w:rsid w:val="00B60684"/>
    <w:rsid w:val="00B6337F"/>
    <w:rsid w:val="00B66CB8"/>
    <w:rsid w:val="00B70AB4"/>
    <w:rsid w:val="00B714B9"/>
    <w:rsid w:val="00B71C15"/>
    <w:rsid w:val="00B71DDA"/>
    <w:rsid w:val="00B73DFE"/>
    <w:rsid w:val="00B8065E"/>
    <w:rsid w:val="00B84EFC"/>
    <w:rsid w:val="00B867AF"/>
    <w:rsid w:val="00B87F9B"/>
    <w:rsid w:val="00B90655"/>
    <w:rsid w:val="00B90EBF"/>
    <w:rsid w:val="00B91131"/>
    <w:rsid w:val="00B929A1"/>
    <w:rsid w:val="00B93019"/>
    <w:rsid w:val="00B94505"/>
    <w:rsid w:val="00B94880"/>
    <w:rsid w:val="00B94A6A"/>
    <w:rsid w:val="00B9506F"/>
    <w:rsid w:val="00B9548C"/>
    <w:rsid w:val="00B959A5"/>
    <w:rsid w:val="00B95BF9"/>
    <w:rsid w:val="00B96AF5"/>
    <w:rsid w:val="00BA0D88"/>
    <w:rsid w:val="00BA0EF1"/>
    <w:rsid w:val="00BA11F1"/>
    <w:rsid w:val="00BA19E5"/>
    <w:rsid w:val="00BA2766"/>
    <w:rsid w:val="00BA2B58"/>
    <w:rsid w:val="00BA2D71"/>
    <w:rsid w:val="00BA58B0"/>
    <w:rsid w:val="00BA754F"/>
    <w:rsid w:val="00BB1705"/>
    <w:rsid w:val="00BB25DE"/>
    <w:rsid w:val="00BB492E"/>
    <w:rsid w:val="00BB4BDF"/>
    <w:rsid w:val="00BB6489"/>
    <w:rsid w:val="00BB766F"/>
    <w:rsid w:val="00BC1EC8"/>
    <w:rsid w:val="00BC2BA0"/>
    <w:rsid w:val="00BC2E4F"/>
    <w:rsid w:val="00BC2F50"/>
    <w:rsid w:val="00BC3587"/>
    <w:rsid w:val="00BC4909"/>
    <w:rsid w:val="00BC59C7"/>
    <w:rsid w:val="00BD04F6"/>
    <w:rsid w:val="00BD0E4B"/>
    <w:rsid w:val="00BD44CA"/>
    <w:rsid w:val="00BD67CA"/>
    <w:rsid w:val="00BD7722"/>
    <w:rsid w:val="00BE16F1"/>
    <w:rsid w:val="00BE259F"/>
    <w:rsid w:val="00BF0078"/>
    <w:rsid w:val="00BF29AC"/>
    <w:rsid w:val="00BF4080"/>
    <w:rsid w:val="00BF5114"/>
    <w:rsid w:val="00C02F29"/>
    <w:rsid w:val="00C0330A"/>
    <w:rsid w:val="00C0543C"/>
    <w:rsid w:val="00C055CA"/>
    <w:rsid w:val="00C13586"/>
    <w:rsid w:val="00C13B98"/>
    <w:rsid w:val="00C165A0"/>
    <w:rsid w:val="00C20259"/>
    <w:rsid w:val="00C2195F"/>
    <w:rsid w:val="00C22F47"/>
    <w:rsid w:val="00C23374"/>
    <w:rsid w:val="00C25ADE"/>
    <w:rsid w:val="00C2688B"/>
    <w:rsid w:val="00C269E2"/>
    <w:rsid w:val="00C27199"/>
    <w:rsid w:val="00C27EA7"/>
    <w:rsid w:val="00C30322"/>
    <w:rsid w:val="00C34968"/>
    <w:rsid w:val="00C362FA"/>
    <w:rsid w:val="00C36C8A"/>
    <w:rsid w:val="00C36D0A"/>
    <w:rsid w:val="00C407A7"/>
    <w:rsid w:val="00C414AC"/>
    <w:rsid w:val="00C446C4"/>
    <w:rsid w:val="00C44A20"/>
    <w:rsid w:val="00C44EF5"/>
    <w:rsid w:val="00C452DD"/>
    <w:rsid w:val="00C470ED"/>
    <w:rsid w:val="00C51102"/>
    <w:rsid w:val="00C5180D"/>
    <w:rsid w:val="00C51BDF"/>
    <w:rsid w:val="00C5219D"/>
    <w:rsid w:val="00C52730"/>
    <w:rsid w:val="00C538B2"/>
    <w:rsid w:val="00C539A9"/>
    <w:rsid w:val="00C54B5A"/>
    <w:rsid w:val="00C55394"/>
    <w:rsid w:val="00C57AAE"/>
    <w:rsid w:val="00C60B65"/>
    <w:rsid w:val="00C60F59"/>
    <w:rsid w:val="00C61B92"/>
    <w:rsid w:val="00C639C2"/>
    <w:rsid w:val="00C6459B"/>
    <w:rsid w:val="00C64F9F"/>
    <w:rsid w:val="00C67A3E"/>
    <w:rsid w:val="00C67CB8"/>
    <w:rsid w:val="00C705DD"/>
    <w:rsid w:val="00C7091E"/>
    <w:rsid w:val="00C70D54"/>
    <w:rsid w:val="00C70E6D"/>
    <w:rsid w:val="00C720AE"/>
    <w:rsid w:val="00C73D6E"/>
    <w:rsid w:val="00C73DB6"/>
    <w:rsid w:val="00C74A91"/>
    <w:rsid w:val="00C77F8A"/>
    <w:rsid w:val="00C8091A"/>
    <w:rsid w:val="00C80CE3"/>
    <w:rsid w:val="00C81F26"/>
    <w:rsid w:val="00C84038"/>
    <w:rsid w:val="00C8452F"/>
    <w:rsid w:val="00C85C8B"/>
    <w:rsid w:val="00C86356"/>
    <w:rsid w:val="00C86B9C"/>
    <w:rsid w:val="00C87246"/>
    <w:rsid w:val="00C87B38"/>
    <w:rsid w:val="00C9043D"/>
    <w:rsid w:val="00C90798"/>
    <w:rsid w:val="00C91A29"/>
    <w:rsid w:val="00C93367"/>
    <w:rsid w:val="00C934B2"/>
    <w:rsid w:val="00C93500"/>
    <w:rsid w:val="00C9385F"/>
    <w:rsid w:val="00C93C63"/>
    <w:rsid w:val="00C9422A"/>
    <w:rsid w:val="00C94CCA"/>
    <w:rsid w:val="00C95449"/>
    <w:rsid w:val="00CA1166"/>
    <w:rsid w:val="00CA1C54"/>
    <w:rsid w:val="00CA1C5A"/>
    <w:rsid w:val="00CA1E3D"/>
    <w:rsid w:val="00CB011B"/>
    <w:rsid w:val="00CB0476"/>
    <w:rsid w:val="00CB0D85"/>
    <w:rsid w:val="00CB162C"/>
    <w:rsid w:val="00CB1DCE"/>
    <w:rsid w:val="00CB2FB9"/>
    <w:rsid w:val="00CB461D"/>
    <w:rsid w:val="00CB675A"/>
    <w:rsid w:val="00CB7CFF"/>
    <w:rsid w:val="00CC01F0"/>
    <w:rsid w:val="00CC087A"/>
    <w:rsid w:val="00CC34D2"/>
    <w:rsid w:val="00CC440D"/>
    <w:rsid w:val="00CC59A4"/>
    <w:rsid w:val="00CC6AF9"/>
    <w:rsid w:val="00CC7D2B"/>
    <w:rsid w:val="00CD07F3"/>
    <w:rsid w:val="00CD1020"/>
    <w:rsid w:val="00CD316D"/>
    <w:rsid w:val="00CD3226"/>
    <w:rsid w:val="00CD3CBC"/>
    <w:rsid w:val="00CD4ED8"/>
    <w:rsid w:val="00CD6C23"/>
    <w:rsid w:val="00CD6F67"/>
    <w:rsid w:val="00CD6FDA"/>
    <w:rsid w:val="00CE0073"/>
    <w:rsid w:val="00CE1B1D"/>
    <w:rsid w:val="00CE3D5B"/>
    <w:rsid w:val="00CE527C"/>
    <w:rsid w:val="00CF293D"/>
    <w:rsid w:val="00CF309B"/>
    <w:rsid w:val="00CF5507"/>
    <w:rsid w:val="00D010F8"/>
    <w:rsid w:val="00D02A6C"/>
    <w:rsid w:val="00D030A8"/>
    <w:rsid w:val="00D03F9C"/>
    <w:rsid w:val="00D041AF"/>
    <w:rsid w:val="00D05194"/>
    <w:rsid w:val="00D1046E"/>
    <w:rsid w:val="00D1098A"/>
    <w:rsid w:val="00D10AFA"/>
    <w:rsid w:val="00D10C8D"/>
    <w:rsid w:val="00D117F5"/>
    <w:rsid w:val="00D153A3"/>
    <w:rsid w:val="00D15905"/>
    <w:rsid w:val="00D16FC4"/>
    <w:rsid w:val="00D17307"/>
    <w:rsid w:val="00D2018E"/>
    <w:rsid w:val="00D2099C"/>
    <w:rsid w:val="00D209FA"/>
    <w:rsid w:val="00D21B5A"/>
    <w:rsid w:val="00D22B6B"/>
    <w:rsid w:val="00D23435"/>
    <w:rsid w:val="00D23EE5"/>
    <w:rsid w:val="00D2534D"/>
    <w:rsid w:val="00D2555B"/>
    <w:rsid w:val="00D26E9D"/>
    <w:rsid w:val="00D304A1"/>
    <w:rsid w:val="00D32C5E"/>
    <w:rsid w:val="00D32C8E"/>
    <w:rsid w:val="00D3373E"/>
    <w:rsid w:val="00D34C73"/>
    <w:rsid w:val="00D34FA7"/>
    <w:rsid w:val="00D36A79"/>
    <w:rsid w:val="00D40783"/>
    <w:rsid w:val="00D41FBB"/>
    <w:rsid w:val="00D4244E"/>
    <w:rsid w:val="00D42514"/>
    <w:rsid w:val="00D429A9"/>
    <w:rsid w:val="00D445A3"/>
    <w:rsid w:val="00D44897"/>
    <w:rsid w:val="00D449F2"/>
    <w:rsid w:val="00D47D66"/>
    <w:rsid w:val="00D50FE8"/>
    <w:rsid w:val="00D52DC3"/>
    <w:rsid w:val="00D54B9B"/>
    <w:rsid w:val="00D54C25"/>
    <w:rsid w:val="00D55467"/>
    <w:rsid w:val="00D565B4"/>
    <w:rsid w:val="00D5781A"/>
    <w:rsid w:val="00D638CB"/>
    <w:rsid w:val="00D643DD"/>
    <w:rsid w:val="00D6580B"/>
    <w:rsid w:val="00D7094D"/>
    <w:rsid w:val="00D71660"/>
    <w:rsid w:val="00D718B9"/>
    <w:rsid w:val="00D72693"/>
    <w:rsid w:val="00D73C1B"/>
    <w:rsid w:val="00D7499B"/>
    <w:rsid w:val="00D7579D"/>
    <w:rsid w:val="00D76274"/>
    <w:rsid w:val="00D765C4"/>
    <w:rsid w:val="00D770DB"/>
    <w:rsid w:val="00D81272"/>
    <w:rsid w:val="00D81BA5"/>
    <w:rsid w:val="00D83AB2"/>
    <w:rsid w:val="00D8459A"/>
    <w:rsid w:val="00D8626A"/>
    <w:rsid w:val="00D86A6E"/>
    <w:rsid w:val="00D87C31"/>
    <w:rsid w:val="00D92517"/>
    <w:rsid w:val="00D929CB"/>
    <w:rsid w:val="00D92A79"/>
    <w:rsid w:val="00D93AEC"/>
    <w:rsid w:val="00D93CF6"/>
    <w:rsid w:val="00D93D8A"/>
    <w:rsid w:val="00D9527A"/>
    <w:rsid w:val="00D95700"/>
    <w:rsid w:val="00DA0673"/>
    <w:rsid w:val="00DA1739"/>
    <w:rsid w:val="00DA3A3C"/>
    <w:rsid w:val="00DA4B86"/>
    <w:rsid w:val="00DA5C01"/>
    <w:rsid w:val="00DA61AE"/>
    <w:rsid w:val="00DA6249"/>
    <w:rsid w:val="00DA6EB1"/>
    <w:rsid w:val="00DA7788"/>
    <w:rsid w:val="00DB1174"/>
    <w:rsid w:val="00DB5280"/>
    <w:rsid w:val="00DB6488"/>
    <w:rsid w:val="00DB6622"/>
    <w:rsid w:val="00DB7F07"/>
    <w:rsid w:val="00DC0129"/>
    <w:rsid w:val="00DC33C7"/>
    <w:rsid w:val="00DC37A6"/>
    <w:rsid w:val="00DC6049"/>
    <w:rsid w:val="00DC7644"/>
    <w:rsid w:val="00DD0D00"/>
    <w:rsid w:val="00DD1FB2"/>
    <w:rsid w:val="00DD3A9A"/>
    <w:rsid w:val="00DD5CAC"/>
    <w:rsid w:val="00DD5E7B"/>
    <w:rsid w:val="00DD6009"/>
    <w:rsid w:val="00DE1579"/>
    <w:rsid w:val="00DE2499"/>
    <w:rsid w:val="00DE24C0"/>
    <w:rsid w:val="00DE3DD5"/>
    <w:rsid w:val="00DE4605"/>
    <w:rsid w:val="00DE4A63"/>
    <w:rsid w:val="00DE79EA"/>
    <w:rsid w:val="00DF2153"/>
    <w:rsid w:val="00DF21F5"/>
    <w:rsid w:val="00DF22CD"/>
    <w:rsid w:val="00DF2D22"/>
    <w:rsid w:val="00DF35C0"/>
    <w:rsid w:val="00DF5F08"/>
    <w:rsid w:val="00E01FAE"/>
    <w:rsid w:val="00E04E50"/>
    <w:rsid w:val="00E12F49"/>
    <w:rsid w:val="00E147E9"/>
    <w:rsid w:val="00E16C70"/>
    <w:rsid w:val="00E1734D"/>
    <w:rsid w:val="00E17486"/>
    <w:rsid w:val="00E175B0"/>
    <w:rsid w:val="00E201CB"/>
    <w:rsid w:val="00E20202"/>
    <w:rsid w:val="00E21F98"/>
    <w:rsid w:val="00E2643C"/>
    <w:rsid w:val="00E266C4"/>
    <w:rsid w:val="00E31019"/>
    <w:rsid w:val="00E32D00"/>
    <w:rsid w:val="00E36C92"/>
    <w:rsid w:val="00E41D8E"/>
    <w:rsid w:val="00E433EA"/>
    <w:rsid w:val="00E4679E"/>
    <w:rsid w:val="00E46DAA"/>
    <w:rsid w:val="00E46ED2"/>
    <w:rsid w:val="00E5055B"/>
    <w:rsid w:val="00E5392F"/>
    <w:rsid w:val="00E55034"/>
    <w:rsid w:val="00E567D0"/>
    <w:rsid w:val="00E56F7A"/>
    <w:rsid w:val="00E576B2"/>
    <w:rsid w:val="00E601F6"/>
    <w:rsid w:val="00E603D5"/>
    <w:rsid w:val="00E62ADF"/>
    <w:rsid w:val="00E63861"/>
    <w:rsid w:val="00E64D61"/>
    <w:rsid w:val="00E655C5"/>
    <w:rsid w:val="00E65CB4"/>
    <w:rsid w:val="00E663D0"/>
    <w:rsid w:val="00E6741C"/>
    <w:rsid w:val="00E679B0"/>
    <w:rsid w:val="00E70CCE"/>
    <w:rsid w:val="00E71D6E"/>
    <w:rsid w:val="00E753BE"/>
    <w:rsid w:val="00E81CDD"/>
    <w:rsid w:val="00E83281"/>
    <w:rsid w:val="00E84D18"/>
    <w:rsid w:val="00E871D6"/>
    <w:rsid w:val="00E9133B"/>
    <w:rsid w:val="00E93BAF"/>
    <w:rsid w:val="00E956A8"/>
    <w:rsid w:val="00E95DFA"/>
    <w:rsid w:val="00E978C5"/>
    <w:rsid w:val="00EA08E1"/>
    <w:rsid w:val="00EA1CCE"/>
    <w:rsid w:val="00EA44EB"/>
    <w:rsid w:val="00EA56F2"/>
    <w:rsid w:val="00EA57AA"/>
    <w:rsid w:val="00EA5CF7"/>
    <w:rsid w:val="00EA7673"/>
    <w:rsid w:val="00EA7DCE"/>
    <w:rsid w:val="00EB1087"/>
    <w:rsid w:val="00EB4255"/>
    <w:rsid w:val="00EB5279"/>
    <w:rsid w:val="00EB75A9"/>
    <w:rsid w:val="00EC2BE0"/>
    <w:rsid w:val="00EC4B0B"/>
    <w:rsid w:val="00EC5CCE"/>
    <w:rsid w:val="00ED03AE"/>
    <w:rsid w:val="00ED11F6"/>
    <w:rsid w:val="00ED18F1"/>
    <w:rsid w:val="00ED32CE"/>
    <w:rsid w:val="00ED3EDF"/>
    <w:rsid w:val="00ED5143"/>
    <w:rsid w:val="00ED51C6"/>
    <w:rsid w:val="00ED5CD5"/>
    <w:rsid w:val="00ED6027"/>
    <w:rsid w:val="00EE0FB5"/>
    <w:rsid w:val="00EE14E4"/>
    <w:rsid w:val="00EE14EF"/>
    <w:rsid w:val="00EE166C"/>
    <w:rsid w:val="00EE1F4E"/>
    <w:rsid w:val="00EE2857"/>
    <w:rsid w:val="00EF4580"/>
    <w:rsid w:val="00EF6567"/>
    <w:rsid w:val="00F01963"/>
    <w:rsid w:val="00F0317A"/>
    <w:rsid w:val="00F03E6F"/>
    <w:rsid w:val="00F04DDA"/>
    <w:rsid w:val="00F04DE3"/>
    <w:rsid w:val="00F04E43"/>
    <w:rsid w:val="00F07463"/>
    <w:rsid w:val="00F11598"/>
    <w:rsid w:val="00F121D8"/>
    <w:rsid w:val="00F1343B"/>
    <w:rsid w:val="00F16653"/>
    <w:rsid w:val="00F17188"/>
    <w:rsid w:val="00F17CBE"/>
    <w:rsid w:val="00F201E0"/>
    <w:rsid w:val="00F20BD1"/>
    <w:rsid w:val="00F2113C"/>
    <w:rsid w:val="00F21D43"/>
    <w:rsid w:val="00F23B85"/>
    <w:rsid w:val="00F27467"/>
    <w:rsid w:val="00F27F56"/>
    <w:rsid w:val="00F32854"/>
    <w:rsid w:val="00F33D12"/>
    <w:rsid w:val="00F35175"/>
    <w:rsid w:val="00F411F5"/>
    <w:rsid w:val="00F432F8"/>
    <w:rsid w:val="00F45076"/>
    <w:rsid w:val="00F46551"/>
    <w:rsid w:val="00F51C95"/>
    <w:rsid w:val="00F524EB"/>
    <w:rsid w:val="00F53BA2"/>
    <w:rsid w:val="00F561BF"/>
    <w:rsid w:val="00F5642C"/>
    <w:rsid w:val="00F5686F"/>
    <w:rsid w:val="00F571A1"/>
    <w:rsid w:val="00F5796A"/>
    <w:rsid w:val="00F61176"/>
    <w:rsid w:val="00F61873"/>
    <w:rsid w:val="00F62EDE"/>
    <w:rsid w:val="00F6337A"/>
    <w:rsid w:val="00F63A4B"/>
    <w:rsid w:val="00F644C6"/>
    <w:rsid w:val="00F65FBF"/>
    <w:rsid w:val="00F664E3"/>
    <w:rsid w:val="00F666CF"/>
    <w:rsid w:val="00F67330"/>
    <w:rsid w:val="00F72B5A"/>
    <w:rsid w:val="00F73614"/>
    <w:rsid w:val="00F74D6C"/>
    <w:rsid w:val="00F7744E"/>
    <w:rsid w:val="00F7765C"/>
    <w:rsid w:val="00F77A7C"/>
    <w:rsid w:val="00F80FE6"/>
    <w:rsid w:val="00F8270D"/>
    <w:rsid w:val="00F8385D"/>
    <w:rsid w:val="00F83C02"/>
    <w:rsid w:val="00F845D8"/>
    <w:rsid w:val="00F8505E"/>
    <w:rsid w:val="00F8637F"/>
    <w:rsid w:val="00F87390"/>
    <w:rsid w:val="00F87A1C"/>
    <w:rsid w:val="00F90243"/>
    <w:rsid w:val="00F93A8F"/>
    <w:rsid w:val="00F93EE3"/>
    <w:rsid w:val="00F94643"/>
    <w:rsid w:val="00F95F4A"/>
    <w:rsid w:val="00F96BA0"/>
    <w:rsid w:val="00F97A35"/>
    <w:rsid w:val="00FA03AE"/>
    <w:rsid w:val="00FA0469"/>
    <w:rsid w:val="00FA0BC2"/>
    <w:rsid w:val="00FA0C27"/>
    <w:rsid w:val="00FA1E4F"/>
    <w:rsid w:val="00FA24D4"/>
    <w:rsid w:val="00FA2DF6"/>
    <w:rsid w:val="00FA6021"/>
    <w:rsid w:val="00FA7074"/>
    <w:rsid w:val="00FA736E"/>
    <w:rsid w:val="00FA78FE"/>
    <w:rsid w:val="00FB1C77"/>
    <w:rsid w:val="00FB4B4E"/>
    <w:rsid w:val="00FB5504"/>
    <w:rsid w:val="00FC06B4"/>
    <w:rsid w:val="00FC0981"/>
    <w:rsid w:val="00FC2809"/>
    <w:rsid w:val="00FC6A80"/>
    <w:rsid w:val="00FD17E5"/>
    <w:rsid w:val="00FD20BB"/>
    <w:rsid w:val="00FD2291"/>
    <w:rsid w:val="00FD399B"/>
    <w:rsid w:val="00FD399F"/>
    <w:rsid w:val="00FD4029"/>
    <w:rsid w:val="00FD4F24"/>
    <w:rsid w:val="00FD5303"/>
    <w:rsid w:val="00FD5798"/>
    <w:rsid w:val="00FD69BD"/>
    <w:rsid w:val="00FE136B"/>
    <w:rsid w:val="00FE2D68"/>
    <w:rsid w:val="00FE348E"/>
    <w:rsid w:val="00FE36AF"/>
    <w:rsid w:val="00FE3A65"/>
    <w:rsid w:val="00FE4B6B"/>
    <w:rsid w:val="00FE7E12"/>
    <w:rsid w:val="00FF4108"/>
    <w:rsid w:val="00FF41DE"/>
    <w:rsid w:val="00FF46BA"/>
    <w:rsid w:val="00FF4E27"/>
    <w:rsid w:val="00FF50CD"/>
    <w:rsid w:val="00FF629F"/>
    <w:rsid w:val="00FF6EBC"/>
    <w:rsid w:val="00FF7065"/>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246EA6"/>
  <w15:docId w15:val="{B99BC98C-756A-48AD-800C-146370D3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0B6"/>
    <w:rPr>
      <w:lang w:eastAsia="es-ES"/>
    </w:rPr>
  </w:style>
  <w:style w:type="paragraph" w:styleId="Ttulo1">
    <w:name w:val="heading 1"/>
    <w:basedOn w:val="Normal"/>
    <w:next w:val="Normal"/>
    <w:qFormat/>
    <w:rsid w:val="00A250B6"/>
    <w:pPr>
      <w:keepNext/>
      <w:ind w:left="360"/>
      <w:jc w:val="both"/>
      <w:outlineLvl w:val="0"/>
    </w:pPr>
    <w:rPr>
      <w:sz w:val="24"/>
      <w:lang w:val="es-ES_tradnl"/>
    </w:rPr>
  </w:style>
  <w:style w:type="paragraph" w:styleId="Ttulo2">
    <w:name w:val="heading 2"/>
    <w:basedOn w:val="Normal"/>
    <w:next w:val="Normal"/>
    <w:link w:val="Ttulo2Car"/>
    <w:qFormat/>
    <w:rsid w:val="00A250B6"/>
    <w:pPr>
      <w:keepNext/>
      <w:jc w:val="right"/>
      <w:outlineLvl w:val="1"/>
    </w:pPr>
    <w:rPr>
      <w:rFonts w:ascii="Arial" w:hAnsi="Arial"/>
      <w:b/>
      <w:snapToGrid w:val="0"/>
      <w:color w:val="000000"/>
      <w:lang w:val="es-ES"/>
    </w:rPr>
  </w:style>
  <w:style w:type="paragraph" w:styleId="Ttulo3">
    <w:name w:val="heading 3"/>
    <w:basedOn w:val="Normal"/>
    <w:next w:val="Normal"/>
    <w:qFormat/>
    <w:rsid w:val="00A250B6"/>
    <w:pPr>
      <w:keepNext/>
      <w:jc w:val="both"/>
      <w:outlineLvl w:val="2"/>
    </w:pPr>
    <w:rPr>
      <w:rFonts w:ascii="Arial" w:hAnsi="Arial"/>
      <w:b/>
      <w:snapToGrid w:val="0"/>
      <w:color w:val="000000"/>
      <w:lang w:val="es-ES"/>
    </w:rPr>
  </w:style>
  <w:style w:type="paragraph" w:styleId="Ttulo4">
    <w:name w:val="heading 4"/>
    <w:basedOn w:val="Normal"/>
    <w:next w:val="Normal"/>
    <w:qFormat/>
    <w:rsid w:val="00A250B6"/>
    <w:pPr>
      <w:keepNext/>
      <w:jc w:val="center"/>
      <w:outlineLvl w:val="3"/>
    </w:pPr>
    <w:rPr>
      <w:b/>
      <w:sz w:val="24"/>
      <w:lang w:val="es-ES"/>
    </w:rPr>
  </w:style>
  <w:style w:type="paragraph" w:styleId="Ttulo5">
    <w:name w:val="heading 5"/>
    <w:basedOn w:val="Normal"/>
    <w:next w:val="Normal"/>
    <w:link w:val="Ttulo5Car"/>
    <w:qFormat/>
    <w:rsid w:val="00A250B6"/>
    <w:pPr>
      <w:keepNext/>
      <w:jc w:val="center"/>
      <w:outlineLvl w:val="4"/>
    </w:pPr>
    <w:rPr>
      <w:rFonts w:ascii="Arial" w:hAnsi="Arial"/>
      <w:b/>
      <w:snapToGrid w:val="0"/>
      <w:color w:val="000000"/>
      <w:lang w:val="es-ES"/>
    </w:rPr>
  </w:style>
  <w:style w:type="paragraph" w:styleId="Ttulo6">
    <w:name w:val="heading 6"/>
    <w:basedOn w:val="Normal"/>
    <w:next w:val="Normal"/>
    <w:qFormat/>
    <w:rsid w:val="00A250B6"/>
    <w:pPr>
      <w:keepNext/>
      <w:ind w:left="-70"/>
      <w:jc w:val="center"/>
      <w:outlineLvl w:val="5"/>
    </w:pPr>
    <w:rPr>
      <w:b/>
      <w:snapToGrid w:val="0"/>
      <w:color w:val="000000"/>
      <w:sz w:val="24"/>
      <w:lang w:val="es-ES"/>
    </w:rPr>
  </w:style>
  <w:style w:type="paragraph" w:styleId="Ttulo7">
    <w:name w:val="heading 7"/>
    <w:basedOn w:val="Normal"/>
    <w:next w:val="Normal"/>
    <w:qFormat/>
    <w:rsid w:val="00A250B6"/>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qFormat/>
    <w:rsid w:val="00A250B6"/>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qFormat/>
    <w:rsid w:val="00A250B6"/>
    <w:pPr>
      <w:keepNext/>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250B6"/>
    <w:pPr>
      <w:tabs>
        <w:tab w:val="center" w:pos="4419"/>
        <w:tab w:val="right" w:pos="8838"/>
      </w:tabs>
      <w:jc w:val="right"/>
    </w:pPr>
    <w:rPr>
      <w:sz w:val="24"/>
      <w:lang w:val="es-ES"/>
    </w:rPr>
  </w:style>
  <w:style w:type="paragraph" w:styleId="Textoindependiente">
    <w:name w:val="Body Text"/>
    <w:basedOn w:val="Normal"/>
    <w:semiHidden/>
    <w:rsid w:val="00A250B6"/>
    <w:pPr>
      <w:spacing w:after="220" w:line="288" w:lineRule="atLeast"/>
      <w:jc w:val="both"/>
    </w:pPr>
    <w:rPr>
      <w:lang w:val="en-US"/>
    </w:rPr>
  </w:style>
  <w:style w:type="character" w:styleId="Hipervnculo">
    <w:name w:val="Hyperlink"/>
    <w:uiPriority w:val="99"/>
    <w:rsid w:val="00A250B6"/>
    <w:rPr>
      <w:color w:val="0000FF"/>
      <w:u w:val="single"/>
    </w:rPr>
  </w:style>
  <w:style w:type="paragraph" w:styleId="Sangradetextonormal">
    <w:name w:val="Body Text Indent"/>
    <w:basedOn w:val="Normal"/>
    <w:semiHidden/>
    <w:rsid w:val="00A250B6"/>
    <w:pPr>
      <w:ind w:firstLine="720"/>
      <w:jc w:val="both"/>
    </w:pPr>
    <w:rPr>
      <w:snapToGrid w:val="0"/>
      <w:color w:val="000000"/>
      <w:sz w:val="24"/>
      <w:lang w:val="es-ES"/>
    </w:rPr>
  </w:style>
  <w:style w:type="paragraph" w:styleId="Textoindependiente3">
    <w:name w:val="Body Text 3"/>
    <w:basedOn w:val="Normal"/>
    <w:semiHidden/>
    <w:rsid w:val="00A250B6"/>
    <w:pPr>
      <w:jc w:val="both"/>
    </w:pPr>
    <w:rPr>
      <w:rFonts w:ascii="Arial" w:hAnsi="Arial"/>
      <w:lang w:val="es-ES"/>
    </w:rPr>
  </w:style>
  <w:style w:type="paragraph" w:styleId="Sangra2detindependiente">
    <w:name w:val="Body Text Indent 2"/>
    <w:basedOn w:val="Normal"/>
    <w:semiHidden/>
    <w:rsid w:val="00A250B6"/>
    <w:pPr>
      <w:ind w:firstLine="708"/>
      <w:jc w:val="both"/>
    </w:pPr>
    <w:rPr>
      <w:snapToGrid w:val="0"/>
      <w:color w:val="000000"/>
      <w:sz w:val="24"/>
      <w:lang w:val="es-ES"/>
    </w:rPr>
  </w:style>
  <w:style w:type="paragraph" w:styleId="Textoindependiente2">
    <w:name w:val="Body Text 2"/>
    <w:basedOn w:val="Normal"/>
    <w:semiHidden/>
    <w:rsid w:val="00A250B6"/>
    <w:rPr>
      <w:rFonts w:ascii="Arial" w:hAnsi="Arial"/>
      <w:b/>
      <w:snapToGrid w:val="0"/>
      <w:color w:val="000000"/>
      <w:sz w:val="24"/>
      <w:lang w:val="es-ES"/>
    </w:rPr>
  </w:style>
  <w:style w:type="paragraph" w:styleId="Textodebloque">
    <w:name w:val="Block Text"/>
    <w:basedOn w:val="Normal"/>
    <w:semiHidden/>
    <w:rsid w:val="00A250B6"/>
    <w:pPr>
      <w:ind w:left="540" w:right="680" w:hanging="540"/>
    </w:pPr>
    <w:rPr>
      <w:rFonts w:ascii="Arial" w:hAnsi="Arial"/>
      <w:snapToGrid w:val="0"/>
      <w:color w:val="000000"/>
      <w:sz w:val="18"/>
      <w:lang w:val="es-ES"/>
    </w:rPr>
  </w:style>
  <w:style w:type="paragraph" w:styleId="Sangra3detindependiente">
    <w:name w:val="Body Text Indent 3"/>
    <w:basedOn w:val="Normal"/>
    <w:semiHidden/>
    <w:rsid w:val="00A250B6"/>
    <w:pPr>
      <w:spacing w:line="360" w:lineRule="auto"/>
      <w:ind w:firstLine="708"/>
      <w:jc w:val="both"/>
    </w:pPr>
    <w:rPr>
      <w:sz w:val="24"/>
      <w:lang w:val="es-ES_tradnl"/>
    </w:rPr>
  </w:style>
  <w:style w:type="paragraph" w:styleId="Textosinformato">
    <w:name w:val="Plain Text"/>
    <w:basedOn w:val="Normal"/>
    <w:semiHidden/>
    <w:rsid w:val="00A250B6"/>
    <w:pPr>
      <w:jc w:val="right"/>
    </w:pPr>
    <w:rPr>
      <w:rFonts w:ascii="Courier New" w:hAnsi="Courier New"/>
      <w:lang w:val="es-ES"/>
    </w:rPr>
  </w:style>
  <w:style w:type="character" w:styleId="Nmerodepgina">
    <w:name w:val="page number"/>
    <w:basedOn w:val="Fuentedeprrafopredeter"/>
    <w:semiHidden/>
    <w:rsid w:val="00A250B6"/>
  </w:style>
  <w:style w:type="paragraph" w:styleId="Piedepgina">
    <w:name w:val="footer"/>
    <w:basedOn w:val="Normal"/>
    <w:link w:val="PiedepginaCar"/>
    <w:uiPriority w:val="99"/>
    <w:rsid w:val="00A250B6"/>
    <w:pPr>
      <w:tabs>
        <w:tab w:val="center" w:pos="4419"/>
        <w:tab w:val="right" w:pos="8838"/>
      </w:tabs>
      <w:jc w:val="right"/>
    </w:pPr>
    <w:rPr>
      <w:sz w:val="24"/>
      <w:lang w:val="es-ES"/>
    </w:rPr>
  </w:style>
  <w:style w:type="paragraph" w:styleId="Ttulo">
    <w:name w:val="Title"/>
    <w:basedOn w:val="Normal"/>
    <w:qFormat/>
    <w:rsid w:val="00A250B6"/>
    <w:pPr>
      <w:jc w:val="center"/>
    </w:pPr>
    <w:rPr>
      <w:rFonts w:ascii="Calligrapher" w:hAnsi="Calligrapher"/>
      <w:b/>
      <w:sz w:val="72"/>
      <w:u w:val="single"/>
      <w:lang w:val="es-ES"/>
    </w:rPr>
  </w:style>
  <w:style w:type="paragraph" w:customStyle="1" w:styleId="Einrckung1">
    <w:name w:val="Einrückung 1"/>
    <w:basedOn w:val="Normal"/>
    <w:rsid w:val="00A250B6"/>
    <w:pPr>
      <w:spacing w:line="360" w:lineRule="atLeast"/>
      <w:ind w:left="851" w:hanging="851"/>
      <w:jc w:val="both"/>
    </w:pPr>
    <w:rPr>
      <w:rFonts w:ascii="Arial" w:hAnsi="Arial"/>
      <w:sz w:val="24"/>
      <w:lang w:val="de-DE"/>
    </w:rPr>
  </w:style>
  <w:style w:type="character" w:styleId="Refdenotaalpie">
    <w:name w:val="footnote reference"/>
    <w:semiHidden/>
    <w:rsid w:val="00A250B6"/>
    <w:rPr>
      <w:vertAlign w:val="superscript"/>
    </w:rPr>
  </w:style>
  <w:style w:type="paragraph" w:styleId="Textonotapie">
    <w:name w:val="footnote text"/>
    <w:basedOn w:val="Normal"/>
    <w:semiHidden/>
    <w:rsid w:val="00A250B6"/>
    <w:rPr>
      <w:snapToGrid w:val="0"/>
      <w:lang w:val="en-US" w:eastAsia="en-US"/>
    </w:rPr>
  </w:style>
  <w:style w:type="paragraph" w:styleId="NormalWeb">
    <w:name w:val="Normal (Web)"/>
    <w:basedOn w:val="Normal"/>
    <w:uiPriority w:val="99"/>
    <w:rsid w:val="00A250B6"/>
    <w:pPr>
      <w:spacing w:before="100" w:beforeAutospacing="1" w:after="100" w:afterAutospacing="1"/>
    </w:pPr>
    <w:rPr>
      <w:color w:val="000000"/>
      <w:sz w:val="24"/>
      <w:szCs w:val="24"/>
      <w:lang w:val="es-ES"/>
    </w:rPr>
  </w:style>
  <w:style w:type="paragraph" w:styleId="Subttulo">
    <w:name w:val="Subtitle"/>
    <w:basedOn w:val="Normal"/>
    <w:qFormat/>
    <w:rsid w:val="00A2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09"/>
      <w:jc w:val="both"/>
    </w:pPr>
    <w:rPr>
      <w:b/>
      <w:sz w:val="26"/>
      <w:lang w:val="es-ES_tradnl"/>
    </w:rPr>
  </w:style>
  <w:style w:type="paragraph" w:customStyle="1" w:styleId="xl24">
    <w:name w:val="xl24"/>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A250B6"/>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A250B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A250B6"/>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A250B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A250B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A250B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A250B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A250B6"/>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A250B6"/>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A250B6"/>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A250B6"/>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A250B6"/>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A250B6"/>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A250B6"/>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A250B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A250B6"/>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A250B6"/>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A250B6"/>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A250B6"/>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A250B6"/>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A250B6"/>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character" w:customStyle="1" w:styleId="EmailStyle59">
    <w:name w:val="EmailStyle59"/>
    <w:semiHidden/>
    <w:rsid w:val="00A250B6"/>
    <w:rPr>
      <w:rFonts w:ascii="Arial" w:hAnsi="Arial" w:cs="Arial"/>
      <w:color w:val="000080"/>
      <w:sz w:val="20"/>
      <w:szCs w:val="20"/>
    </w:rPr>
  </w:style>
  <w:style w:type="paragraph" w:styleId="Prrafodelista">
    <w:name w:val="List Paragraph"/>
    <w:basedOn w:val="Normal"/>
    <w:link w:val="PrrafodelistaCar"/>
    <w:uiPriority w:val="34"/>
    <w:qFormat/>
    <w:rsid w:val="006B3075"/>
    <w:pPr>
      <w:spacing w:after="200" w:line="276" w:lineRule="auto"/>
      <w:ind w:left="720"/>
    </w:pPr>
    <w:rPr>
      <w:rFonts w:ascii="Calibri" w:eastAsia="Times New Roman" w:hAnsi="Calibri"/>
      <w:sz w:val="22"/>
      <w:szCs w:val="22"/>
      <w:lang w:eastAsia="en-US"/>
    </w:rPr>
  </w:style>
  <w:style w:type="paragraph" w:customStyle="1" w:styleId="corriente">
    <w:name w:val="corriente"/>
    <w:basedOn w:val="Textoindependiente"/>
    <w:autoRedefine/>
    <w:rsid w:val="00A250B6"/>
    <w:pPr>
      <w:spacing w:after="0" w:line="240" w:lineRule="auto"/>
    </w:pPr>
    <w:rPr>
      <w:rFonts w:ascii="Arial" w:hAnsi="Arial" w:cs="Arial"/>
      <w:b/>
      <w:sz w:val="22"/>
      <w:szCs w:val="22"/>
      <w:lang w:val="es-CR"/>
    </w:rPr>
  </w:style>
  <w:style w:type="character" w:styleId="Hipervnculovisitado">
    <w:name w:val="FollowedHyperlink"/>
    <w:uiPriority w:val="99"/>
    <w:semiHidden/>
    <w:rsid w:val="00A250B6"/>
    <w:rPr>
      <w:color w:val="800080"/>
      <w:u w:val="single"/>
    </w:rPr>
  </w:style>
  <w:style w:type="paragraph" w:styleId="Descripcin">
    <w:name w:val="caption"/>
    <w:basedOn w:val="Normal"/>
    <w:next w:val="Normal"/>
    <w:qFormat/>
    <w:rsid w:val="00A250B6"/>
    <w:pPr>
      <w:jc w:val="center"/>
    </w:pPr>
    <w:rPr>
      <w:rFonts w:ascii="Arial" w:eastAsia="Times New Roman" w:hAnsi="Arial"/>
      <w:b/>
      <w:color w:val="800000"/>
      <w:sz w:val="24"/>
      <w:szCs w:val="24"/>
      <w:lang w:val="es-ES"/>
    </w:rPr>
  </w:style>
  <w:style w:type="paragraph" w:styleId="Textodeglobo">
    <w:name w:val="Balloon Text"/>
    <w:basedOn w:val="Normal"/>
    <w:semiHidden/>
    <w:rsid w:val="00A250B6"/>
    <w:rPr>
      <w:rFonts w:ascii="Tahoma" w:hAnsi="Tahoma" w:cs="Tahoma"/>
      <w:sz w:val="16"/>
      <w:szCs w:val="16"/>
    </w:rPr>
  </w:style>
  <w:style w:type="paragraph" w:styleId="TDC2">
    <w:name w:val="toc 2"/>
    <w:basedOn w:val="Normal"/>
    <w:next w:val="Normal"/>
    <w:autoRedefine/>
    <w:uiPriority w:val="39"/>
    <w:rsid w:val="00A250B6"/>
    <w:pPr>
      <w:tabs>
        <w:tab w:val="right" w:leader="dot" w:pos="8494"/>
      </w:tabs>
      <w:ind w:left="200"/>
    </w:pPr>
    <w:rPr>
      <w:rFonts w:ascii="Arial" w:hAnsi="Arial" w:cs="Arial"/>
      <w:bCs/>
      <w:noProof/>
      <w:sz w:val="22"/>
      <w:szCs w:val="22"/>
    </w:rPr>
  </w:style>
  <w:style w:type="paragraph" w:styleId="TDC1">
    <w:name w:val="toc 1"/>
    <w:basedOn w:val="Normal"/>
    <w:next w:val="Normal"/>
    <w:autoRedefine/>
    <w:uiPriority w:val="39"/>
    <w:rsid w:val="00A250B6"/>
  </w:style>
  <w:style w:type="paragraph" w:styleId="TDC3">
    <w:name w:val="toc 3"/>
    <w:basedOn w:val="Normal"/>
    <w:next w:val="Normal"/>
    <w:autoRedefine/>
    <w:uiPriority w:val="39"/>
    <w:rsid w:val="00A250B6"/>
    <w:pPr>
      <w:ind w:left="400"/>
    </w:pPr>
  </w:style>
  <w:style w:type="character" w:styleId="Refdecomentario">
    <w:name w:val="annotation reference"/>
    <w:semiHidden/>
    <w:rsid w:val="00A250B6"/>
    <w:rPr>
      <w:sz w:val="16"/>
      <w:szCs w:val="16"/>
    </w:rPr>
  </w:style>
  <w:style w:type="paragraph" w:styleId="Textocomentario">
    <w:name w:val="annotation text"/>
    <w:basedOn w:val="Normal"/>
    <w:semiHidden/>
    <w:rsid w:val="00A250B6"/>
    <w:rPr>
      <w:rFonts w:eastAsia="Times New Roman"/>
      <w:lang w:val="en-US" w:eastAsia="en-US"/>
    </w:rPr>
  </w:style>
  <w:style w:type="paragraph" w:styleId="Asuntodelcomentario">
    <w:name w:val="annotation subject"/>
    <w:basedOn w:val="Textocomentario"/>
    <w:next w:val="Textocomentario"/>
    <w:semiHidden/>
    <w:rsid w:val="00A250B6"/>
    <w:rPr>
      <w:b/>
      <w:bCs/>
    </w:rPr>
  </w:style>
  <w:style w:type="paragraph" w:styleId="Saludo">
    <w:name w:val="Salutation"/>
    <w:basedOn w:val="Normal"/>
    <w:next w:val="Normal"/>
    <w:semiHidden/>
    <w:rsid w:val="00A250B6"/>
    <w:rPr>
      <w:rFonts w:eastAsia="Times New Roman"/>
      <w:sz w:val="24"/>
      <w:szCs w:val="24"/>
      <w:lang w:val="es-ES"/>
    </w:rPr>
  </w:style>
  <w:style w:type="paragraph" w:customStyle="1" w:styleId="Ttulodecuadrogrfico">
    <w:name w:val="Tìtulo de cuadro/gráfico"/>
    <w:basedOn w:val="Ttulo3"/>
    <w:rsid w:val="00A250B6"/>
    <w:pPr>
      <w:spacing w:before="240" w:after="120"/>
      <w:jc w:val="left"/>
    </w:pPr>
    <w:rPr>
      <w:rFonts w:eastAsia="Times New Roman" w:cs="Arial"/>
      <w:bCs/>
      <w:snapToGrid/>
      <w:color w:val="auto"/>
      <w:sz w:val="24"/>
      <w:szCs w:val="26"/>
    </w:rPr>
  </w:style>
  <w:style w:type="paragraph" w:customStyle="1" w:styleId="normalp">
    <w:name w:val="normalp"/>
    <w:basedOn w:val="Normal"/>
    <w:rsid w:val="00A250B6"/>
    <w:pPr>
      <w:spacing w:before="100" w:beforeAutospacing="1" w:after="100" w:afterAutospacing="1"/>
    </w:pPr>
    <w:rPr>
      <w:rFonts w:eastAsia="Times New Roman"/>
      <w:sz w:val="24"/>
      <w:szCs w:val="24"/>
      <w:lang w:val="es-ES"/>
    </w:rPr>
  </w:style>
  <w:style w:type="character" w:styleId="Textoennegrita">
    <w:name w:val="Strong"/>
    <w:qFormat/>
    <w:rsid w:val="00A250B6"/>
    <w:rPr>
      <w:b/>
      <w:bCs/>
    </w:rPr>
  </w:style>
  <w:style w:type="character" w:customStyle="1" w:styleId="Ttulo2Car">
    <w:name w:val="Título 2 Car"/>
    <w:link w:val="Ttulo2"/>
    <w:rsid w:val="00DB6622"/>
    <w:rPr>
      <w:rFonts w:ascii="Arial" w:hAnsi="Arial"/>
      <w:b/>
      <w:snapToGrid w:val="0"/>
      <w:color w:val="000000"/>
      <w:lang w:val="es-ES" w:eastAsia="es-ES"/>
    </w:rPr>
  </w:style>
  <w:style w:type="table" w:styleId="Tablaconcuadrcula">
    <w:name w:val="Table Grid"/>
    <w:basedOn w:val="Tablanormal"/>
    <w:uiPriority w:val="39"/>
    <w:rsid w:val="002E4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74334E"/>
    <w:rPr>
      <w:sz w:val="24"/>
      <w:lang w:val="es-ES" w:eastAsia="es-ES"/>
    </w:rPr>
  </w:style>
  <w:style w:type="character" w:customStyle="1" w:styleId="PrrafodelistaCar">
    <w:name w:val="Párrafo de lista Car"/>
    <w:link w:val="Prrafodelista"/>
    <w:uiPriority w:val="34"/>
    <w:rsid w:val="004E2A26"/>
    <w:rPr>
      <w:rFonts w:ascii="Calibri" w:eastAsia="Times New Roman" w:hAnsi="Calibri"/>
      <w:sz w:val="22"/>
      <w:szCs w:val="22"/>
      <w:lang w:eastAsia="en-US"/>
    </w:rPr>
  </w:style>
  <w:style w:type="table" w:customStyle="1" w:styleId="TableGrid1">
    <w:name w:val="Table Grid1"/>
    <w:basedOn w:val="Tablanormal"/>
    <w:next w:val="Tablaconcuadrcula"/>
    <w:uiPriority w:val="59"/>
    <w:rsid w:val="00ED6027"/>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87C0F"/>
    <w:rPr>
      <w:rFonts w:ascii="Calibri" w:eastAsia="Times New Roman" w:hAnsi="Calibri"/>
      <w:sz w:val="22"/>
      <w:szCs w:val="22"/>
      <w:lang w:val="en-US" w:eastAsia="ja-JP"/>
    </w:rPr>
  </w:style>
  <w:style w:type="character" w:customStyle="1" w:styleId="SinespaciadoCar">
    <w:name w:val="Sin espaciado Car"/>
    <w:link w:val="Sinespaciado"/>
    <w:uiPriority w:val="1"/>
    <w:rsid w:val="00987C0F"/>
    <w:rPr>
      <w:rFonts w:ascii="Calibri" w:eastAsia="Times New Roman" w:hAnsi="Calibri"/>
      <w:sz w:val="22"/>
      <w:szCs w:val="22"/>
      <w:lang w:val="en-US" w:eastAsia="ja-JP" w:bidi="ar-SA"/>
    </w:rPr>
  </w:style>
  <w:style w:type="character" w:customStyle="1" w:styleId="EncabezadoCar">
    <w:name w:val="Encabezado Car"/>
    <w:basedOn w:val="Fuentedeprrafopredeter"/>
    <w:link w:val="Encabezado"/>
    <w:uiPriority w:val="99"/>
    <w:rsid w:val="005316B7"/>
    <w:rPr>
      <w:sz w:val="24"/>
      <w:lang w:val="es-ES" w:eastAsia="es-ES"/>
    </w:rPr>
  </w:style>
  <w:style w:type="character" w:styleId="Nmerodelnea">
    <w:name w:val="line number"/>
    <w:basedOn w:val="Fuentedeprrafopredeter"/>
    <w:uiPriority w:val="99"/>
    <w:semiHidden/>
    <w:unhideWhenUsed/>
    <w:rsid w:val="00C539A9"/>
  </w:style>
  <w:style w:type="paragraph" w:styleId="TtuloTDC">
    <w:name w:val="TOC Heading"/>
    <w:basedOn w:val="Ttulo1"/>
    <w:next w:val="Normal"/>
    <w:uiPriority w:val="39"/>
    <w:unhideWhenUsed/>
    <w:qFormat/>
    <w:rsid w:val="000266BF"/>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s-CR" w:eastAsia="es-CR"/>
    </w:rPr>
  </w:style>
  <w:style w:type="paragraph" w:customStyle="1" w:styleId="noparagraphstyle">
    <w:name w:val="noparagraphstyle"/>
    <w:basedOn w:val="Normal"/>
    <w:rsid w:val="00AE48B9"/>
    <w:pPr>
      <w:spacing w:before="100" w:beforeAutospacing="1" w:after="100" w:afterAutospacing="1"/>
    </w:pPr>
    <w:rPr>
      <w:rFonts w:eastAsia="Times New Roman"/>
      <w:sz w:val="24"/>
      <w:szCs w:val="24"/>
      <w:lang w:val="en-US" w:eastAsia="en-US"/>
    </w:rPr>
  </w:style>
  <w:style w:type="character" w:customStyle="1" w:styleId="Ttulo5Car">
    <w:name w:val="Título 5 Car"/>
    <w:basedOn w:val="Fuentedeprrafopredeter"/>
    <w:link w:val="Ttulo5"/>
    <w:rsid w:val="008B45F4"/>
    <w:rPr>
      <w:rFonts w:ascii="Arial" w:hAnsi="Arial"/>
      <w:b/>
      <w:snapToGrid w:val="0"/>
      <w:color w:val="000000"/>
      <w:lang w:val="es-ES" w:eastAsia="es-ES"/>
    </w:rPr>
  </w:style>
  <w:style w:type="paragraph" w:customStyle="1" w:styleId="Default">
    <w:name w:val="Default"/>
    <w:rsid w:val="008B0DED"/>
    <w:pPr>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78">
      <w:bodyDiv w:val="1"/>
      <w:marLeft w:val="0"/>
      <w:marRight w:val="0"/>
      <w:marTop w:val="0"/>
      <w:marBottom w:val="0"/>
      <w:divBdr>
        <w:top w:val="none" w:sz="0" w:space="0" w:color="auto"/>
        <w:left w:val="none" w:sz="0" w:space="0" w:color="auto"/>
        <w:bottom w:val="none" w:sz="0" w:space="0" w:color="auto"/>
        <w:right w:val="none" w:sz="0" w:space="0" w:color="auto"/>
      </w:divBdr>
    </w:div>
    <w:div w:id="33192911">
      <w:bodyDiv w:val="1"/>
      <w:marLeft w:val="0"/>
      <w:marRight w:val="0"/>
      <w:marTop w:val="0"/>
      <w:marBottom w:val="0"/>
      <w:divBdr>
        <w:top w:val="none" w:sz="0" w:space="0" w:color="auto"/>
        <w:left w:val="none" w:sz="0" w:space="0" w:color="auto"/>
        <w:bottom w:val="none" w:sz="0" w:space="0" w:color="auto"/>
        <w:right w:val="none" w:sz="0" w:space="0" w:color="auto"/>
      </w:divBdr>
    </w:div>
    <w:div w:id="46490427">
      <w:bodyDiv w:val="1"/>
      <w:marLeft w:val="0"/>
      <w:marRight w:val="0"/>
      <w:marTop w:val="0"/>
      <w:marBottom w:val="0"/>
      <w:divBdr>
        <w:top w:val="none" w:sz="0" w:space="0" w:color="auto"/>
        <w:left w:val="none" w:sz="0" w:space="0" w:color="auto"/>
        <w:bottom w:val="none" w:sz="0" w:space="0" w:color="auto"/>
        <w:right w:val="none" w:sz="0" w:space="0" w:color="auto"/>
      </w:divBdr>
    </w:div>
    <w:div w:id="78258891">
      <w:bodyDiv w:val="1"/>
      <w:marLeft w:val="0"/>
      <w:marRight w:val="0"/>
      <w:marTop w:val="0"/>
      <w:marBottom w:val="0"/>
      <w:divBdr>
        <w:top w:val="none" w:sz="0" w:space="0" w:color="auto"/>
        <w:left w:val="none" w:sz="0" w:space="0" w:color="auto"/>
        <w:bottom w:val="none" w:sz="0" w:space="0" w:color="auto"/>
        <w:right w:val="none" w:sz="0" w:space="0" w:color="auto"/>
      </w:divBdr>
    </w:div>
    <w:div w:id="84425185">
      <w:bodyDiv w:val="1"/>
      <w:marLeft w:val="0"/>
      <w:marRight w:val="0"/>
      <w:marTop w:val="0"/>
      <w:marBottom w:val="0"/>
      <w:divBdr>
        <w:top w:val="none" w:sz="0" w:space="0" w:color="auto"/>
        <w:left w:val="none" w:sz="0" w:space="0" w:color="auto"/>
        <w:bottom w:val="none" w:sz="0" w:space="0" w:color="auto"/>
        <w:right w:val="none" w:sz="0" w:space="0" w:color="auto"/>
      </w:divBdr>
    </w:div>
    <w:div w:id="98264018">
      <w:bodyDiv w:val="1"/>
      <w:marLeft w:val="0"/>
      <w:marRight w:val="0"/>
      <w:marTop w:val="0"/>
      <w:marBottom w:val="0"/>
      <w:divBdr>
        <w:top w:val="none" w:sz="0" w:space="0" w:color="auto"/>
        <w:left w:val="none" w:sz="0" w:space="0" w:color="auto"/>
        <w:bottom w:val="none" w:sz="0" w:space="0" w:color="auto"/>
        <w:right w:val="none" w:sz="0" w:space="0" w:color="auto"/>
      </w:divBdr>
    </w:div>
    <w:div w:id="104153512">
      <w:bodyDiv w:val="1"/>
      <w:marLeft w:val="0"/>
      <w:marRight w:val="0"/>
      <w:marTop w:val="0"/>
      <w:marBottom w:val="0"/>
      <w:divBdr>
        <w:top w:val="none" w:sz="0" w:space="0" w:color="auto"/>
        <w:left w:val="none" w:sz="0" w:space="0" w:color="auto"/>
        <w:bottom w:val="none" w:sz="0" w:space="0" w:color="auto"/>
        <w:right w:val="none" w:sz="0" w:space="0" w:color="auto"/>
      </w:divBdr>
    </w:div>
    <w:div w:id="143089202">
      <w:bodyDiv w:val="1"/>
      <w:marLeft w:val="0"/>
      <w:marRight w:val="0"/>
      <w:marTop w:val="0"/>
      <w:marBottom w:val="0"/>
      <w:divBdr>
        <w:top w:val="none" w:sz="0" w:space="0" w:color="auto"/>
        <w:left w:val="none" w:sz="0" w:space="0" w:color="auto"/>
        <w:bottom w:val="none" w:sz="0" w:space="0" w:color="auto"/>
        <w:right w:val="none" w:sz="0" w:space="0" w:color="auto"/>
      </w:divBdr>
    </w:div>
    <w:div w:id="147673592">
      <w:bodyDiv w:val="1"/>
      <w:marLeft w:val="0"/>
      <w:marRight w:val="0"/>
      <w:marTop w:val="0"/>
      <w:marBottom w:val="0"/>
      <w:divBdr>
        <w:top w:val="none" w:sz="0" w:space="0" w:color="auto"/>
        <w:left w:val="none" w:sz="0" w:space="0" w:color="auto"/>
        <w:bottom w:val="none" w:sz="0" w:space="0" w:color="auto"/>
        <w:right w:val="none" w:sz="0" w:space="0" w:color="auto"/>
      </w:divBdr>
    </w:div>
    <w:div w:id="173157527">
      <w:bodyDiv w:val="1"/>
      <w:marLeft w:val="0"/>
      <w:marRight w:val="0"/>
      <w:marTop w:val="0"/>
      <w:marBottom w:val="0"/>
      <w:divBdr>
        <w:top w:val="none" w:sz="0" w:space="0" w:color="auto"/>
        <w:left w:val="none" w:sz="0" w:space="0" w:color="auto"/>
        <w:bottom w:val="none" w:sz="0" w:space="0" w:color="auto"/>
        <w:right w:val="none" w:sz="0" w:space="0" w:color="auto"/>
      </w:divBdr>
    </w:div>
    <w:div w:id="179660717">
      <w:bodyDiv w:val="1"/>
      <w:marLeft w:val="0"/>
      <w:marRight w:val="0"/>
      <w:marTop w:val="0"/>
      <w:marBottom w:val="0"/>
      <w:divBdr>
        <w:top w:val="none" w:sz="0" w:space="0" w:color="auto"/>
        <w:left w:val="none" w:sz="0" w:space="0" w:color="auto"/>
        <w:bottom w:val="none" w:sz="0" w:space="0" w:color="auto"/>
        <w:right w:val="none" w:sz="0" w:space="0" w:color="auto"/>
      </w:divBdr>
    </w:div>
    <w:div w:id="200289891">
      <w:bodyDiv w:val="1"/>
      <w:marLeft w:val="0"/>
      <w:marRight w:val="0"/>
      <w:marTop w:val="0"/>
      <w:marBottom w:val="0"/>
      <w:divBdr>
        <w:top w:val="none" w:sz="0" w:space="0" w:color="auto"/>
        <w:left w:val="none" w:sz="0" w:space="0" w:color="auto"/>
        <w:bottom w:val="none" w:sz="0" w:space="0" w:color="auto"/>
        <w:right w:val="none" w:sz="0" w:space="0" w:color="auto"/>
      </w:divBdr>
    </w:div>
    <w:div w:id="206725532">
      <w:bodyDiv w:val="1"/>
      <w:marLeft w:val="0"/>
      <w:marRight w:val="0"/>
      <w:marTop w:val="0"/>
      <w:marBottom w:val="0"/>
      <w:divBdr>
        <w:top w:val="none" w:sz="0" w:space="0" w:color="auto"/>
        <w:left w:val="none" w:sz="0" w:space="0" w:color="auto"/>
        <w:bottom w:val="none" w:sz="0" w:space="0" w:color="auto"/>
        <w:right w:val="none" w:sz="0" w:space="0" w:color="auto"/>
      </w:divBdr>
    </w:div>
    <w:div w:id="209464994">
      <w:bodyDiv w:val="1"/>
      <w:marLeft w:val="0"/>
      <w:marRight w:val="0"/>
      <w:marTop w:val="0"/>
      <w:marBottom w:val="0"/>
      <w:divBdr>
        <w:top w:val="none" w:sz="0" w:space="0" w:color="auto"/>
        <w:left w:val="none" w:sz="0" w:space="0" w:color="auto"/>
        <w:bottom w:val="none" w:sz="0" w:space="0" w:color="auto"/>
        <w:right w:val="none" w:sz="0" w:space="0" w:color="auto"/>
      </w:divBdr>
    </w:div>
    <w:div w:id="214583103">
      <w:bodyDiv w:val="1"/>
      <w:marLeft w:val="0"/>
      <w:marRight w:val="0"/>
      <w:marTop w:val="0"/>
      <w:marBottom w:val="0"/>
      <w:divBdr>
        <w:top w:val="none" w:sz="0" w:space="0" w:color="auto"/>
        <w:left w:val="none" w:sz="0" w:space="0" w:color="auto"/>
        <w:bottom w:val="none" w:sz="0" w:space="0" w:color="auto"/>
        <w:right w:val="none" w:sz="0" w:space="0" w:color="auto"/>
      </w:divBdr>
    </w:div>
    <w:div w:id="215775515">
      <w:bodyDiv w:val="1"/>
      <w:marLeft w:val="0"/>
      <w:marRight w:val="0"/>
      <w:marTop w:val="0"/>
      <w:marBottom w:val="0"/>
      <w:divBdr>
        <w:top w:val="none" w:sz="0" w:space="0" w:color="auto"/>
        <w:left w:val="none" w:sz="0" w:space="0" w:color="auto"/>
        <w:bottom w:val="none" w:sz="0" w:space="0" w:color="auto"/>
        <w:right w:val="none" w:sz="0" w:space="0" w:color="auto"/>
      </w:divBdr>
    </w:div>
    <w:div w:id="236600579">
      <w:bodyDiv w:val="1"/>
      <w:marLeft w:val="0"/>
      <w:marRight w:val="0"/>
      <w:marTop w:val="0"/>
      <w:marBottom w:val="0"/>
      <w:divBdr>
        <w:top w:val="none" w:sz="0" w:space="0" w:color="auto"/>
        <w:left w:val="none" w:sz="0" w:space="0" w:color="auto"/>
        <w:bottom w:val="none" w:sz="0" w:space="0" w:color="auto"/>
        <w:right w:val="none" w:sz="0" w:space="0" w:color="auto"/>
      </w:divBdr>
    </w:div>
    <w:div w:id="259408985">
      <w:bodyDiv w:val="1"/>
      <w:marLeft w:val="0"/>
      <w:marRight w:val="0"/>
      <w:marTop w:val="0"/>
      <w:marBottom w:val="0"/>
      <w:divBdr>
        <w:top w:val="none" w:sz="0" w:space="0" w:color="auto"/>
        <w:left w:val="none" w:sz="0" w:space="0" w:color="auto"/>
        <w:bottom w:val="none" w:sz="0" w:space="0" w:color="auto"/>
        <w:right w:val="none" w:sz="0" w:space="0" w:color="auto"/>
      </w:divBdr>
    </w:div>
    <w:div w:id="262423501">
      <w:bodyDiv w:val="1"/>
      <w:marLeft w:val="0"/>
      <w:marRight w:val="0"/>
      <w:marTop w:val="0"/>
      <w:marBottom w:val="0"/>
      <w:divBdr>
        <w:top w:val="none" w:sz="0" w:space="0" w:color="auto"/>
        <w:left w:val="none" w:sz="0" w:space="0" w:color="auto"/>
        <w:bottom w:val="none" w:sz="0" w:space="0" w:color="auto"/>
        <w:right w:val="none" w:sz="0" w:space="0" w:color="auto"/>
      </w:divBdr>
    </w:div>
    <w:div w:id="270623372">
      <w:bodyDiv w:val="1"/>
      <w:marLeft w:val="0"/>
      <w:marRight w:val="0"/>
      <w:marTop w:val="0"/>
      <w:marBottom w:val="0"/>
      <w:divBdr>
        <w:top w:val="none" w:sz="0" w:space="0" w:color="auto"/>
        <w:left w:val="none" w:sz="0" w:space="0" w:color="auto"/>
        <w:bottom w:val="none" w:sz="0" w:space="0" w:color="auto"/>
        <w:right w:val="none" w:sz="0" w:space="0" w:color="auto"/>
      </w:divBdr>
    </w:div>
    <w:div w:id="280721077">
      <w:bodyDiv w:val="1"/>
      <w:marLeft w:val="0"/>
      <w:marRight w:val="0"/>
      <w:marTop w:val="0"/>
      <w:marBottom w:val="0"/>
      <w:divBdr>
        <w:top w:val="none" w:sz="0" w:space="0" w:color="auto"/>
        <w:left w:val="none" w:sz="0" w:space="0" w:color="auto"/>
        <w:bottom w:val="none" w:sz="0" w:space="0" w:color="auto"/>
        <w:right w:val="none" w:sz="0" w:space="0" w:color="auto"/>
      </w:divBdr>
    </w:div>
    <w:div w:id="293217082">
      <w:bodyDiv w:val="1"/>
      <w:marLeft w:val="0"/>
      <w:marRight w:val="0"/>
      <w:marTop w:val="0"/>
      <w:marBottom w:val="0"/>
      <w:divBdr>
        <w:top w:val="none" w:sz="0" w:space="0" w:color="auto"/>
        <w:left w:val="none" w:sz="0" w:space="0" w:color="auto"/>
        <w:bottom w:val="none" w:sz="0" w:space="0" w:color="auto"/>
        <w:right w:val="none" w:sz="0" w:space="0" w:color="auto"/>
      </w:divBdr>
    </w:div>
    <w:div w:id="294259678">
      <w:bodyDiv w:val="1"/>
      <w:marLeft w:val="0"/>
      <w:marRight w:val="0"/>
      <w:marTop w:val="0"/>
      <w:marBottom w:val="0"/>
      <w:divBdr>
        <w:top w:val="none" w:sz="0" w:space="0" w:color="auto"/>
        <w:left w:val="none" w:sz="0" w:space="0" w:color="auto"/>
        <w:bottom w:val="none" w:sz="0" w:space="0" w:color="auto"/>
        <w:right w:val="none" w:sz="0" w:space="0" w:color="auto"/>
      </w:divBdr>
    </w:div>
    <w:div w:id="304428714">
      <w:bodyDiv w:val="1"/>
      <w:marLeft w:val="0"/>
      <w:marRight w:val="0"/>
      <w:marTop w:val="0"/>
      <w:marBottom w:val="0"/>
      <w:divBdr>
        <w:top w:val="none" w:sz="0" w:space="0" w:color="auto"/>
        <w:left w:val="none" w:sz="0" w:space="0" w:color="auto"/>
        <w:bottom w:val="none" w:sz="0" w:space="0" w:color="auto"/>
        <w:right w:val="none" w:sz="0" w:space="0" w:color="auto"/>
      </w:divBdr>
    </w:div>
    <w:div w:id="306201760">
      <w:bodyDiv w:val="1"/>
      <w:marLeft w:val="0"/>
      <w:marRight w:val="0"/>
      <w:marTop w:val="0"/>
      <w:marBottom w:val="0"/>
      <w:divBdr>
        <w:top w:val="none" w:sz="0" w:space="0" w:color="auto"/>
        <w:left w:val="none" w:sz="0" w:space="0" w:color="auto"/>
        <w:bottom w:val="none" w:sz="0" w:space="0" w:color="auto"/>
        <w:right w:val="none" w:sz="0" w:space="0" w:color="auto"/>
      </w:divBdr>
    </w:div>
    <w:div w:id="309791760">
      <w:bodyDiv w:val="1"/>
      <w:marLeft w:val="0"/>
      <w:marRight w:val="0"/>
      <w:marTop w:val="0"/>
      <w:marBottom w:val="0"/>
      <w:divBdr>
        <w:top w:val="none" w:sz="0" w:space="0" w:color="auto"/>
        <w:left w:val="none" w:sz="0" w:space="0" w:color="auto"/>
        <w:bottom w:val="none" w:sz="0" w:space="0" w:color="auto"/>
        <w:right w:val="none" w:sz="0" w:space="0" w:color="auto"/>
      </w:divBdr>
    </w:div>
    <w:div w:id="315572470">
      <w:bodyDiv w:val="1"/>
      <w:marLeft w:val="0"/>
      <w:marRight w:val="0"/>
      <w:marTop w:val="0"/>
      <w:marBottom w:val="0"/>
      <w:divBdr>
        <w:top w:val="none" w:sz="0" w:space="0" w:color="auto"/>
        <w:left w:val="none" w:sz="0" w:space="0" w:color="auto"/>
        <w:bottom w:val="none" w:sz="0" w:space="0" w:color="auto"/>
        <w:right w:val="none" w:sz="0" w:space="0" w:color="auto"/>
      </w:divBdr>
    </w:div>
    <w:div w:id="315888476">
      <w:bodyDiv w:val="1"/>
      <w:marLeft w:val="0"/>
      <w:marRight w:val="0"/>
      <w:marTop w:val="0"/>
      <w:marBottom w:val="0"/>
      <w:divBdr>
        <w:top w:val="none" w:sz="0" w:space="0" w:color="auto"/>
        <w:left w:val="none" w:sz="0" w:space="0" w:color="auto"/>
        <w:bottom w:val="none" w:sz="0" w:space="0" w:color="auto"/>
        <w:right w:val="none" w:sz="0" w:space="0" w:color="auto"/>
      </w:divBdr>
    </w:div>
    <w:div w:id="320549431">
      <w:bodyDiv w:val="1"/>
      <w:marLeft w:val="0"/>
      <w:marRight w:val="0"/>
      <w:marTop w:val="0"/>
      <w:marBottom w:val="0"/>
      <w:divBdr>
        <w:top w:val="none" w:sz="0" w:space="0" w:color="auto"/>
        <w:left w:val="none" w:sz="0" w:space="0" w:color="auto"/>
        <w:bottom w:val="none" w:sz="0" w:space="0" w:color="auto"/>
        <w:right w:val="none" w:sz="0" w:space="0" w:color="auto"/>
      </w:divBdr>
    </w:div>
    <w:div w:id="331375242">
      <w:bodyDiv w:val="1"/>
      <w:marLeft w:val="0"/>
      <w:marRight w:val="0"/>
      <w:marTop w:val="0"/>
      <w:marBottom w:val="0"/>
      <w:divBdr>
        <w:top w:val="none" w:sz="0" w:space="0" w:color="auto"/>
        <w:left w:val="none" w:sz="0" w:space="0" w:color="auto"/>
        <w:bottom w:val="none" w:sz="0" w:space="0" w:color="auto"/>
        <w:right w:val="none" w:sz="0" w:space="0" w:color="auto"/>
      </w:divBdr>
    </w:div>
    <w:div w:id="339552826">
      <w:bodyDiv w:val="1"/>
      <w:marLeft w:val="0"/>
      <w:marRight w:val="0"/>
      <w:marTop w:val="0"/>
      <w:marBottom w:val="0"/>
      <w:divBdr>
        <w:top w:val="none" w:sz="0" w:space="0" w:color="auto"/>
        <w:left w:val="none" w:sz="0" w:space="0" w:color="auto"/>
        <w:bottom w:val="none" w:sz="0" w:space="0" w:color="auto"/>
        <w:right w:val="none" w:sz="0" w:space="0" w:color="auto"/>
      </w:divBdr>
    </w:div>
    <w:div w:id="353269201">
      <w:bodyDiv w:val="1"/>
      <w:marLeft w:val="0"/>
      <w:marRight w:val="0"/>
      <w:marTop w:val="0"/>
      <w:marBottom w:val="0"/>
      <w:divBdr>
        <w:top w:val="none" w:sz="0" w:space="0" w:color="auto"/>
        <w:left w:val="none" w:sz="0" w:space="0" w:color="auto"/>
        <w:bottom w:val="none" w:sz="0" w:space="0" w:color="auto"/>
        <w:right w:val="none" w:sz="0" w:space="0" w:color="auto"/>
      </w:divBdr>
    </w:div>
    <w:div w:id="368604817">
      <w:bodyDiv w:val="1"/>
      <w:marLeft w:val="0"/>
      <w:marRight w:val="0"/>
      <w:marTop w:val="0"/>
      <w:marBottom w:val="0"/>
      <w:divBdr>
        <w:top w:val="none" w:sz="0" w:space="0" w:color="auto"/>
        <w:left w:val="none" w:sz="0" w:space="0" w:color="auto"/>
        <w:bottom w:val="none" w:sz="0" w:space="0" w:color="auto"/>
        <w:right w:val="none" w:sz="0" w:space="0" w:color="auto"/>
      </w:divBdr>
    </w:div>
    <w:div w:id="380254665">
      <w:bodyDiv w:val="1"/>
      <w:marLeft w:val="0"/>
      <w:marRight w:val="0"/>
      <w:marTop w:val="0"/>
      <w:marBottom w:val="0"/>
      <w:divBdr>
        <w:top w:val="none" w:sz="0" w:space="0" w:color="auto"/>
        <w:left w:val="none" w:sz="0" w:space="0" w:color="auto"/>
        <w:bottom w:val="none" w:sz="0" w:space="0" w:color="auto"/>
        <w:right w:val="none" w:sz="0" w:space="0" w:color="auto"/>
      </w:divBdr>
    </w:div>
    <w:div w:id="389307481">
      <w:bodyDiv w:val="1"/>
      <w:marLeft w:val="0"/>
      <w:marRight w:val="0"/>
      <w:marTop w:val="0"/>
      <w:marBottom w:val="0"/>
      <w:divBdr>
        <w:top w:val="none" w:sz="0" w:space="0" w:color="auto"/>
        <w:left w:val="none" w:sz="0" w:space="0" w:color="auto"/>
        <w:bottom w:val="none" w:sz="0" w:space="0" w:color="auto"/>
        <w:right w:val="none" w:sz="0" w:space="0" w:color="auto"/>
      </w:divBdr>
    </w:div>
    <w:div w:id="397094765">
      <w:bodyDiv w:val="1"/>
      <w:marLeft w:val="0"/>
      <w:marRight w:val="0"/>
      <w:marTop w:val="0"/>
      <w:marBottom w:val="0"/>
      <w:divBdr>
        <w:top w:val="none" w:sz="0" w:space="0" w:color="auto"/>
        <w:left w:val="none" w:sz="0" w:space="0" w:color="auto"/>
        <w:bottom w:val="none" w:sz="0" w:space="0" w:color="auto"/>
        <w:right w:val="none" w:sz="0" w:space="0" w:color="auto"/>
      </w:divBdr>
    </w:div>
    <w:div w:id="400256747">
      <w:bodyDiv w:val="1"/>
      <w:marLeft w:val="0"/>
      <w:marRight w:val="0"/>
      <w:marTop w:val="0"/>
      <w:marBottom w:val="0"/>
      <w:divBdr>
        <w:top w:val="none" w:sz="0" w:space="0" w:color="auto"/>
        <w:left w:val="none" w:sz="0" w:space="0" w:color="auto"/>
        <w:bottom w:val="none" w:sz="0" w:space="0" w:color="auto"/>
        <w:right w:val="none" w:sz="0" w:space="0" w:color="auto"/>
      </w:divBdr>
    </w:div>
    <w:div w:id="400448082">
      <w:bodyDiv w:val="1"/>
      <w:marLeft w:val="0"/>
      <w:marRight w:val="0"/>
      <w:marTop w:val="0"/>
      <w:marBottom w:val="0"/>
      <w:divBdr>
        <w:top w:val="none" w:sz="0" w:space="0" w:color="auto"/>
        <w:left w:val="none" w:sz="0" w:space="0" w:color="auto"/>
        <w:bottom w:val="none" w:sz="0" w:space="0" w:color="auto"/>
        <w:right w:val="none" w:sz="0" w:space="0" w:color="auto"/>
      </w:divBdr>
    </w:div>
    <w:div w:id="406072792">
      <w:bodyDiv w:val="1"/>
      <w:marLeft w:val="0"/>
      <w:marRight w:val="0"/>
      <w:marTop w:val="0"/>
      <w:marBottom w:val="0"/>
      <w:divBdr>
        <w:top w:val="none" w:sz="0" w:space="0" w:color="auto"/>
        <w:left w:val="none" w:sz="0" w:space="0" w:color="auto"/>
        <w:bottom w:val="none" w:sz="0" w:space="0" w:color="auto"/>
        <w:right w:val="none" w:sz="0" w:space="0" w:color="auto"/>
      </w:divBdr>
    </w:div>
    <w:div w:id="410588273">
      <w:bodyDiv w:val="1"/>
      <w:marLeft w:val="0"/>
      <w:marRight w:val="0"/>
      <w:marTop w:val="0"/>
      <w:marBottom w:val="0"/>
      <w:divBdr>
        <w:top w:val="none" w:sz="0" w:space="0" w:color="auto"/>
        <w:left w:val="none" w:sz="0" w:space="0" w:color="auto"/>
        <w:bottom w:val="none" w:sz="0" w:space="0" w:color="auto"/>
        <w:right w:val="none" w:sz="0" w:space="0" w:color="auto"/>
      </w:divBdr>
    </w:div>
    <w:div w:id="420029738">
      <w:bodyDiv w:val="1"/>
      <w:marLeft w:val="0"/>
      <w:marRight w:val="0"/>
      <w:marTop w:val="0"/>
      <w:marBottom w:val="0"/>
      <w:divBdr>
        <w:top w:val="none" w:sz="0" w:space="0" w:color="auto"/>
        <w:left w:val="none" w:sz="0" w:space="0" w:color="auto"/>
        <w:bottom w:val="none" w:sz="0" w:space="0" w:color="auto"/>
        <w:right w:val="none" w:sz="0" w:space="0" w:color="auto"/>
      </w:divBdr>
    </w:div>
    <w:div w:id="430392246">
      <w:bodyDiv w:val="1"/>
      <w:marLeft w:val="0"/>
      <w:marRight w:val="0"/>
      <w:marTop w:val="0"/>
      <w:marBottom w:val="0"/>
      <w:divBdr>
        <w:top w:val="none" w:sz="0" w:space="0" w:color="auto"/>
        <w:left w:val="none" w:sz="0" w:space="0" w:color="auto"/>
        <w:bottom w:val="none" w:sz="0" w:space="0" w:color="auto"/>
        <w:right w:val="none" w:sz="0" w:space="0" w:color="auto"/>
      </w:divBdr>
    </w:div>
    <w:div w:id="432021914">
      <w:bodyDiv w:val="1"/>
      <w:marLeft w:val="0"/>
      <w:marRight w:val="0"/>
      <w:marTop w:val="0"/>
      <w:marBottom w:val="0"/>
      <w:divBdr>
        <w:top w:val="none" w:sz="0" w:space="0" w:color="auto"/>
        <w:left w:val="none" w:sz="0" w:space="0" w:color="auto"/>
        <w:bottom w:val="none" w:sz="0" w:space="0" w:color="auto"/>
        <w:right w:val="none" w:sz="0" w:space="0" w:color="auto"/>
      </w:divBdr>
    </w:div>
    <w:div w:id="434792181">
      <w:bodyDiv w:val="1"/>
      <w:marLeft w:val="0"/>
      <w:marRight w:val="0"/>
      <w:marTop w:val="0"/>
      <w:marBottom w:val="0"/>
      <w:divBdr>
        <w:top w:val="none" w:sz="0" w:space="0" w:color="auto"/>
        <w:left w:val="none" w:sz="0" w:space="0" w:color="auto"/>
        <w:bottom w:val="none" w:sz="0" w:space="0" w:color="auto"/>
        <w:right w:val="none" w:sz="0" w:space="0" w:color="auto"/>
      </w:divBdr>
    </w:div>
    <w:div w:id="435977904">
      <w:bodyDiv w:val="1"/>
      <w:marLeft w:val="0"/>
      <w:marRight w:val="0"/>
      <w:marTop w:val="0"/>
      <w:marBottom w:val="0"/>
      <w:divBdr>
        <w:top w:val="none" w:sz="0" w:space="0" w:color="auto"/>
        <w:left w:val="none" w:sz="0" w:space="0" w:color="auto"/>
        <w:bottom w:val="none" w:sz="0" w:space="0" w:color="auto"/>
        <w:right w:val="none" w:sz="0" w:space="0" w:color="auto"/>
      </w:divBdr>
    </w:div>
    <w:div w:id="452212996">
      <w:bodyDiv w:val="1"/>
      <w:marLeft w:val="0"/>
      <w:marRight w:val="0"/>
      <w:marTop w:val="0"/>
      <w:marBottom w:val="0"/>
      <w:divBdr>
        <w:top w:val="none" w:sz="0" w:space="0" w:color="auto"/>
        <w:left w:val="none" w:sz="0" w:space="0" w:color="auto"/>
        <w:bottom w:val="none" w:sz="0" w:space="0" w:color="auto"/>
        <w:right w:val="none" w:sz="0" w:space="0" w:color="auto"/>
      </w:divBdr>
    </w:div>
    <w:div w:id="461971493">
      <w:bodyDiv w:val="1"/>
      <w:marLeft w:val="0"/>
      <w:marRight w:val="0"/>
      <w:marTop w:val="0"/>
      <w:marBottom w:val="0"/>
      <w:divBdr>
        <w:top w:val="none" w:sz="0" w:space="0" w:color="auto"/>
        <w:left w:val="none" w:sz="0" w:space="0" w:color="auto"/>
        <w:bottom w:val="none" w:sz="0" w:space="0" w:color="auto"/>
        <w:right w:val="none" w:sz="0" w:space="0" w:color="auto"/>
      </w:divBdr>
    </w:div>
    <w:div w:id="469830792">
      <w:bodyDiv w:val="1"/>
      <w:marLeft w:val="0"/>
      <w:marRight w:val="0"/>
      <w:marTop w:val="0"/>
      <w:marBottom w:val="0"/>
      <w:divBdr>
        <w:top w:val="none" w:sz="0" w:space="0" w:color="auto"/>
        <w:left w:val="none" w:sz="0" w:space="0" w:color="auto"/>
        <w:bottom w:val="none" w:sz="0" w:space="0" w:color="auto"/>
        <w:right w:val="none" w:sz="0" w:space="0" w:color="auto"/>
      </w:divBdr>
    </w:div>
    <w:div w:id="470825380">
      <w:bodyDiv w:val="1"/>
      <w:marLeft w:val="0"/>
      <w:marRight w:val="0"/>
      <w:marTop w:val="0"/>
      <w:marBottom w:val="0"/>
      <w:divBdr>
        <w:top w:val="none" w:sz="0" w:space="0" w:color="auto"/>
        <w:left w:val="none" w:sz="0" w:space="0" w:color="auto"/>
        <w:bottom w:val="none" w:sz="0" w:space="0" w:color="auto"/>
        <w:right w:val="none" w:sz="0" w:space="0" w:color="auto"/>
      </w:divBdr>
    </w:div>
    <w:div w:id="478499188">
      <w:bodyDiv w:val="1"/>
      <w:marLeft w:val="0"/>
      <w:marRight w:val="0"/>
      <w:marTop w:val="0"/>
      <w:marBottom w:val="0"/>
      <w:divBdr>
        <w:top w:val="none" w:sz="0" w:space="0" w:color="auto"/>
        <w:left w:val="none" w:sz="0" w:space="0" w:color="auto"/>
        <w:bottom w:val="none" w:sz="0" w:space="0" w:color="auto"/>
        <w:right w:val="none" w:sz="0" w:space="0" w:color="auto"/>
      </w:divBdr>
    </w:div>
    <w:div w:id="514853181">
      <w:bodyDiv w:val="1"/>
      <w:marLeft w:val="0"/>
      <w:marRight w:val="0"/>
      <w:marTop w:val="0"/>
      <w:marBottom w:val="0"/>
      <w:divBdr>
        <w:top w:val="none" w:sz="0" w:space="0" w:color="auto"/>
        <w:left w:val="none" w:sz="0" w:space="0" w:color="auto"/>
        <w:bottom w:val="none" w:sz="0" w:space="0" w:color="auto"/>
        <w:right w:val="none" w:sz="0" w:space="0" w:color="auto"/>
      </w:divBdr>
    </w:div>
    <w:div w:id="520703435">
      <w:bodyDiv w:val="1"/>
      <w:marLeft w:val="0"/>
      <w:marRight w:val="0"/>
      <w:marTop w:val="0"/>
      <w:marBottom w:val="0"/>
      <w:divBdr>
        <w:top w:val="none" w:sz="0" w:space="0" w:color="auto"/>
        <w:left w:val="none" w:sz="0" w:space="0" w:color="auto"/>
        <w:bottom w:val="none" w:sz="0" w:space="0" w:color="auto"/>
        <w:right w:val="none" w:sz="0" w:space="0" w:color="auto"/>
      </w:divBdr>
    </w:div>
    <w:div w:id="520825049">
      <w:bodyDiv w:val="1"/>
      <w:marLeft w:val="0"/>
      <w:marRight w:val="0"/>
      <w:marTop w:val="0"/>
      <w:marBottom w:val="0"/>
      <w:divBdr>
        <w:top w:val="none" w:sz="0" w:space="0" w:color="auto"/>
        <w:left w:val="none" w:sz="0" w:space="0" w:color="auto"/>
        <w:bottom w:val="none" w:sz="0" w:space="0" w:color="auto"/>
        <w:right w:val="none" w:sz="0" w:space="0" w:color="auto"/>
      </w:divBdr>
    </w:div>
    <w:div w:id="521280758">
      <w:bodyDiv w:val="1"/>
      <w:marLeft w:val="0"/>
      <w:marRight w:val="0"/>
      <w:marTop w:val="0"/>
      <w:marBottom w:val="0"/>
      <w:divBdr>
        <w:top w:val="none" w:sz="0" w:space="0" w:color="auto"/>
        <w:left w:val="none" w:sz="0" w:space="0" w:color="auto"/>
        <w:bottom w:val="none" w:sz="0" w:space="0" w:color="auto"/>
        <w:right w:val="none" w:sz="0" w:space="0" w:color="auto"/>
      </w:divBdr>
    </w:div>
    <w:div w:id="527378812">
      <w:bodyDiv w:val="1"/>
      <w:marLeft w:val="0"/>
      <w:marRight w:val="0"/>
      <w:marTop w:val="0"/>
      <w:marBottom w:val="0"/>
      <w:divBdr>
        <w:top w:val="none" w:sz="0" w:space="0" w:color="auto"/>
        <w:left w:val="none" w:sz="0" w:space="0" w:color="auto"/>
        <w:bottom w:val="none" w:sz="0" w:space="0" w:color="auto"/>
        <w:right w:val="none" w:sz="0" w:space="0" w:color="auto"/>
      </w:divBdr>
    </w:div>
    <w:div w:id="531117022">
      <w:bodyDiv w:val="1"/>
      <w:marLeft w:val="0"/>
      <w:marRight w:val="0"/>
      <w:marTop w:val="0"/>
      <w:marBottom w:val="0"/>
      <w:divBdr>
        <w:top w:val="none" w:sz="0" w:space="0" w:color="auto"/>
        <w:left w:val="none" w:sz="0" w:space="0" w:color="auto"/>
        <w:bottom w:val="none" w:sz="0" w:space="0" w:color="auto"/>
        <w:right w:val="none" w:sz="0" w:space="0" w:color="auto"/>
      </w:divBdr>
    </w:div>
    <w:div w:id="531771531">
      <w:bodyDiv w:val="1"/>
      <w:marLeft w:val="0"/>
      <w:marRight w:val="0"/>
      <w:marTop w:val="0"/>
      <w:marBottom w:val="0"/>
      <w:divBdr>
        <w:top w:val="none" w:sz="0" w:space="0" w:color="auto"/>
        <w:left w:val="none" w:sz="0" w:space="0" w:color="auto"/>
        <w:bottom w:val="none" w:sz="0" w:space="0" w:color="auto"/>
        <w:right w:val="none" w:sz="0" w:space="0" w:color="auto"/>
      </w:divBdr>
    </w:div>
    <w:div w:id="546912224">
      <w:bodyDiv w:val="1"/>
      <w:marLeft w:val="0"/>
      <w:marRight w:val="0"/>
      <w:marTop w:val="0"/>
      <w:marBottom w:val="0"/>
      <w:divBdr>
        <w:top w:val="none" w:sz="0" w:space="0" w:color="auto"/>
        <w:left w:val="none" w:sz="0" w:space="0" w:color="auto"/>
        <w:bottom w:val="none" w:sz="0" w:space="0" w:color="auto"/>
        <w:right w:val="none" w:sz="0" w:space="0" w:color="auto"/>
      </w:divBdr>
    </w:div>
    <w:div w:id="561330251">
      <w:bodyDiv w:val="1"/>
      <w:marLeft w:val="0"/>
      <w:marRight w:val="0"/>
      <w:marTop w:val="0"/>
      <w:marBottom w:val="0"/>
      <w:divBdr>
        <w:top w:val="none" w:sz="0" w:space="0" w:color="auto"/>
        <w:left w:val="none" w:sz="0" w:space="0" w:color="auto"/>
        <w:bottom w:val="none" w:sz="0" w:space="0" w:color="auto"/>
        <w:right w:val="none" w:sz="0" w:space="0" w:color="auto"/>
      </w:divBdr>
    </w:div>
    <w:div w:id="561721272">
      <w:bodyDiv w:val="1"/>
      <w:marLeft w:val="0"/>
      <w:marRight w:val="0"/>
      <w:marTop w:val="0"/>
      <w:marBottom w:val="0"/>
      <w:divBdr>
        <w:top w:val="none" w:sz="0" w:space="0" w:color="auto"/>
        <w:left w:val="none" w:sz="0" w:space="0" w:color="auto"/>
        <w:bottom w:val="none" w:sz="0" w:space="0" w:color="auto"/>
        <w:right w:val="none" w:sz="0" w:space="0" w:color="auto"/>
      </w:divBdr>
    </w:div>
    <w:div w:id="568921596">
      <w:bodyDiv w:val="1"/>
      <w:marLeft w:val="0"/>
      <w:marRight w:val="0"/>
      <w:marTop w:val="0"/>
      <w:marBottom w:val="0"/>
      <w:divBdr>
        <w:top w:val="none" w:sz="0" w:space="0" w:color="auto"/>
        <w:left w:val="none" w:sz="0" w:space="0" w:color="auto"/>
        <w:bottom w:val="none" w:sz="0" w:space="0" w:color="auto"/>
        <w:right w:val="none" w:sz="0" w:space="0" w:color="auto"/>
      </w:divBdr>
    </w:div>
    <w:div w:id="571429440">
      <w:bodyDiv w:val="1"/>
      <w:marLeft w:val="0"/>
      <w:marRight w:val="0"/>
      <w:marTop w:val="0"/>
      <w:marBottom w:val="0"/>
      <w:divBdr>
        <w:top w:val="none" w:sz="0" w:space="0" w:color="auto"/>
        <w:left w:val="none" w:sz="0" w:space="0" w:color="auto"/>
        <w:bottom w:val="none" w:sz="0" w:space="0" w:color="auto"/>
        <w:right w:val="none" w:sz="0" w:space="0" w:color="auto"/>
      </w:divBdr>
    </w:div>
    <w:div w:id="599336669">
      <w:bodyDiv w:val="1"/>
      <w:marLeft w:val="0"/>
      <w:marRight w:val="0"/>
      <w:marTop w:val="0"/>
      <w:marBottom w:val="0"/>
      <w:divBdr>
        <w:top w:val="none" w:sz="0" w:space="0" w:color="auto"/>
        <w:left w:val="none" w:sz="0" w:space="0" w:color="auto"/>
        <w:bottom w:val="none" w:sz="0" w:space="0" w:color="auto"/>
        <w:right w:val="none" w:sz="0" w:space="0" w:color="auto"/>
      </w:divBdr>
    </w:div>
    <w:div w:id="640427665">
      <w:bodyDiv w:val="1"/>
      <w:marLeft w:val="0"/>
      <w:marRight w:val="0"/>
      <w:marTop w:val="0"/>
      <w:marBottom w:val="0"/>
      <w:divBdr>
        <w:top w:val="none" w:sz="0" w:space="0" w:color="auto"/>
        <w:left w:val="none" w:sz="0" w:space="0" w:color="auto"/>
        <w:bottom w:val="none" w:sz="0" w:space="0" w:color="auto"/>
        <w:right w:val="none" w:sz="0" w:space="0" w:color="auto"/>
      </w:divBdr>
    </w:div>
    <w:div w:id="685641824">
      <w:bodyDiv w:val="1"/>
      <w:marLeft w:val="0"/>
      <w:marRight w:val="0"/>
      <w:marTop w:val="0"/>
      <w:marBottom w:val="0"/>
      <w:divBdr>
        <w:top w:val="none" w:sz="0" w:space="0" w:color="auto"/>
        <w:left w:val="none" w:sz="0" w:space="0" w:color="auto"/>
        <w:bottom w:val="none" w:sz="0" w:space="0" w:color="auto"/>
        <w:right w:val="none" w:sz="0" w:space="0" w:color="auto"/>
      </w:divBdr>
    </w:div>
    <w:div w:id="715273744">
      <w:bodyDiv w:val="1"/>
      <w:marLeft w:val="0"/>
      <w:marRight w:val="0"/>
      <w:marTop w:val="0"/>
      <w:marBottom w:val="0"/>
      <w:divBdr>
        <w:top w:val="none" w:sz="0" w:space="0" w:color="auto"/>
        <w:left w:val="none" w:sz="0" w:space="0" w:color="auto"/>
        <w:bottom w:val="none" w:sz="0" w:space="0" w:color="auto"/>
        <w:right w:val="none" w:sz="0" w:space="0" w:color="auto"/>
      </w:divBdr>
    </w:div>
    <w:div w:id="720325807">
      <w:bodyDiv w:val="1"/>
      <w:marLeft w:val="0"/>
      <w:marRight w:val="0"/>
      <w:marTop w:val="0"/>
      <w:marBottom w:val="0"/>
      <w:divBdr>
        <w:top w:val="none" w:sz="0" w:space="0" w:color="auto"/>
        <w:left w:val="none" w:sz="0" w:space="0" w:color="auto"/>
        <w:bottom w:val="none" w:sz="0" w:space="0" w:color="auto"/>
        <w:right w:val="none" w:sz="0" w:space="0" w:color="auto"/>
      </w:divBdr>
    </w:div>
    <w:div w:id="722483843">
      <w:bodyDiv w:val="1"/>
      <w:marLeft w:val="0"/>
      <w:marRight w:val="0"/>
      <w:marTop w:val="0"/>
      <w:marBottom w:val="0"/>
      <w:divBdr>
        <w:top w:val="none" w:sz="0" w:space="0" w:color="auto"/>
        <w:left w:val="none" w:sz="0" w:space="0" w:color="auto"/>
        <w:bottom w:val="none" w:sz="0" w:space="0" w:color="auto"/>
        <w:right w:val="none" w:sz="0" w:space="0" w:color="auto"/>
      </w:divBdr>
    </w:div>
    <w:div w:id="764421415">
      <w:bodyDiv w:val="1"/>
      <w:marLeft w:val="0"/>
      <w:marRight w:val="0"/>
      <w:marTop w:val="0"/>
      <w:marBottom w:val="0"/>
      <w:divBdr>
        <w:top w:val="none" w:sz="0" w:space="0" w:color="auto"/>
        <w:left w:val="none" w:sz="0" w:space="0" w:color="auto"/>
        <w:bottom w:val="none" w:sz="0" w:space="0" w:color="auto"/>
        <w:right w:val="none" w:sz="0" w:space="0" w:color="auto"/>
      </w:divBdr>
    </w:div>
    <w:div w:id="778643556">
      <w:bodyDiv w:val="1"/>
      <w:marLeft w:val="0"/>
      <w:marRight w:val="0"/>
      <w:marTop w:val="0"/>
      <w:marBottom w:val="0"/>
      <w:divBdr>
        <w:top w:val="none" w:sz="0" w:space="0" w:color="auto"/>
        <w:left w:val="none" w:sz="0" w:space="0" w:color="auto"/>
        <w:bottom w:val="none" w:sz="0" w:space="0" w:color="auto"/>
        <w:right w:val="none" w:sz="0" w:space="0" w:color="auto"/>
      </w:divBdr>
    </w:div>
    <w:div w:id="780419083">
      <w:bodyDiv w:val="1"/>
      <w:marLeft w:val="0"/>
      <w:marRight w:val="0"/>
      <w:marTop w:val="0"/>
      <w:marBottom w:val="0"/>
      <w:divBdr>
        <w:top w:val="none" w:sz="0" w:space="0" w:color="auto"/>
        <w:left w:val="none" w:sz="0" w:space="0" w:color="auto"/>
        <w:bottom w:val="none" w:sz="0" w:space="0" w:color="auto"/>
        <w:right w:val="none" w:sz="0" w:space="0" w:color="auto"/>
      </w:divBdr>
    </w:div>
    <w:div w:id="789520505">
      <w:bodyDiv w:val="1"/>
      <w:marLeft w:val="0"/>
      <w:marRight w:val="0"/>
      <w:marTop w:val="0"/>
      <w:marBottom w:val="0"/>
      <w:divBdr>
        <w:top w:val="none" w:sz="0" w:space="0" w:color="auto"/>
        <w:left w:val="none" w:sz="0" w:space="0" w:color="auto"/>
        <w:bottom w:val="none" w:sz="0" w:space="0" w:color="auto"/>
        <w:right w:val="none" w:sz="0" w:space="0" w:color="auto"/>
      </w:divBdr>
    </w:div>
    <w:div w:id="800464359">
      <w:bodyDiv w:val="1"/>
      <w:marLeft w:val="0"/>
      <w:marRight w:val="0"/>
      <w:marTop w:val="0"/>
      <w:marBottom w:val="0"/>
      <w:divBdr>
        <w:top w:val="none" w:sz="0" w:space="0" w:color="auto"/>
        <w:left w:val="none" w:sz="0" w:space="0" w:color="auto"/>
        <w:bottom w:val="none" w:sz="0" w:space="0" w:color="auto"/>
        <w:right w:val="none" w:sz="0" w:space="0" w:color="auto"/>
      </w:divBdr>
    </w:div>
    <w:div w:id="822282384">
      <w:bodyDiv w:val="1"/>
      <w:marLeft w:val="0"/>
      <w:marRight w:val="0"/>
      <w:marTop w:val="0"/>
      <w:marBottom w:val="0"/>
      <w:divBdr>
        <w:top w:val="none" w:sz="0" w:space="0" w:color="auto"/>
        <w:left w:val="none" w:sz="0" w:space="0" w:color="auto"/>
        <w:bottom w:val="none" w:sz="0" w:space="0" w:color="auto"/>
        <w:right w:val="none" w:sz="0" w:space="0" w:color="auto"/>
      </w:divBdr>
    </w:div>
    <w:div w:id="828441798">
      <w:bodyDiv w:val="1"/>
      <w:marLeft w:val="0"/>
      <w:marRight w:val="0"/>
      <w:marTop w:val="0"/>
      <w:marBottom w:val="0"/>
      <w:divBdr>
        <w:top w:val="none" w:sz="0" w:space="0" w:color="auto"/>
        <w:left w:val="none" w:sz="0" w:space="0" w:color="auto"/>
        <w:bottom w:val="none" w:sz="0" w:space="0" w:color="auto"/>
        <w:right w:val="none" w:sz="0" w:space="0" w:color="auto"/>
      </w:divBdr>
    </w:div>
    <w:div w:id="919171520">
      <w:bodyDiv w:val="1"/>
      <w:marLeft w:val="0"/>
      <w:marRight w:val="0"/>
      <w:marTop w:val="0"/>
      <w:marBottom w:val="0"/>
      <w:divBdr>
        <w:top w:val="none" w:sz="0" w:space="0" w:color="auto"/>
        <w:left w:val="none" w:sz="0" w:space="0" w:color="auto"/>
        <w:bottom w:val="none" w:sz="0" w:space="0" w:color="auto"/>
        <w:right w:val="none" w:sz="0" w:space="0" w:color="auto"/>
      </w:divBdr>
    </w:div>
    <w:div w:id="932932587">
      <w:bodyDiv w:val="1"/>
      <w:marLeft w:val="0"/>
      <w:marRight w:val="0"/>
      <w:marTop w:val="0"/>
      <w:marBottom w:val="0"/>
      <w:divBdr>
        <w:top w:val="none" w:sz="0" w:space="0" w:color="auto"/>
        <w:left w:val="none" w:sz="0" w:space="0" w:color="auto"/>
        <w:bottom w:val="none" w:sz="0" w:space="0" w:color="auto"/>
        <w:right w:val="none" w:sz="0" w:space="0" w:color="auto"/>
      </w:divBdr>
    </w:div>
    <w:div w:id="936718186">
      <w:bodyDiv w:val="1"/>
      <w:marLeft w:val="0"/>
      <w:marRight w:val="0"/>
      <w:marTop w:val="0"/>
      <w:marBottom w:val="0"/>
      <w:divBdr>
        <w:top w:val="none" w:sz="0" w:space="0" w:color="auto"/>
        <w:left w:val="none" w:sz="0" w:space="0" w:color="auto"/>
        <w:bottom w:val="none" w:sz="0" w:space="0" w:color="auto"/>
        <w:right w:val="none" w:sz="0" w:space="0" w:color="auto"/>
      </w:divBdr>
    </w:div>
    <w:div w:id="962884735">
      <w:bodyDiv w:val="1"/>
      <w:marLeft w:val="0"/>
      <w:marRight w:val="0"/>
      <w:marTop w:val="0"/>
      <w:marBottom w:val="0"/>
      <w:divBdr>
        <w:top w:val="none" w:sz="0" w:space="0" w:color="auto"/>
        <w:left w:val="none" w:sz="0" w:space="0" w:color="auto"/>
        <w:bottom w:val="none" w:sz="0" w:space="0" w:color="auto"/>
        <w:right w:val="none" w:sz="0" w:space="0" w:color="auto"/>
      </w:divBdr>
    </w:div>
    <w:div w:id="964967740">
      <w:bodyDiv w:val="1"/>
      <w:marLeft w:val="0"/>
      <w:marRight w:val="0"/>
      <w:marTop w:val="0"/>
      <w:marBottom w:val="0"/>
      <w:divBdr>
        <w:top w:val="none" w:sz="0" w:space="0" w:color="auto"/>
        <w:left w:val="none" w:sz="0" w:space="0" w:color="auto"/>
        <w:bottom w:val="none" w:sz="0" w:space="0" w:color="auto"/>
        <w:right w:val="none" w:sz="0" w:space="0" w:color="auto"/>
      </w:divBdr>
    </w:div>
    <w:div w:id="971983661">
      <w:bodyDiv w:val="1"/>
      <w:marLeft w:val="0"/>
      <w:marRight w:val="0"/>
      <w:marTop w:val="0"/>
      <w:marBottom w:val="0"/>
      <w:divBdr>
        <w:top w:val="none" w:sz="0" w:space="0" w:color="auto"/>
        <w:left w:val="none" w:sz="0" w:space="0" w:color="auto"/>
        <w:bottom w:val="none" w:sz="0" w:space="0" w:color="auto"/>
        <w:right w:val="none" w:sz="0" w:space="0" w:color="auto"/>
      </w:divBdr>
    </w:div>
    <w:div w:id="979726854">
      <w:bodyDiv w:val="1"/>
      <w:marLeft w:val="0"/>
      <w:marRight w:val="0"/>
      <w:marTop w:val="0"/>
      <w:marBottom w:val="0"/>
      <w:divBdr>
        <w:top w:val="none" w:sz="0" w:space="0" w:color="auto"/>
        <w:left w:val="none" w:sz="0" w:space="0" w:color="auto"/>
        <w:bottom w:val="none" w:sz="0" w:space="0" w:color="auto"/>
        <w:right w:val="none" w:sz="0" w:space="0" w:color="auto"/>
      </w:divBdr>
    </w:div>
    <w:div w:id="995230236">
      <w:bodyDiv w:val="1"/>
      <w:marLeft w:val="0"/>
      <w:marRight w:val="0"/>
      <w:marTop w:val="0"/>
      <w:marBottom w:val="0"/>
      <w:divBdr>
        <w:top w:val="none" w:sz="0" w:space="0" w:color="auto"/>
        <w:left w:val="none" w:sz="0" w:space="0" w:color="auto"/>
        <w:bottom w:val="none" w:sz="0" w:space="0" w:color="auto"/>
        <w:right w:val="none" w:sz="0" w:space="0" w:color="auto"/>
      </w:divBdr>
    </w:div>
    <w:div w:id="999963462">
      <w:bodyDiv w:val="1"/>
      <w:marLeft w:val="0"/>
      <w:marRight w:val="0"/>
      <w:marTop w:val="0"/>
      <w:marBottom w:val="0"/>
      <w:divBdr>
        <w:top w:val="none" w:sz="0" w:space="0" w:color="auto"/>
        <w:left w:val="none" w:sz="0" w:space="0" w:color="auto"/>
        <w:bottom w:val="none" w:sz="0" w:space="0" w:color="auto"/>
        <w:right w:val="none" w:sz="0" w:space="0" w:color="auto"/>
      </w:divBdr>
    </w:div>
    <w:div w:id="1003434092">
      <w:bodyDiv w:val="1"/>
      <w:marLeft w:val="0"/>
      <w:marRight w:val="0"/>
      <w:marTop w:val="0"/>
      <w:marBottom w:val="0"/>
      <w:divBdr>
        <w:top w:val="none" w:sz="0" w:space="0" w:color="auto"/>
        <w:left w:val="none" w:sz="0" w:space="0" w:color="auto"/>
        <w:bottom w:val="none" w:sz="0" w:space="0" w:color="auto"/>
        <w:right w:val="none" w:sz="0" w:space="0" w:color="auto"/>
      </w:divBdr>
    </w:div>
    <w:div w:id="1019160064">
      <w:bodyDiv w:val="1"/>
      <w:marLeft w:val="0"/>
      <w:marRight w:val="0"/>
      <w:marTop w:val="0"/>
      <w:marBottom w:val="0"/>
      <w:divBdr>
        <w:top w:val="none" w:sz="0" w:space="0" w:color="auto"/>
        <w:left w:val="none" w:sz="0" w:space="0" w:color="auto"/>
        <w:bottom w:val="none" w:sz="0" w:space="0" w:color="auto"/>
        <w:right w:val="none" w:sz="0" w:space="0" w:color="auto"/>
      </w:divBdr>
    </w:div>
    <w:div w:id="1034308900">
      <w:bodyDiv w:val="1"/>
      <w:marLeft w:val="0"/>
      <w:marRight w:val="0"/>
      <w:marTop w:val="0"/>
      <w:marBottom w:val="0"/>
      <w:divBdr>
        <w:top w:val="none" w:sz="0" w:space="0" w:color="auto"/>
        <w:left w:val="none" w:sz="0" w:space="0" w:color="auto"/>
        <w:bottom w:val="none" w:sz="0" w:space="0" w:color="auto"/>
        <w:right w:val="none" w:sz="0" w:space="0" w:color="auto"/>
      </w:divBdr>
    </w:div>
    <w:div w:id="1049382604">
      <w:bodyDiv w:val="1"/>
      <w:marLeft w:val="0"/>
      <w:marRight w:val="0"/>
      <w:marTop w:val="0"/>
      <w:marBottom w:val="0"/>
      <w:divBdr>
        <w:top w:val="none" w:sz="0" w:space="0" w:color="auto"/>
        <w:left w:val="none" w:sz="0" w:space="0" w:color="auto"/>
        <w:bottom w:val="none" w:sz="0" w:space="0" w:color="auto"/>
        <w:right w:val="none" w:sz="0" w:space="0" w:color="auto"/>
      </w:divBdr>
    </w:div>
    <w:div w:id="1049768077">
      <w:bodyDiv w:val="1"/>
      <w:marLeft w:val="0"/>
      <w:marRight w:val="0"/>
      <w:marTop w:val="0"/>
      <w:marBottom w:val="0"/>
      <w:divBdr>
        <w:top w:val="none" w:sz="0" w:space="0" w:color="auto"/>
        <w:left w:val="none" w:sz="0" w:space="0" w:color="auto"/>
        <w:bottom w:val="none" w:sz="0" w:space="0" w:color="auto"/>
        <w:right w:val="none" w:sz="0" w:space="0" w:color="auto"/>
      </w:divBdr>
    </w:div>
    <w:div w:id="1055662381">
      <w:bodyDiv w:val="1"/>
      <w:marLeft w:val="0"/>
      <w:marRight w:val="0"/>
      <w:marTop w:val="0"/>
      <w:marBottom w:val="0"/>
      <w:divBdr>
        <w:top w:val="none" w:sz="0" w:space="0" w:color="auto"/>
        <w:left w:val="none" w:sz="0" w:space="0" w:color="auto"/>
        <w:bottom w:val="none" w:sz="0" w:space="0" w:color="auto"/>
        <w:right w:val="none" w:sz="0" w:space="0" w:color="auto"/>
      </w:divBdr>
    </w:div>
    <w:div w:id="1055737113">
      <w:bodyDiv w:val="1"/>
      <w:marLeft w:val="0"/>
      <w:marRight w:val="0"/>
      <w:marTop w:val="0"/>
      <w:marBottom w:val="0"/>
      <w:divBdr>
        <w:top w:val="none" w:sz="0" w:space="0" w:color="auto"/>
        <w:left w:val="none" w:sz="0" w:space="0" w:color="auto"/>
        <w:bottom w:val="none" w:sz="0" w:space="0" w:color="auto"/>
        <w:right w:val="none" w:sz="0" w:space="0" w:color="auto"/>
      </w:divBdr>
    </w:div>
    <w:div w:id="1063597135">
      <w:bodyDiv w:val="1"/>
      <w:marLeft w:val="0"/>
      <w:marRight w:val="0"/>
      <w:marTop w:val="0"/>
      <w:marBottom w:val="0"/>
      <w:divBdr>
        <w:top w:val="none" w:sz="0" w:space="0" w:color="auto"/>
        <w:left w:val="none" w:sz="0" w:space="0" w:color="auto"/>
        <w:bottom w:val="none" w:sz="0" w:space="0" w:color="auto"/>
        <w:right w:val="none" w:sz="0" w:space="0" w:color="auto"/>
      </w:divBdr>
    </w:div>
    <w:div w:id="1064839753">
      <w:bodyDiv w:val="1"/>
      <w:marLeft w:val="0"/>
      <w:marRight w:val="0"/>
      <w:marTop w:val="0"/>
      <w:marBottom w:val="0"/>
      <w:divBdr>
        <w:top w:val="none" w:sz="0" w:space="0" w:color="auto"/>
        <w:left w:val="none" w:sz="0" w:space="0" w:color="auto"/>
        <w:bottom w:val="none" w:sz="0" w:space="0" w:color="auto"/>
        <w:right w:val="none" w:sz="0" w:space="0" w:color="auto"/>
      </w:divBdr>
    </w:div>
    <w:div w:id="1077240137">
      <w:bodyDiv w:val="1"/>
      <w:marLeft w:val="0"/>
      <w:marRight w:val="0"/>
      <w:marTop w:val="0"/>
      <w:marBottom w:val="0"/>
      <w:divBdr>
        <w:top w:val="none" w:sz="0" w:space="0" w:color="auto"/>
        <w:left w:val="none" w:sz="0" w:space="0" w:color="auto"/>
        <w:bottom w:val="none" w:sz="0" w:space="0" w:color="auto"/>
        <w:right w:val="none" w:sz="0" w:space="0" w:color="auto"/>
      </w:divBdr>
    </w:div>
    <w:div w:id="1100370246">
      <w:bodyDiv w:val="1"/>
      <w:marLeft w:val="0"/>
      <w:marRight w:val="0"/>
      <w:marTop w:val="0"/>
      <w:marBottom w:val="0"/>
      <w:divBdr>
        <w:top w:val="none" w:sz="0" w:space="0" w:color="auto"/>
        <w:left w:val="none" w:sz="0" w:space="0" w:color="auto"/>
        <w:bottom w:val="none" w:sz="0" w:space="0" w:color="auto"/>
        <w:right w:val="none" w:sz="0" w:space="0" w:color="auto"/>
      </w:divBdr>
    </w:div>
    <w:div w:id="1111244080">
      <w:bodyDiv w:val="1"/>
      <w:marLeft w:val="0"/>
      <w:marRight w:val="0"/>
      <w:marTop w:val="0"/>
      <w:marBottom w:val="0"/>
      <w:divBdr>
        <w:top w:val="none" w:sz="0" w:space="0" w:color="auto"/>
        <w:left w:val="none" w:sz="0" w:space="0" w:color="auto"/>
        <w:bottom w:val="none" w:sz="0" w:space="0" w:color="auto"/>
        <w:right w:val="none" w:sz="0" w:space="0" w:color="auto"/>
      </w:divBdr>
    </w:div>
    <w:div w:id="1116942483">
      <w:bodyDiv w:val="1"/>
      <w:marLeft w:val="0"/>
      <w:marRight w:val="0"/>
      <w:marTop w:val="0"/>
      <w:marBottom w:val="0"/>
      <w:divBdr>
        <w:top w:val="none" w:sz="0" w:space="0" w:color="auto"/>
        <w:left w:val="none" w:sz="0" w:space="0" w:color="auto"/>
        <w:bottom w:val="none" w:sz="0" w:space="0" w:color="auto"/>
        <w:right w:val="none" w:sz="0" w:space="0" w:color="auto"/>
      </w:divBdr>
    </w:div>
    <w:div w:id="1145050289">
      <w:bodyDiv w:val="1"/>
      <w:marLeft w:val="0"/>
      <w:marRight w:val="0"/>
      <w:marTop w:val="0"/>
      <w:marBottom w:val="0"/>
      <w:divBdr>
        <w:top w:val="none" w:sz="0" w:space="0" w:color="auto"/>
        <w:left w:val="none" w:sz="0" w:space="0" w:color="auto"/>
        <w:bottom w:val="none" w:sz="0" w:space="0" w:color="auto"/>
        <w:right w:val="none" w:sz="0" w:space="0" w:color="auto"/>
      </w:divBdr>
    </w:div>
    <w:div w:id="1151407311">
      <w:bodyDiv w:val="1"/>
      <w:marLeft w:val="0"/>
      <w:marRight w:val="0"/>
      <w:marTop w:val="0"/>
      <w:marBottom w:val="0"/>
      <w:divBdr>
        <w:top w:val="none" w:sz="0" w:space="0" w:color="auto"/>
        <w:left w:val="none" w:sz="0" w:space="0" w:color="auto"/>
        <w:bottom w:val="none" w:sz="0" w:space="0" w:color="auto"/>
        <w:right w:val="none" w:sz="0" w:space="0" w:color="auto"/>
      </w:divBdr>
    </w:div>
    <w:div w:id="1166362165">
      <w:bodyDiv w:val="1"/>
      <w:marLeft w:val="0"/>
      <w:marRight w:val="0"/>
      <w:marTop w:val="0"/>
      <w:marBottom w:val="0"/>
      <w:divBdr>
        <w:top w:val="none" w:sz="0" w:space="0" w:color="auto"/>
        <w:left w:val="none" w:sz="0" w:space="0" w:color="auto"/>
        <w:bottom w:val="none" w:sz="0" w:space="0" w:color="auto"/>
        <w:right w:val="none" w:sz="0" w:space="0" w:color="auto"/>
      </w:divBdr>
    </w:div>
    <w:div w:id="1188835557">
      <w:bodyDiv w:val="1"/>
      <w:marLeft w:val="0"/>
      <w:marRight w:val="0"/>
      <w:marTop w:val="0"/>
      <w:marBottom w:val="0"/>
      <w:divBdr>
        <w:top w:val="none" w:sz="0" w:space="0" w:color="auto"/>
        <w:left w:val="none" w:sz="0" w:space="0" w:color="auto"/>
        <w:bottom w:val="none" w:sz="0" w:space="0" w:color="auto"/>
        <w:right w:val="none" w:sz="0" w:space="0" w:color="auto"/>
      </w:divBdr>
    </w:div>
    <w:div w:id="1191721702">
      <w:bodyDiv w:val="1"/>
      <w:marLeft w:val="0"/>
      <w:marRight w:val="0"/>
      <w:marTop w:val="0"/>
      <w:marBottom w:val="0"/>
      <w:divBdr>
        <w:top w:val="none" w:sz="0" w:space="0" w:color="auto"/>
        <w:left w:val="none" w:sz="0" w:space="0" w:color="auto"/>
        <w:bottom w:val="none" w:sz="0" w:space="0" w:color="auto"/>
        <w:right w:val="none" w:sz="0" w:space="0" w:color="auto"/>
      </w:divBdr>
    </w:div>
    <w:div w:id="1194533760">
      <w:bodyDiv w:val="1"/>
      <w:marLeft w:val="0"/>
      <w:marRight w:val="0"/>
      <w:marTop w:val="0"/>
      <w:marBottom w:val="0"/>
      <w:divBdr>
        <w:top w:val="none" w:sz="0" w:space="0" w:color="auto"/>
        <w:left w:val="none" w:sz="0" w:space="0" w:color="auto"/>
        <w:bottom w:val="none" w:sz="0" w:space="0" w:color="auto"/>
        <w:right w:val="none" w:sz="0" w:space="0" w:color="auto"/>
      </w:divBdr>
    </w:div>
    <w:div w:id="1201093789">
      <w:bodyDiv w:val="1"/>
      <w:marLeft w:val="0"/>
      <w:marRight w:val="0"/>
      <w:marTop w:val="0"/>
      <w:marBottom w:val="0"/>
      <w:divBdr>
        <w:top w:val="none" w:sz="0" w:space="0" w:color="auto"/>
        <w:left w:val="none" w:sz="0" w:space="0" w:color="auto"/>
        <w:bottom w:val="none" w:sz="0" w:space="0" w:color="auto"/>
        <w:right w:val="none" w:sz="0" w:space="0" w:color="auto"/>
      </w:divBdr>
    </w:div>
    <w:div w:id="1228027481">
      <w:bodyDiv w:val="1"/>
      <w:marLeft w:val="0"/>
      <w:marRight w:val="0"/>
      <w:marTop w:val="0"/>
      <w:marBottom w:val="0"/>
      <w:divBdr>
        <w:top w:val="none" w:sz="0" w:space="0" w:color="auto"/>
        <w:left w:val="none" w:sz="0" w:space="0" w:color="auto"/>
        <w:bottom w:val="none" w:sz="0" w:space="0" w:color="auto"/>
        <w:right w:val="none" w:sz="0" w:space="0" w:color="auto"/>
      </w:divBdr>
    </w:div>
    <w:div w:id="1230119562">
      <w:bodyDiv w:val="1"/>
      <w:marLeft w:val="0"/>
      <w:marRight w:val="0"/>
      <w:marTop w:val="0"/>
      <w:marBottom w:val="0"/>
      <w:divBdr>
        <w:top w:val="none" w:sz="0" w:space="0" w:color="auto"/>
        <w:left w:val="none" w:sz="0" w:space="0" w:color="auto"/>
        <w:bottom w:val="none" w:sz="0" w:space="0" w:color="auto"/>
        <w:right w:val="none" w:sz="0" w:space="0" w:color="auto"/>
      </w:divBdr>
    </w:div>
    <w:div w:id="1233274922">
      <w:bodyDiv w:val="1"/>
      <w:marLeft w:val="0"/>
      <w:marRight w:val="0"/>
      <w:marTop w:val="0"/>
      <w:marBottom w:val="0"/>
      <w:divBdr>
        <w:top w:val="none" w:sz="0" w:space="0" w:color="auto"/>
        <w:left w:val="none" w:sz="0" w:space="0" w:color="auto"/>
        <w:bottom w:val="none" w:sz="0" w:space="0" w:color="auto"/>
        <w:right w:val="none" w:sz="0" w:space="0" w:color="auto"/>
      </w:divBdr>
    </w:div>
    <w:div w:id="1233276167">
      <w:bodyDiv w:val="1"/>
      <w:marLeft w:val="0"/>
      <w:marRight w:val="0"/>
      <w:marTop w:val="0"/>
      <w:marBottom w:val="0"/>
      <w:divBdr>
        <w:top w:val="none" w:sz="0" w:space="0" w:color="auto"/>
        <w:left w:val="none" w:sz="0" w:space="0" w:color="auto"/>
        <w:bottom w:val="none" w:sz="0" w:space="0" w:color="auto"/>
        <w:right w:val="none" w:sz="0" w:space="0" w:color="auto"/>
      </w:divBdr>
    </w:div>
    <w:div w:id="1239171902">
      <w:bodyDiv w:val="1"/>
      <w:marLeft w:val="0"/>
      <w:marRight w:val="0"/>
      <w:marTop w:val="0"/>
      <w:marBottom w:val="0"/>
      <w:divBdr>
        <w:top w:val="none" w:sz="0" w:space="0" w:color="auto"/>
        <w:left w:val="none" w:sz="0" w:space="0" w:color="auto"/>
        <w:bottom w:val="none" w:sz="0" w:space="0" w:color="auto"/>
        <w:right w:val="none" w:sz="0" w:space="0" w:color="auto"/>
      </w:divBdr>
    </w:div>
    <w:div w:id="1252281439">
      <w:bodyDiv w:val="1"/>
      <w:marLeft w:val="0"/>
      <w:marRight w:val="0"/>
      <w:marTop w:val="0"/>
      <w:marBottom w:val="0"/>
      <w:divBdr>
        <w:top w:val="none" w:sz="0" w:space="0" w:color="auto"/>
        <w:left w:val="none" w:sz="0" w:space="0" w:color="auto"/>
        <w:bottom w:val="none" w:sz="0" w:space="0" w:color="auto"/>
        <w:right w:val="none" w:sz="0" w:space="0" w:color="auto"/>
      </w:divBdr>
    </w:div>
    <w:div w:id="1276790153">
      <w:bodyDiv w:val="1"/>
      <w:marLeft w:val="0"/>
      <w:marRight w:val="0"/>
      <w:marTop w:val="0"/>
      <w:marBottom w:val="0"/>
      <w:divBdr>
        <w:top w:val="none" w:sz="0" w:space="0" w:color="auto"/>
        <w:left w:val="none" w:sz="0" w:space="0" w:color="auto"/>
        <w:bottom w:val="none" w:sz="0" w:space="0" w:color="auto"/>
        <w:right w:val="none" w:sz="0" w:space="0" w:color="auto"/>
      </w:divBdr>
    </w:div>
    <w:div w:id="1278491492">
      <w:bodyDiv w:val="1"/>
      <w:marLeft w:val="0"/>
      <w:marRight w:val="0"/>
      <w:marTop w:val="0"/>
      <w:marBottom w:val="0"/>
      <w:divBdr>
        <w:top w:val="none" w:sz="0" w:space="0" w:color="auto"/>
        <w:left w:val="none" w:sz="0" w:space="0" w:color="auto"/>
        <w:bottom w:val="none" w:sz="0" w:space="0" w:color="auto"/>
        <w:right w:val="none" w:sz="0" w:space="0" w:color="auto"/>
      </w:divBdr>
    </w:div>
    <w:div w:id="1288506087">
      <w:bodyDiv w:val="1"/>
      <w:marLeft w:val="0"/>
      <w:marRight w:val="0"/>
      <w:marTop w:val="0"/>
      <w:marBottom w:val="0"/>
      <w:divBdr>
        <w:top w:val="none" w:sz="0" w:space="0" w:color="auto"/>
        <w:left w:val="none" w:sz="0" w:space="0" w:color="auto"/>
        <w:bottom w:val="none" w:sz="0" w:space="0" w:color="auto"/>
        <w:right w:val="none" w:sz="0" w:space="0" w:color="auto"/>
      </w:divBdr>
    </w:div>
    <w:div w:id="1303582765">
      <w:bodyDiv w:val="1"/>
      <w:marLeft w:val="0"/>
      <w:marRight w:val="0"/>
      <w:marTop w:val="0"/>
      <w:marBottom w:val="0"/>
      <w:divBdr>
        <w:top w:val="none" w:sz="0" w:space="0" w:color="auto"/>
        <w:left w:val="none" w:sz="0" w:space="0" w:color="auto"/>
        <w:bottom w:val="none" w:sz="0" w:space="0" w:color="auto"/>
        <w:right w:val="none" w:sz="0" w:space="0" w:color="auto"/>
      </w:divBdr>
    </w:div>
    <w:div w:id="1306931331">
      <w:bodyDiv w:val="1"/>
      <w:marLeft w:val="0"/>
      <w:marRight w:val="0"/>
      <w:marTop w:val="0"/>
      <w:marBottom w:val="0"/>
      <w:divBdr>
        <w:top w:val="none" w:sz="0" w:space="0" w:color="auto"/>
        <w:left w:val="none" w:sz="0" w:space="0" w:color="auto"/>
        <w:bottom w:val="none" w:sz="0" w:space="0" w:color="auto"/>
        <w:right w:val="none" w:sz="0" w:space="0" w:color="auto"/>
      </w:divBdr>
    </w:div>
    <w:div w:id="1314220326">
      <w:bodyDiv w:val="1"/>
      <w:marLeft w:val="0"/>
      <w:marRight w:val="0"/>
      <w:marTop w:val="0"/>
      <w:marBottom w:val="0"/>
      <w:divBdr>
        <w:top w:val="none" w:sz="0" w:space="0" w:color="auto"/>
        <w:left w:val="none" w:sz="0" w:space="0" w:color="auto"/>
        <w:bottom w:val="none" w:sz="0" w:space="0" w:color="auto"/>
        <w:right w:val="none" w:sz="0" w:space="0" w:color="auto"/>
      </w:divBdr>
    </w:div>
    <w:div w:id="1315719131">
      <w:bodyDiv w:val="1"/>
      <w:marLeft w:val="0"/>
      <w:marRight w:val="0"/>
      <w:marTop w:val="0"/>
      <w:marBottom w:val="0"/>
      <w:divBdr>
        <w:top w:val="none" w:sz="0" w:space="0" w:color="auto"/>
        <w:left w:val="none" w:sz="0" w:space="0" w:color="auto"/>
        <w:bottom w:val="none" w:sz="0" w:space="0" w:color="auto"/>
        <w:right w:val="none" w:sz="0" w:space="0" w:color="auto"/>
      </w:divBdr>
    </w:div>
    <w:div w:id="1316110327">
      <w:bodyDiv w:val="1"/>
      <w:marLeft w:val="0"/>
      <w:marRight w:val="0"/>
      <w:marTop w:val="0"/>
      <w:marBottom w:val="0"/>
      <w:divBdr>
        <w:top w:val="none" w:sz="0" w:space="0" w:color="auto"/>
        <w:left w:val="none" w:sz="0" w:space="0" w:color="auto"/>
        <w:bottom w:val="none" w:sz="0" w:space="0" w:color="auto"/>
        <w:right w:val="none" w:sz="0" w:space="0" w:color="auto"/>
      </w:divBdr>
    </w:div>
    <w:div w:id="1334530146">
      <w:bodyDiv w:val="1"/>
      <w:marLeft w:val="0"/>
      <w:marRight w:val="0"/>
      <w:marTop w:val="0"/>
      <w:marBottom w:val="0"/>
      <w:divBdr>
        <w:top w:val="none" w:sz="0" w:space="0" w:color="auto"/>
        <w:left w:val="none" w:sz="0" w:space="0" w:color="auto"/>
        <w:bottom w:val="none" w:sz="0" w:space="0" w:color="auto"/>
        <w:right w:val="none" w:sz="0" w:space="0" w:color="auto"/>
      </w:divBdr>
    </w:div>
    <w:div w:id="1334842530">
      <w:bodyDiv w:val="1"/>
      <w:marLeft w:val="0"/>
      <w:marRight w:val="0"/>
      <w:marTop w:val="0"/>
      <w:marBottom w:val="0"/>
      <w:divBdr>
        <w:top w:val="none" w:sz="0" w:space="0" w:color="auto"/>
        <w:left w:val="none" w:sz="0" w:space="0" w:color="auto"/>
        <w:bottom w:val="none" w:sz="0" w:space="0" w:color="auto"/>
        <w:right w:val="none" w:sz="0" w:space="0" w:color="auto"/>
      </w:divBdr>
    </w:div>
    <w:div w:id="1357930540">
      <w:bodyDiv w:val="1"/>
      <w:marLeft w:val="0"/>
      <w:marRight w:val="0"/>
      <w:marTop w:val="0"/>
      <w:marBottom w:val="0"/>
      <w:divBdr>
        <w:top w:val="none" w:sz="0" w:space="0" w:color="auto"/>
        <w:left w:val="none" w:sz="0" w:space="0" w:color="auto"/>
        <w:bottom w:val="none" w:sz="0" w:space="0" w:color="auto"/>
        <w:right w:val="none" w:sz="0" w:space="0" w:color="auto"/>
      </w:divBdr>
    </w:div>
    <w:div w:id="1361317091">
      <w:bodyDiv w:val="1"/>
      <w:marLeft w:val="0"/>
      <w:marRight w:val="0"/>
      <w:marTop w:val="0"/>
      <w:marBottom w:val="0"/>
      <w:divBdr>
        <w:top w:val="none" w:sz="0" w:space="0" w:color="auto"/>
        <w:left w:val="none" w:sz="0" w:space="0" w:color="auto"/>
        <w:bottom w:val="none" w:sz="0" w:space="0" w:color="auto"/>
        <w:right w:val="none" w:sz="0" w:space="0" w:color="auto"/>
      </w:divBdr>
    </w:div>
    <w:div w:id="1384518307">
      <w:bodyDiv w:val="1"/>
      <w:marLeft w:val="0"/>
      <w:marRight w:val="0"/>
      <w:marTop w:val="0"/>
      <w:marBottom w:val="0"/>
      <w:divBdr>
        <w:top w:val="none" w:sz="0" w:space="0" w:color="auto"/>
        <w:left w:val="none" w:sz="0" w:space="0" w:color="auto"/>
        <w:bottom w:val="none" w:sz="0" w:space="0" w:color="auto"/>
        <w:right w:val="none" w:sz="0" w:space="0" w:color="auto"/>
      </w:divBdr>
    </w:div>
    <w:div w:id="1408502247">
      <w:bodyDiv w:val="1"/>
      <w:marLeft w:val="0"/>
      <w:marRight w:val="0"/>
      <w:marTop w:val="0"/>
      <w:marBottom w:val="0"/>
      <w:divBdr>
        <w:top w:val="none" w:sz="0" w:space="0" w:color="auto"/>
        <w:left w:val="none" w:sz="0" w:space="0" w:color="auto"/>
        <w:bottom w:val="none" w:sz="0" w:space="0" w:color="auto"/>
        <w:right w:val="none" w:sz="0" w:space="0" w:color="auto"/>
      </w:divBdr>
    </w:div>
    <w:div w:id="1419403447">
      <w:bodyDiv w:val="1"/>
      <w:marLeft w:val="0"/>
      <w:marRight w:val="0"/>
      <w:marTop w:val="0"/>
      <w:marBottom w:val="0"/>
      <w:divBdr>
        <w:top w:val="none" w:sz="0" w:space="0" w:color="auto"/>
        <w:left w:val="none" w:sz="0" w:space="0" w:color="auto"/>
        <w:bottom w:val="none" w:sz="0" w:space="0" w:color="auto"/>
        <w:right w:val="none" w:sz="0" w:space="0" w:color="auto"/>
      </w:divBdr>
    </w:div>
    <w:div w:id="1424951894">
      <w:bodyDiv w:val="1"/>
      <w:marLeft w:val="0"/>
      <w:marRight w:val="0"/>
      <w:marTop w:val="0"/>
      <w:marBottom w:val="0"/>
      <w:divBdr>
        <w:top w:val="none" w:sz="0" w:space="0" w:color="auto"/>
        <w:left w:val="none" w:sz="0" w:space="0" w:color="auto"/>
        <w:bottom w:val="none" w:sz="0" w:space="0" w:color="auto"/>
        <w:right w:val="none" w:sz="0" w:space="0" w:color="auto"/>
      </w:divBdr>
    </w:div>
    <w:div w:id="1438716469">
      <w:bodyDiv w:val="1"/>
      <w:marLeft w:val="0"/>
      <w:marRight w:val="0"/>
      <w:marTop w:val="0"/>
      <w:marBottom w:val="0"/>
      <w:divBdr>
        <w:top w:val="none" w:sz="0" w:space="0" w:color="auto"/>
        <w:left w:val="none" w:sz="0" w:space="0" w:color="auto"/>
        <w:bottom w:val="none" w:sz="0" w:space="0" w:color="auto"/>
        <w:right w:val="none" w:sz="0" w:space="0" w:color="auto"/>
      </w:divBdr>
    </w:div>
    <w:div w:id="1439837104">
      <w:bodyDiv w:val="1"/>
      <w:marLeft w:val="0"/>
      <w:marRight w:val="0"/>
      <w:marTop w:val="0"/>
      <w:marBottom w:val="0"/>
      <w:divBdr>
        <w:top w:val="none" w:sz="0" w:space="0" w:color="auto"/>
        <w:left w:val="none" w:sz="0" w:space="0" w:color="auto"/>
        <w:bottom w:val="none" w:sz="0" w:space="0" w:color="auto"/>
        <w:right w:val="none" w:sz="0" w:space="0" w:color="auto"/>
      </w:divBdr>
    </w:div>
    <w:div w:id="1446002309">
      <w:bodyDiv w:val="1"/>
      <w:marLeft w:val="0"/>
      <w:marRight w:val="0"/>
      <w:marTop w:val="0"/>
      <w:marBottom w:val="0"/>
      <w:divBdr>
        <w:top w:val="none" w:sz="0" w:space="0" w:color="auto"/>
        <w:left w:val="none" w:sz="0" w:space="0" w:color="auto"/>
        <w:bottom w:val="none" w:sz="0" w:space="0" w:color="auto"/>
        <w:right w:val="none" w:sz="0" w:space="0" w:color="auto"/>
      </w:divBdr>
    </w:div>
    <w:div w:id="1451129547">
      <w:bodyDiv w:val="1"/>
      <w:marLeft w:val="0"/>
      <w:marRight w:val="0"/>
      <w:marTop w:val="0"/>
      <w:marBottom w:val="0"/>
      <w:divBdr>
        <w:top w:val="none" w:sz="0" w:space="0" w:color="auto"/>
        <w:left w:val="none" w:sz="0" w:space="0" w:color="auto"/>
        <w:bottom w:val="none" w:sz="0" w:space="0" w:color="auto"/>
        <w:right w:val="none" w:sz="0" w:space="0" w:color="auto"/>
      </w:divBdr>
    </w:div>
    <w:div w:id="1453089651">
      <w:bodyDiv w:val="1"/>
      <w:marLeft w:val="0"/>
      <w:marRight w:val="0"/>
      <w:marTop w:val="0"/>
      <w:marBottom w:val="0"/>
      <w:divBdr>
        <w:top w:val="none" w:sz="0" w:space="0" w:color="auto"/>
        <w:left w:val="none" w:sz="0" w:space="0" w:color="auto"/>
        <w:bottom w:val="none" w:sz="0" w:space="0" w:color="auto"/>
        <w:right w:val="none" w:sz="0" w:space="0" w:color="auto"/>
      </w:divBdr>
    </w:div>
    <w:div w:id="1473013048">
      <w:bodyDiv w:val="1"/>
      <w:marLeft w:val="0"/>
      <w:marRight w:val="0"/>
      <w:marTop w:val="0"/>
      <w:marBottom w:val="0"/>
      <w:divBdr>
        <w:top w:val="none" w:sz="0" w:space="0" w:color="auto"/>
        <w:left w:val="none" w:sz="0" w:space="0" w:color="auto"/>
        <w:bottom w:val="none" w:sz="0" w:space="0" w:color="auto"/>
        <w:right w:val="none" w:sz="0" w:space="0" w:color="auto"/>
      </w:divBdr>
    </w:div>
    <w:div w:id="1475416239">
      <w:bodyDiv w:val="1"/>
      <w:marLeft w:val="0"/>
      <w:marRight w:val="0"/>
      <w:marTop w:val="0"/>
      <w:marBottom w:val="0"/>
      <w:divBdr>
        <w:top w:val="none" w:sz="0" w:space="0" w:color="auto"/>
        <w:left w:val="none" w:sz="0" w:space="0" w:color="auto"/>
        <w:bottom w:val="none" w:sz="0" w:space="0" w:color="auto"/>
        <w:right w:val="none" w:sz="0" w:space="0" w:color="auto"/>
      </w:divBdr>
    </w:div>
    <w:div w:id="1486580077">
      <w:bodyDiv w:val="1"/>
      <w:marLeft w:val="0"/>
      <w:marRight w:val="0"/>
      <w:marTop w:val="0"/>
      <w:marBottom w:val="0"/>
      <w:divBdr>
        <w:top w:val="none" w:sz="0" w:space="0" w:color="auto"/>
        <w:left w:val="none" w:sz="0" w:space="0" w:color="auto"/>
        <w:bottom w:val="none" w:sz="0" w:space="0" w:color="auto"/>
        <w:right w:val="none" w:sz="0" w:space="0" w:color="auto"/>
      </w:divBdr>
    </w:div>
    <w:div w:id="1487933165">
      <w:bodyDiv w:val="1"/>
      <w:marLeft w:val="0"/>
      <w:marRight w:val="0"/>
      <w:marTop w:val="0"/>
      <w:marBottom w:val="0"/>
      <w:divBdr>
        <w:top w:val="none" w:sz="0" w:space="0" w:color="auto"/>
        <w:left w:val="none" w:sz="0" w:space="0" w:color="auto"/>
        <w:bottom w:val="none" w:sz="0" w:space="0" w:color="auto"/>
        <w:right w:val="none" w:sz="0" w:space="0" w:color="auto"/>
      </w:divBdr>
    </w:div>
    <w:div w:id="1504315626">
      <w:bodyDiv w:val="1"/>
      <w:marLeft w:val="0"/>
      <w:marRight w:val="0"/>
      <w:marTop w:val="0"/>
      <w:marBottom w:val="0"/>
      <w:divBdr>
        <w:top w:val="none" w:sz="0" w:space="0" w:color="auto"/>
        <w:left w:val="none" w:sz="0" w:space="0" w:color="auto"/>
        <w:bottom w:val="none" w:sz="0" w:space="0" w:color="auto"/>
        <w:right w:val="none" w:sz="0" w:space="0" w:color="auto"/>
      </w:divBdr>
    </w:div>
    <w:div w:id="1516338123">
      <w:bodyDiv w:val="1"/>
      <w:marLeft w:val="0"/>
      <w:marRight w:val="0"/>
      <w:marTop w:val="0"/>
      <w:marBottom w:val="0"/>
      <w:divBdr>
        <w:top w:val="none" w:sz="0" w:space="0" w:color="auto"/>
        <w:left w:val="none" w:sz="0" w:space="0" w:color="auto"/>
        <w:bottom w:val="none" w:sz="0" w:space="0" w:color="auto"/>
        <w:right w:val="none" w:sz="0" w:space="0" w:color="auto"/>
      </w:divBdr>
    </w:div>
    <w:div w:id="1519002060">
      <w:bodyDiv w:val="1"/>
      <w:marLeft w:val="0"/>
      <w:marRight w:val="0"/>
      <w:marTop w:val="0"/>
      <w:marBottom w:val="0"/>
      <w:divBdr>
        <w:top w:val="none" w:sz="0" w:space="0" w:color="auto"/>
        <w:left w:val="none" w:sz="0" w:space="0" w:color="auto"/>
        <w:bottom w:val="none" w:sz="0" w:space="0" w:color="auto"/>
        <w:right w:val="none" w:sz="0" w:space="0" w:color="auto"/>
      </w:divBdr>
    </w:div>
    <w:div w:id="1532189351">
      <w:bodyDiv w:val="1"/>
      <w:marLeft w:val="0"/>
      <w:marRight w:val="0"/>
      <w:marTop w:val="0"/>
      <w:marBottom w:val="0"/>
      <w:divBdr>
        <w:top w:val="none" w:sz="0" w:space="0" w:color="auto"/>
        <w:left w:val="none" w:sz="0" w:space="0" w:color="auto"/>
        <w:bottom w:val="none" w:sz="0" w:space="0" w:color="auto"/>
        <w:right w:val="none" w:sz="0" w:space="0" w:color="auto"/>
      </w:divBdr>
    </w:div>
    <w:div w:id="1533808132">
      <w:bodyDiv w:val="1"/>
      <w:marLeft w:val="0"/>
      <w:marRight w:val="0"/>
      <w:marTop w:val="0"/>
      <w:marBottom w:val="0"/>
      <w:divBdr>
        <w:top w:val="none" w:sz="0" w:space="0" w:color="auto"/>
        <w:left w:val="none" w:sz="0" w:space="0" w:color="auto"/>
        <w:bottom w:val="none" w:sz="0" w:space="0" w:color="auto"/>
        <w:right w:val="none" w:sz="0" w:space="0" w:color="auto"/>
      </w:divBdr>
    </w:div>
    <w:div w:id="1538352556">
      <w:bodyDiv w:val="1"/>
      <w:marLeft w:val="0"/>
      <w:marRight w:val="0"/>
      <w:marTop w:val="0"/>
      <w:marBottom w:val="0"/>
      <w:divBdr>
        <w:top w:val="none" w:sz="0" w:space="0" w:color="auto"/>
        <w:left w:val="none" w:sz="0" w:space="0" w:color="auto"/>
        <w:bottom w:val="none" w:sz="0" w:space="0" w:color="auto"/>
        <w:right w:val="none" w:sz="0" w:space="0" w:color="auto"/>
      </w:divBdr>
    </w:div>
    <w:div w:id="1540968714">
      <w:bodyDiv w:val="1"/>
      <w:marLeft w:val="0"/>
      <w:marRight w:val="0"/>
      <w:marTop w:val="0"/>
      <w:marBottom w:val="0"/>
      <w:divBdr>
        <w:top w:val="none" w:sz="0" w:space="0" w:color="auto"/>
        <w:left w:val="none" w:sz="0" w:space="0" w:color="auto"/>
        <w:bottom w:val="none" w:sz="0" w:space="0" w:color="auto"/>
        <w:right w:val="none" w:sz="0" w:space="0" w:color="auto"/>
      </w:divBdr>
    </w:div>
    <w:div w:id="1554462923">
      <w:bodyDiv w:val="1"/>
      <w:marLeft w:val="0"/>
      <w:marRight w:val="0"/>
      <w:marTop w:val="0"/>
      <w:marBottom w:val="0"/>
      <w:divBdr>
        <w:top w:val="none" w:sz="0" w:space="0" w:color="auto"/>
        <w:left w:val="none" w:sz="0" w:space="0" w:color="auto"/>
        <w:bottom w:val="none" w:sz="0" w:space="0" w:color="auto"/>
        <w:right w:val="none" w:sz="0" w:space="0" w:color="auto"/>
      </w:divBdr>
    </w:div>
    <w:div w:id="1559630657">
      <w:bodyDiv w:val="1"/>
      <w:marLeft w:val="0"/>
      <w:marRight w:val="0"/>
      <w:marTop w:val="0"/>
      <w:marBottom w:val="0"/>
      <w:divBdr>
        <w:top w:val="none" w:sz="0" w:space="0" w:color="auto"/>
        <w:left w:val="none" w:sz="0" w:space="0" w:color="auto"/>
        <w:bottom w:val="none" w:sz="0" w:space="0" w:color="auto"/>
        <w:right w:val="none" w:sz="0" w:space="0" w:color="auto"/>
      </w:divBdr>
    </w:div>
    <w:div w:id="1575161304">
      <w:bodyDiv w:val="1"/>
      <w:marLeft w:val="0"/>
      <w:marRight w:val="0"/>
      <w:marTop w:val="0"/>
      <w:marBottom w:val="0"/>
      <w:divBdr>
        <w:top w:val="none" w:sz="0" w:space="0" w:color="auto"/>
        <w:left w:val="none" w:sz="0" w:space="0" w:color="auto"/>
        <w:bottom w:val="none" w:sz="0" w:space="0" w:color="auto"/>
        <w:right w:val="none" w:sz="0" w:space="0" w:color="auto"/>
      </w:divBdr>
    </w:div>
    <w:div w:id="1575316256">
      <w:bodyDiv w:val="1"/>
      <w:marLeft w:val="0"/>
      <w:marRight w:val="0"/>
      <w:marTop w:val="0"/>
      <w:marBottom w:val="0"/>
      <w:divBdr>
        <w:top w:val="none" w:sz="0" w:space="0" w:color="auto"/>
        <w:left w:val="none" w:sz="0" w:space="0" w:color="auto"/>
        <w:bottom w:val="none" w:sz="0" w:space="0" w:color="auto"/>
        <w:right w:val="none" w:sz="0" w:space="0" w:color="auto"/>
      </w:divBdr>
    </w:div>
    <w:div w:id="1580866180">
      <w:bodyDiv w:val="1"/>
      <w:marLeft w:val="0"/>
      <w:marRight w:val="0"/>
      <w:marTop w:val="0"/>
      <w:marBottom w:val="0"/>
      <w:divBdr>
        <w:top w:val="none" w:sz="0" w:space="0" w:color="auto"/>
        <w:left w:val="none" w:sz="0" w:space="0" w:color="auto"/>
        <w:bottom w:val="none" w:sz="0" w:space="0" w:color="auto"/>
        <w:right w:val="none" w:sz="0" w:space="0" w:color="auto"/>
      </w:divBdr>
    </w:div>
    <w:div w:id="1584948903">
      <w:bodyDiv w:val="1"/>
      <w:marLeft w:val="0"/>
      <w:marRight w:val="0"/>
      <w:marTop w:val="0"/>
      <w:marBottom w:val="0"/>
      <w:divBdr>
        <w:top w:val="none" w:sz="0" w:space="0" w:color="auto"/>
        <w:left w:val="none" w:sz="0" w:space="0" w:color="auto"/>
        <w:bottom w:val="none" w:sz="0" w:space="0" w:color="auto"/>
        <w:right w:val="none" w:sz="0" w:space="0" w:color="auto"/>
      </w:divBdr>
    </w:div>
    <w:div w:id="1597983223">
      <w:bodyDiv w:val="1"/>
      <w:marLeft w:val="0"/>
      <w:marRight w:val="0"/>
      <w:marTop w:val="0"/>
      <w:marBottom w:val="0"/>
      <w:divBdr>
        <w:top w:val="none" w:sz="0" w:space="0" w:color="auto"/>
        <w:left w:val="none" w:sz="0" w:space="0" w:color="auto"/>
        <w:bottom w:val="none" w:sz="0" w:space="0" w:color="auto"/>
        <w:right w:val="none" w:sz="0" w:space="0" w:color="auto"/>
      </w:divBdr>
    </w:div>
    <w:div w:id="1602299069">
      <w:bodyDiv w:val="1"/>
      <w:marLeft w:val="0"/>
      <w:marRight w:val="0"/>
      <w:marTop w:val="0"/>
      <w:marBottom w:val="0"/>
      <w:divBdr>
        <w:top w:val="none" w:sz="0" w:space="0" w:color="auto"/>
        <w:left w:val="none" w:sz="0" w:space="0" w:color="auto"/>
        <w:bottom w:val="none" w:sz="0" w:space="0" w:color="auto"/>
        <w:right w:val="none" w:sz="0" w:space="0" w:color="auto"/>
      </w:divBdr>
    </w:div>
    <w:div w:id="1619993129">
      <w:bodyDiv w:val="1"/>
      <w:marLeft w:val="0"/>
      <w:marRight w:val="0"/>
      <w:marTop w:val="0"/>
      <w:marBottom w:val="0"/>
      <w:divBdr>
        <w:top w:val="none" w:sz="0" w:space="0" w:color="auto"/>
        <w:left w:val="none" w:sz="0" w:space="0" w:color="auto"/>
        <w:bottom w:val="none" w:sz="0" w:space="0" w:color="auto"/>
        <w:right w:val="none" w:sz="0" w:space="0" w:color="auto"/>
      </w:divBdr>
    </w:div>
    <w:div w:id="1636061418">
      <w:bodyDiv w:val="1"/>
      <w:marLeft w:val="0"/>
      <w:marRight w:val="0"/>
      <w:marTop w:val="0"/>
      <w:marBottom w:val="0"/>
      <w:divBdr>
        <w:top w:val="none" w:sz="0" w:space="0" w:color="auto"/>
        <w:left w:val="none" w:sz="0" w:space="0" w:color="auto"/>
        <w:bottom w:val="none" w:sz="0" w:space="0" w:color="auto"/>
        <w:right w:val="none" w:sz="0" w:space="0" w:color="auto"/>
      </w:divBdr>
    </w:div>
    <w:div w:id="1637221399">
      <w:bodyDiv w:val="1"/>
      <w:marLeft w:val="0"/>
      <w:marRight w:val="0"/>
      <w:marTop w:val="0"/>
      <w:marBottom w:val="0"/>
      <w:divBdr>
        <w:top w:val="none" w:sz="0" w:space="0" w:color="auto"/>
        <w:left w:val="none" w:sz="0" w:space="0" w:color="auto"/>
        <w:bottom w:val="none" w:sz="0" w:space="0" w:color="auto"/>
        <w:right w:val="none" w:sz="0" w:space="0" w:color="auto"/>
      </w:divBdr>
    </w:div>
    <w:div w:id="1638412788">
      <w:bodyDiv w:val="1"/>
      <w:marLeft w:val="0"/>
      <w:marRight w:val="0"/>
      <w:marTop w:val="0"/>
      <w:marBottom w:val="0"/>
      <w:divBdr>
        <w:top w:val="none" w:sz="0" w:space="0" w:color="auto"/>
        <w:left w:val="none" w:sz="0" w:space="0" w:color="auto"/>
        <w:bottom w:val="none" w:sz="0" w:space="0" w:color="auto"/>
        <w:right w:val="none" w:sz="0" w:space="0" w:color="auto"/>
      </w:divBdr>
    </w:div>
    <w:div w:id="1644197353">
      <w:bodyDiv w:val="1"/>
      <w:marLeft w:val="0"/>
      <w:marRight w:val="0"/>
      <w:marTop w:val="0"/>
      <w:marBottom w:val="0"/>
      <w:divBdr>
        <w:top w:val="none" w:sz="0" w:space="0" w:color="auto"/>
        <w:left w:val="none" w:sz="0" w:space="0" w:color="auto"/>
        <w:bottom w:val="none" w:sz="0" w:space="0" w:color="auto"/>
        <w:right w:val="none" w:sz="0" w:space="0" w:color="auto"/>
      </w:divBdr>
    </w:div>
    <w:div w:id="1649749463">
      <w:bodyDiv w:val="1"/>
      <w:marLeft w:val="0"/>
      <w:marRight w:val="0"/>
      <w:marTop w:val="0"/>
      <w:marBottom w:val="0"/>
      <w:divBdr>
        <w:top w:val="none" w:sz="0" w:space="0" w:color="auto"/>
        <w:left w:val="none" w:sz="0" w:space="0" w:color="auto"/>
        <w:bottom w:val="none" w:sz="0" w:space="0" w:color="auto"/>
        <w:right w:val="none" w:sz="0" w:space="0" w:color="auto"/>
      </w:divBdr>
    </w:div>
    <w:div w:id="1661732210">
      <w:bodyDiv w:val="1"/>
      <w:marLeft w:val="0"/>
      <w:marRight w:val="0"/>
      <w:marTop w:val="0"/>
      <w:marBottom w:val="0"/>
      <w:divBdr>
        <w:top w:val="none" w:sz="0" w:space="0" w:color="auto"/>
        <w:left w:val="none" w:sz="0" w:space="0" w:color="auto"/>
        <w:bottom w:val="none" w:sz="0" w:space="0" w:color="auto"/>
        <w:right w:val="none" w:sz="0" w:space="0" w:color="auto"/>
      </w:divBdr>
    </w:div>
    <w:div w:id="1667054221">
      <w:bodyDiv w:val="1"/>
      <w:marLeft w:val="0"/>
      <w:marRight w:val="0"/>
      <w:marTop w:val="0"/>
      <w:marBottom w:val="0"/>
      <w:divBdr>
        <w:top w:val="none" w:sz="0" w:space="0" w:color="auto"/>
        <w:left w:val="none" w:sz="0" w:space="0" w:color="auto"/>
        <w:bottom w:val="none" w:sz="0" w:space="0" w:color="auto"/>
        <w:right w:val="none" w:sz="0" w:space="0" w:color="auto"/>
      </w:divBdr>
    </w:div>
    <w:div w:id="1687094892">
      <w:bodyDiv w:val="1"/>
      <w:marLeft w:val="0"/>
      <w:marRight w:val="0"/>
      <w:marTop w:val="0"/>
      <w:marBottom w:val="0"/>
      <w:divBdr>
        <w:top w:val="none" w:sz="0" w:space="0" w:color="auto"/>
        <w:left w:val="none" w:sz="0" w:space="0" w:color="auto"/>
        <w:bottom w:val="none" w:sz="0" w:space="0" w:color="auto"/>
        <w:right w:val="none" w:sz="0" w:space="0" w:color="auto"/>
      </w:divBdr>
    </w:div>
    <w:div w:id="1703242487">
      <w:bodyDiv w:val="1"/>
      <w:marLeft w:val="0"/>
      <w:marRight w:val="0"/>
      <w:marTop w:val="0"/>
      <w:marBottom w:val="0"/>
      <w:divBdr>
        <w:top w:val="none" w:sz="0" w:space="0" w:color="auto"/>
        <w:left w:val="none" w:sz="0" w:space="0" w:color="auto"/>
        <w:bottom w:val="none" w:sz="0" w:space="0" w:color="auto"/>
        <w:right w:val="none" w:sz="0" w:space="0" w:color="auto"/>
      </w:divBdr>
    </w:div>
    <w:div w:id="1724136789">
      <w:bodyDiv w:val="1"/>
      <w:marLeft w:val="0"/>
      <w:marRight w:val="0"/>
      <w:marTop w:val="0"/>
      <w:marBottom w:val="0"/>
      <w:divBdr>
        <w:top w:val="none" w:sz="0" w:space="0" w:color="auto"/>
        <w:left w:val="none" w:sz="0" w:space="0" w:color="auto"/>
        <w:bottom w:val="none" w:sz="0" w:space="0" w:color="auto"/>
        <w:right w:val="none" w:sz="0" w:space="0" w:color="auto"/>
      </w:divBdr>
    </w:div>
    <w:div w:id="1731346551">
      <w:bodyDiv w:val="1"/>
      <w:marLeft w:val="0"/>
      <w:marRight w:val="0"/>
      <w:marTop w:val="0"/>
      <w:marBottom w:val="0"/>
      <w:divBdr>
        <w:top w:val="none" w:sz="0" w:space="0" w:color="auto"/>
        <w:left w:val="none" w:sz="0" w:space="0" w:color="auto"/>
        <w:bottom w:val="none" w:sz="0" w:space="0" w:color="auto"/>
        <w:right w:val="none" w:sz="0" w:space="0" w:color="auto"/>
      </w:divBdr>
    </w:div>
    <w:div w:id="1766266715">
      <w:bodyDiv w:val="1"/>
      <w:marLeft w:val="0"/>
      <w:marRight w:val="0"/>
      <w:marTop w:val="0"/>
      <w:marBottom w:val="0"/>
      <w:divBdr>
        <w:top w:val="none" w:sz="0" w:space="0" w:color="auto"/>
        <w:left w:val="none" w:sz="0" w:space="0" w:color="auto"/>
        <w:bottom w:val="none" w:sz="0" w:space="0" w:color="auto"/>
        <w:right w:val="none" w:sz="0" w:space="0" w:color="auto"/>
      </w:divBdr>
    </w:div>
    <w:div w:id="1796870070">
      <w:bodyDiv w:val="1"/>
      <w:marLeft w:val="0"/>
      <w:marRight w:val="0"/>
      <w:marTop w:val="0"/>
      <w:marBottom w:val="0"/>
      <w:divBdr>
        <w:top w:val="none" w:sz="0" w:space="0" w:color="auto"/>
        <w:left w:val="none" w:sz="0" w:space="0" w:color="auto"/>
        <w:bottom w:val="none" w:sz="0" w:space="0" w:color="auto"/>
        <w:right w:val="none" w:sz="0" w:space="0" w:color="auto"/>
      </w:divBdr>
    </w:div>
    <w:div w:id="1800565010">
      <w:bodyDiv w:val="1"/>
      <w:marLeft w:val="0"/>
      <w:marRight w:val="0"/>
      <w:marTop w:val="0"/>
      <w:marBottom w:val="0"/>
      <w:divBdr>
        <w:top w:val="none" w:sz="0" w:space="0" w:color="auto"/>
        <w:left w:val="none" w:sz="0" w:space="0" w:color="auto"/>
        <w:bottom w:val="none" w:sz="0" w:space="0" w:color="auto"/>
        <w:right w:val="none" w:sz="0" w:space="0" w:color="auto"/>
      </w:divBdr>
    </w:div>
    <w:div w:id="1809282739">
      <w:bodyDiv w:val="1"/>
      <w:marLeft w:val="0"/>
      <w:marRight w:val="0"/>
      <w:marTop w:val="0"/>
      <w:marBottom w:val="0"/>
      <w:divBdr>
        <w:top w:val="none" w:sz="0" w:space="0" w:color="auto"/>
        <w:left w:val="none" w:sz="0" w:space="0" w:color="auto"/>
        <w:bottom w:val="none" w:sz="0" w:space="0" w:color="auto"/>
        <w:right w:val="none" w:sz="0" w:space="0" w:color="auto"/>
      </w:divBdr>
    </w:div>
    <w:div w:id="1821075836">
      <w:bodyDiv w:val="1"/>
      <w:marLeft w:val="0"/>
      <w:marRight w:val="0"/>
      <w:marTop w:val="0"/>
      <w:marBottom w:val="0"/>
      <w:divBdr>
        <w:top w:val="none" w:sz="0" w:space="0" w:color="auto"/>
        <w:left w:val="none" w:sz="0" w:space="0" w:color="auto"/>
        <w:bottom w:val="none" w:sz="0" w:space="0" w:color="auto"/>
        <w:right w:val="none" w:sz="0" w:space="0" w:color="auto"/>
      </w:divBdr>
    </w:div>
    <w:div w:id="1833718323">
      <w:bodyDiv w:val="1"/>
      <w:marLeft w:val="0"/>
      <w:marRight w:val="0"/>
      <w:marTop w:val="0"/>
      <w:marBottom w:val="0"/>
      <w:divBdr>
        <w:top w:val="none" w:sz="0" w:space="0" w:color="auto"/>
        <w:left w:val="none" w:sz="0" w:space="0" w:color="auto"/>
        <w:bottom w:val="none" w:sz="0" w:space="0" w:color="auto"/>
        <w:right w:val="none" w:sz="0" w:space="0" w:color="auto"/>
      </w:divBdr>
    </w:div>
    <w:div w:id="1850102422">
      <w:bodyDiv w:val="1"/>
      <w:marLeft w:val="0"/>
      <w:marRight w:val="0"/>
      <w:marTop w:val="0"/>
      <w:marBottom w:val="0"/>
      <w:divBdr>
        <w:top w:val="none" w:sz="0" w:space="0" w:color="auto"/>
        <w:left w:val="none" w:sz="0" w:space="0" w:color="auto"/>
        <w:bottom w:val="none" w:sz="0" w:space="0" w:color="auto"/>
        <w:right w:val="none" w:sz="0" w:space="0" w:color="auto"/>
      </w:divBdr>
    </w:div>
    <w:div w:id="1851065905">
      <w:bodyDiv w:val="1"/>
      <w:marLeft w:val="0"/>
      <w:marRight w:val="0"/>
      <w:marTop w:val="0"/>
      <w:marBottom w:val="0"/>
      <w:divBdr>
        <w:top w:val="none" w:sz="0" w:space="0" w:color="auto"/>
        <w:left w:val="none" w:sz="0" w:space="0" w:color="auto"/>
        <w:bottom w:val="none" w:sz="0" w:space="0" w:color="auto"/>
        <w:right w:val="none" w:sz="0" w:space="0" w:color="auto"/>
      </w:divBdr>
    </w:div>
    <w:div w:id="1857423919">
      <w:bodyDiv w:val="1"/>
      <w:marLeft w:val="0"/>
      <w:marRight w:val="0"/>
      <w:marTop w:val="0"/>
      <w:marBottom w:val="0"/>
      <w:divBdr>
        <w:top w:val="none" w:sz="0" w:space="0" w:color="auto"/>
        <w:left w:val="none" w:sz="0" w:space="0" w:color="auto"/>
        <w:bottom w:val="none" w:sz="0" w:space="0" w:color="auto"/>
        <w:right w:val="none" w:sz="0" w:space="0" w:color="auto"/>
      </w:divBdr>
    </w:div>
    <w:div w:id="1864319771">
      <w:bodyDiv w:val="1"/>
      <w:marLeft w:val="0"/>
      <w:marRight w:val="0"/>
      <w:marTop w:val="0"/>
      <w:marBottom w:val="0"/>
      <w:divBdr>
        <w:top w:val="none" w:sz="0" w:space="0" w:color="auto"/>
        <w:left w:val="none" w:sz="0" w:space="0" w:color="auto"/>
        <w:bottom w:val="none" w:sz="0" w:space="0" w:color="auto"/>
        <w:right w:val="none" w:sz="0" w:space="0" w:color="auto"/>
      </w:divBdr>
    </w:div>
    <w:div w:id="1867602179">
      <w:bodyDiv w:val="1"/>
      <w:marLeft w:val="0"/>
      <w:marRight w:val="0"/>
      <w:marTop w:val="0"/>
      <w:marBottom w:val="0"/>
      <w:divBdr>
        <w:top w:val="none" w:sz="0" w:space="0" w:color="auto"/>
        <w:left w:val="none" w:sz="0" w:space="0" w:color="auto"/>
        <w:bottom w:val="none" w:sz="0" w:space="0" w:color="auto"/>
        <w:right w:val="none" w:sz="0" w:space="0" w:color="auto"/>
      </w:divBdr>
    </w:div>
    <w:div w:id="1867719452">
      <w:bodyDiv w:val="1"/>
      <w:marLeft w:val="0"/>
      <w:marRight w:val="0"/>
      <w:marTop w:val="0"/>
      <w:marBottom w:val="0"/>
      <w:divBdr>
        <w:top w:val="none" w:sz="0" w:space="0" w:color="auto"/>
        <w:left w:val="none" w:sz="0" w:space="0" w:color="auto"/>
        <w:bottom w:val="none" w:sz="0" w:space="0" w:color="auto"/>
        <w:right w:val="none" w:sz="0" w:space="0" w:color="auto"/>
      </w:divBdr>
    </w:div>
    <w:div w:id="1898592175">
      <w:bodyDiv w:val="1"/>
      <w:marLeft w:val="0"/>
      <w:marRight w:val="0"/>
      <w:marTop w:val="0"/>
      <w:marBottom w:val="0"/>
      <w:divBdr>
        <w:top w:val="none" w:sz="0" w:space="0" w:color="auto"/>
        <w:left w:val="none" w:sz="0" w:space="0" w:color="auto"/>
        <w:bottom w:val="none" w:sz="0" w:space="0" w:color="auto"/>
        <w:right w:val="none" w:sz="0" w:space="0" w:color="auto"/>
      </w:divBdr>
    </w:div>
    <w:div w:id="1903977595">
      <w:bodyDiv w:val="1"/>
      <w:marLeft w:val="0"/>
      <w:marRight w:val="0"/>
      <w:marTop w:val="0"/>
      <w:marBottom w:val="0"/>
      <w:divBdr>
        <w:top w:val="none" w:sz="0" w:space="0" w:color="auto"/>
        <w:left w:val="none" w:sz="0" w:space="0" w:color="auto"/>
        <w:bottom w:val="none" w:sz="0" w:space="0" w:color="auto"/>
        <w:right w:val="none" w:sz="0" w:space="0" w:color="auto"/>
      </w:divBdr>
    </w:div>
    <w:div w:id="1907496320">
      <w:bodyDiv w:val="1"/>
      <w:marLeft w:val="0"/>
      <w:marRight w:val="0"/>
      <w:marTop w:val="0"/>
      <w:marBottom w:val="0"/>
      <w:divBdr>
        <w:top w:val="none" w:sz="0" w:space="0" w:color="auto"/>
        <w:left w:val="none" w:sz="0" w:space="0" w:color="auto"/>
        <w:bottom w:val="none" w:sz="0" w:space="0" w:color="auto"/>
        <w:right w:val="none" w:sz="0" w:space="0" w:color="auto"/>
      </w:divBdr>
    </w:div>
    <w:div w:id="1917857086">
      <w:bodyDiv w:val="1"/>
      <w:marLeft w:val="0"/>
      <w:marRight w:val="0"/>
      <w:marTop w:val="0"/>
      <w:marBottom w:val="0"/>
      <w:divBdr>
        <w:top w:val="none" w:sz="0" w:space="0" w:color="auto"/>
        <w:left w:val="none" w:sz="0" w:space="0" w:color="auto"/>
        <w:bottom w:val="none" w:sz="0" w:space="0" w:color="auto"/>
        <w:right w:val="none" w:sz="0" w:space="0" w:color="auto"/>
      </w:divBdr>
    </w:div>
    <w:div w:id="1941140594">
      <w:bodyDiv w:val="1"/>
      <w:marLeft w:val="0"/>
      <w:marRight w:val="0"/>
      <w:marTop w:val="0"/>
      <w:marBottom w:val="0"/>
      <w:divBdr>
        <w:top w:val="none" w:sz="0" w:space="0" w:color="auto"/>
        <w:left w:val="none" w:sz="0" w:space="0" w:color="auto"/>
        <w:bottom w:val="none" w:sz="0" w:space="0" w:color="auto"/>
        <w:right w:val="none" w:sz="0" w:space="0" w:color="auto"/>
      </w:divBdr>
    </w:div>
    <w:div w:id="1948267918">
      <w:bodyDiv w:val="1"/>
      <w:marLeft w:val="0"/>
      <w:marRight w:val="0"/>
      <w:marTop w:val="0"/>
      <w:marBottom w:val="0"/>
      <w:divBdr>
        <w:top w:val="none" w:sz="0" w:space="0" w:color="auto"/>
        <w:left w:val="none" w:sz="0" w:space="0" w:color="auto"/>
        <w:bottom w:val="none" w:sz="0" w:space="0" w:color="auto"/>
        <w:right w:val="none" w:sz="0" w:space="0" w:color="auto"/>
      </w:divBdr>
    </w:div>
    <w:div w:id="1961184997">
      <w:bodyDiv w:val="1"/>
      <w:marLeft w:val="0"/>
      <w:marRight w:val="0"/>
      <w:marTop w:val="0"/>
      <w:marBottom w:val="0"/>
      <w:divBdr>
        <w:top w:val="none" w:sz="0" w:space="0" w:color="auto"/>
        <w:left w:val="none" w:sz="0" w:space="0" w:color="auto"/>
        <w:bottom w:val="none" w:sz="0" w:space="0" w:color="auto"/>
        <w:right w:val="none" w:sz="0" w:space="0" w:color="auto"/>
      </w:divBdr>
    </w:div>
    <w:div w:id="2022119252">
      <w:bodyDiv w:val="1"/>
      <w:marLeft w:val="0"/>
      <w:marRight w:val="0"/>
      <w:marTop w:val="0"/>
      <w:marBottom w:val="0"/>
      <w:divBdr>
        <w:top w:val="none" w:sz="0" w:space="0" w:color="auto"/>
        <w:left w:val="none" w:sz="0" w:space="0" w:color="auto"/>
        <w:bottom w:val="none" w:sz="0" w:space="0" w:color="auto"/>
        <w:right w:val="none" w:sz="0" w:space="0" w:color="auto"/>
      </w:divBdr>
    </w:div>
    <w:div w:id="2029679448">
      <w:bodyDiv w:val="1"/>
      <w:marLeft w:val="0"/>
      <w:marRight w:val="0"/>
      <w:marTop w:val="0"/>
      <w:marBottom w:val="0"/>
      <w:divBdr>
        <w:top w:val="none" w:sz="0" w:space="0" w:color="auto"/>
        <w:left w:val="none" w:sz="0" w:space="0" w:color="auto"/>
        <w:bottom w:val="none" w:sz="0" w:space="0" w:color="auto"/>
        <w:right w:val="none" w:sz="0" w:space="0" w:color="auto"/>
      </w:divBdr>
    </w:div>
    <w:div w:id="2036494364">
      <w:bodyDiv w:val="1"/>
      <w:marLeft w:val="0"/>
      <w:marRight w:val="0"/>
      <w:marTop w:val="0"/>
      <w:marBottom w:val="0"/>
      <w:divBdr>
        <w:top w:val="none" w:sz="0" w:space="0" w:color="auto"/>
        <w:left w:val="none" w:sz="0" w:space="0" w:color="auto"/>
        <w:bottom w:val="none" w:sz="0" w:space="0" w:color="auto"/>
        <w:right w:val="none" w:sz="0" w:space="0" w:color="auto"/>
      </w:divBdr>
    </w:div>
    <w:div w:id="2036879367">
      <w:bodyDiv w:val="1"/>
      <w:marLeft w:val="0"/>
      <w:marRight w:val="0"/>
      <w:marTop w:val="0"/>
      <w:marBottom w:val="0"/>
      <w:divBdr>
        <w:top w:val="none" w:sz="0" w:space="0" w:color="auto"/>
        <w:left w:val="none" w:sz="0" w:space="0" w:color="auto"/>
        <w:bottom w:val="none" w:sz="0" w:space="0" w:color="auto"/>
        <w:right w:val="none" w:sz="0" w:space="0" w:color="auto"/>
      </w:divBdr>
    </w:div>
    <w:div w:id="2058164939">
      <w:bodyDiv w:val="1"/>
      <w:marLeft w:val="0"/>
      <w:marRight w:val="0"/>
      <w:marTop w:val="0"/>
      <w:marBottom w:val="0"/>
      <w:divBdr>
        <w:top w:val="none" w:sz="0" w:space="0" w:color="auto"/>
        <w:left w:val="none" w:sz="0" w:space="0" w:color="auto"/>
        <w:bottom w:val="none" w:sz="0" w:space="0" w:color="auto"/>
        <w:right w:val="none" w:sz="0" w:space="0" w:color="auto"/>
      </w:divBdr>
    </w:div>
    <w:div w:id="2076076533">
      <w:bodyDiv w:val="1"/>
      <w:marLeft w:val="0"/>
      <w:marRight w:val="0"/>
      <w:marTop w:val="0"/>
      <w:marBottom w:val="0"/>
      <w:divBdr>
        <w:top w:val="none" w:sz="0" w:space="0" w:color="auto"/>
        <w:left w:val="none" w:sz="0" w:space="0" w:color="auto"/>
        <w:bottom w:val="none" w:sz="0" w:space="0" w:color="auto"/>
        <w:right w:val="none" w:sz="0" w:space="0" w:color="auto"/>
      </w:divBdr>
    </w:div>
    <w:div w:id="2080788271">
      <w:bodyDiv w:val="1"/>
      <w:marLeft w:val="0"/>
      <w:marRight w:val="0"/>
      <w:marTop w:val="0"/>
      <w:marBottom w:val="0"/>
      <w:divBdr>
        <w:top w:val="none" w:sz="0" w:space="0" w:color="auto"/>
        <w:left w:val="none" w:sz="0" w:space="0" w:color="auto"/>
        <w:bottom w:val="none" w:sz="0" w:space="0" w:color="auto"/>
        <w:right w:val="none" w:sz="0" w:space="0" w:color="auto"/>
      </w:divBdr>
    </w:div>
    <w:div w:id="2091272963">
      <w:bodyDiv w:val="1"/>
      <w:marLeft w:val="0"/>
      <w:marRight w:val="0"/>
      <w:marTop w:val="0"/>
      <w:marBottom w:val="0"/>
      <w:divBdr>
        <w:top w:val="none" w:sz="0" w:space="0" w:color="auto"/>
        <w:left w:val="none" w:sz="0" w:space="0" w:color="auto"/>
        <w:bottom w:val="none" w:sz="0" w:space="0" w:color="auto"/>
        <w:right w:val="none" w:sz="0" w:space="0" w:color="auto"/>
      </w:divBdr>
    </w:div>
    <w:div w:id="2102098335">
      <w:bodyDiv w:val="1"/>
      <w:marLeft w:val="0"/>
      <w:marRight w:val="0"/>
      <w:marTop w:val="0"/>
      <w:marBottom w:val="0"/>
      <w:divBdr>
        <w:top w:val="none" w:sz="0" w:space="0" w:color="auto"/>
        <w:left w:val="none" w:sz="0" w:space="0" w:color="auto"/>
        <w:bottom w:val="none" w:sz="0" w:space="0" w:color="auto"/>
        <w:right w:val="none" w:sz="0" w:space="0" w:color="auto"/>
      </w:divBdr>
    </w:div>
    <w:div w:id="2107919493">
      <w:bodyDiv w:val="1"/>
      <w:marLeft w:val="0"/>
      <w:marRight w:val="0"/>
      <w:marTop w:val="0"/>
      <w:marBottom w:val="0"/>
      <w:divBdr>
        <w:top w:val="none" w:sz="0" w:space="0" w:color="auto"/>
        <w:left w:val="none" w:sz="0" w:space="0" w:color="auto"/>
        <w:bottom w:val="none" w:sz="0" w:space="0" w:color="auto"/>
        <w:right w:val="none" w:sz="0" w:space="0" w:color="auto"/>
      </w:divBdr>
    </w:div>
    <w:div w:id="2126462390">
      <w:bodyDiv w:val="1"/>
      <w:marLeft w:val="0"/>
      <w:marRight w:val="0"/>
      <w:marTop w:val="0"/>
      <w:marBottom w:val="0"/>
      <w:divBdr>
        <w:top w:val="none" w:sz="0" w:space="0" w:color="auto"/>
        <w:left w:val="none" w:sz="0" w:space="0" w:color="auto"/>
        <w:bottom w:val="none" w:sz="0" w:space="0" w:color="auto"/>
        <w:right w:val="none" w:sz="0" w:space="0" w:color="auto"/>
      </w:divBdr>
    </w:div>
    <w:div w:id="21443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2C66-6CB4-4D51-9D76-33E71CC4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29</Pages>
  <Words>11403</Words>
  <Characters>62717</Characters>
  <Application>Microsoft Office Word</Application>
  <DocSecurity>0</DocSecurity>
  <Lines>522</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CONTRALORIA GENERAL DE LA REPUBLICA</vt:lpstr>
      <vt:lpstr>CONTRALORIA GENERAL DE LA REPUBLICA</vt:lpstr>
    </vt:vector>
  </TitlesOfParts>
  <Company>FONAFIFO</Company>
  <LinksUpToDate>false</LinksUpToDate>
  <CharactersWithSpaces>73973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CONTRALORIA GENERAL DE LA REPUBLICA</dc:title>
  <dc:creator>Edgar Toruño</dc:creator>
  <cp:lastModifiedBy>Rebeca Jara Jiménez</cp:lastModifiedBy>
  <cp:revision>6</cp:revision>
  <cp:lastPrinted>2019-02-15T19:27:00Z</cp:lastPrinted>
  <dcterms:created xsi:type="dcterms:W3CDTF">2019-02-13T19:16:00Z</dcterms:created>
  <dcterms:modified xsi:type="dcterms:W3CDTF">2019-02-15T21:19:00Z</dcterms:modified>
</cp:coreProperties>
</file>