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93C3" w14:textId="77777777" w:rsidR="0025713E" w:rsidRPr="006B5174" w:rsidRDefault="0025713E" w:rsidP="0025713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>ACTA 03-2023</w:t>
      </w:r>
    </w:p>
    <w:p w14:paraId="407A6466" w14:textId="77777777" w:rsidR="0025713E" w:rsidRPr="006B5174" w:rsidRDefault="0025713E" w:rsidP="0025713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>SESIÓN ORDINARIA JUNTA DIRECTIVA</w:t>
      </w:r>
    </w:p>
    <w:p w14:paraId="326A7E9D" w14:textId="77777777" w:rsidR="0025713E" w:rsidRPr="006B5174" w:rsidRDefault="0025713E" w:rsidP="0025713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3A88138B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162926B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B5174">
        <w:rPr>
          <w:rFonts w:ascii="Arial" w:eastAsia="Calibri" w:hAnsi="Arial" w:cs="Arial"/>
          <w:sz w:val="20"/>
          <w:szCs w:val="20"/>
        </w:rPr>
        <w:t>Sesión Ordinaria de la Junta Directiva del Fondo Nacional de Financiamiento Forestal, celebrada el miércoles 08 de marzo de dos mil veintitrés a las 04:00 p.m., modalidad mixta.</w:t>
      </w:r>
    </w:p>
    <w:p w14:paraId="0D97BAF6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EC29AA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B5174">
        <w:rPr>
          <w:rFonts w:ascii="Arial" w:eastAsia="Calibri" w:hAnsi="Arial" w:cs="Arial"/>
          <w:sz w:val="20"/>
          <w:szCs w:val="20"/>
        </w:rPr>
        <w:t xml:space="preserve">Asistentes: </w:t>
      </w:r>
    </w:p>
    <w:p w14:paraId="4F071E5F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250484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B5174">
        <w:rPr>
          <w:rFonts w:ascii="Arial" w:eastAsia="Calibri" w:hAnsi="Arial" w:cs="Arial"/>
          <w:b/>
          <w:sz w:val="20"/>
          <w:szCs w:val="20"/>
        </w:rPr>
        <w:t>SR. CARLOS ISAAC PÉREZ MEJÍA</w:t>
      </w:r>
      <w:r w:rsidRPr="006B5174">
        <w:rPr>
          <w:rFonts w:ascii="Arial" w:eastAsia="Calibri" w:hAnsi="Arial" w:cs="Arial"/>
          <w:b/>
          <w:sz w:val="20"/>
          <w:szCs w:val="20"/>
        </w:rPr>
        <w:tab/>
      </w:r>
      <w:r w:rsidRPr="006B5174">
        <w:rPr>
          <w:rFonts w:ascii="Arial" w:eastAsia="Calibri" w:hAnsi="Arial" w:cs="Arial"/>
          <w:b/>
          <w:sz w:val="20"/>
          <w:szCs w:val="20"/>
        </w:rPr>
        <w:tab/>
        <w:t xml:space="preserve">PRESIDENTE SUPLENTE </w:t>
      </w:r>
    </w:p>
    <w:p w14:paraId="2A2B2C46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B5174">
        <w:rPr>
          <w:rFonts w:ascii="Arial" w:eastAsia="Calibri" w:hAnsi="Arial" w:cs="Arial"/>
          <w:b/>
          <w:sz w:val="20"/>
          <w:szCs w:val="20"/>
        </w:rPr>
        <w:t xml:space="preserve">SR. </w:t>
      </w:r>
      <w:r w:rsidRPr="006B5174">
        <w:rPr>
          <w:rFonts w:ascii="Arial" w:eastAsia="Calibri" w:hAnsi="Arial" w:cs="Arial"/>
          <w:b/>
          <w:bCs/>
          <w:sz w:val="20"/>
          <w:szCs w:val="20"/>
        </w:rPr>
        <w:t>MAURICIO CHACÓN NAVARRO</w:t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  <w:t>VICEPRESIDENTE</w:t>
      </w:r>
    </w:p>
    <w:p w14:paraId="554E379F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 xml:space="preserve">SR. </w:t>
      </w:r>
      <w:r w:rsidRPr="006B5174">
        <w:rPr>
          <w:rFonts w:ascii="Arial" w:eastAsia="Batang" w:hAnsi="Arial" w:cs="Arial"/>
          <w:b/>
          <w:sz w:val="20"/>
          <w:szCs w:val="20"/>
        </w:rPr>
        <w:t>FELIPE VEGA MONGE</w:t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  <w:t xml:space="preserve">SECRETARIO </w:t>
      </w:r>
    </w:p>
    <w:p w14:paraId="34B89F76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 xml:space="preserve">SR. GUSTAVO ELIZONDO FALLAS </w:t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</w:r>
      <w:r w:rsidRPr="006B5174">
        <w:rPr>
          <w:rFonts w:ascii="Arial" w:eastAsia="Calibri" w:hAnsi="Arial" w:cs="Arial"/>
          <w:b/>
          <w:bCs/>
          <w:sz w:val="20"/>
          <w:szCs w:val="20"/>
        </w:rPr>
        <w:tab/>
        <w:t>TESORERO</w:t>
      </w:r>
      <w:r w:rsidRPr="006B517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29CA3D66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B5174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 w:rsidRPr="006B5174">
        <w:rPr>
          <w:rFonts w:ascii="Arial" w:hAnsi="Arial" w:cs="Arial"/>
          <w:sz w:val="20"/>
          <w:szCs w:val="20"/>
        </w:rPr>
        <w:tab/>
      </w:r>
      <w:r w:rsidRPr="006B5174">
        <w:rPr>
          <w:rFonts w:ascii="Arial" w:hAnsi="Arial" w:cs="Arial"/>
          <w:sz w:val="20"/>
          <w:szCs w:val="20"/>
        </w:rPr>
        <w:tab/>
      </w:r>
      <w:r w:rsidRPr="006B5174">
        <w:rPr>
          <w:rFonts w:ascii="Arial" w:eastAsia="Calibri" w:hAnsi="Arial" w:cs="Arial"/>
          <w:b/>
          <w:bCs/>
          <w:sz w:val="20"/>
          <w:szCs w:val="20"/>
        </w:rPr>
        <w:t xml:space="preserve">VOCAL </w:t>
      </w:r>
    </w:p>
    <w:p w14:paraId="4EA22920" w14:textId="77777777" w:rsidR="0025713E" w:rsidRPr="006B5174" w:rsidRDefault="0025713E" w:rsidP="0025713E">
      <w:pPr>
        <w:pStyle w:val="Default"/>
        <w:jc w:val="both"/>
        <w:rPr>
          <w:color w:val="auto"/>
          <w:sz w:val="20"/>
          <w:szCs w:val="20"/>
        </w:rPr>
      </w:pPr>
    </w:p>
    <w:p w14:paraId="3E109DDF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B5174">
        <w:rPr>
          <w:rFonts w:ascii="Arial" w:eastAsia="Calibri" w:hAnsi="Arial" w:cs="Arial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6B5174">
        <w:rPr>
          <w:rFonts w:ascii="Arial" w:eastAsia="Calibri" w:hAnsi="Arial" w:cs="Arial"/>
          <w:sz w:val="20"/>
          <w:szCs w:val="20"/>
        </w:rPr>
        <w:t>Fonafifo</w:t>
      </w:r>
      <w:proofErr w:type="spellEnd"/>
      <w:r w:rsidRPr="006B5174">
        <w:rPr>
          <w:rFonts w:ascii="Arial" w:eastAsia="Calibri" w:hAnsi="Arial" w:cs="Arial"/>
          <w:sz w:val="20"/>
          <w:szCs w:val="20"/>
        </w:rPr>
        <w:t xml:space="preserve"> y la Sra. Johanna Gamboa Corrales- Secretaria de actas.</w:t>
      </w:r>
    </w:p>
    <w:p w14:paraId="1E854769" w14:textId="77777777" w:rsidR="0025713E" w:rsidRPr="006B5174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1140FC" w14:textId="77777777" w:rsidR="0025713E" w:rsidRPr="00780EAD" w:rsidRDefault="0025713E" w:rsidP="00257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2534">
        <w:rPr>
          <w:rFonts w:ascii="Arial" w:eastAsia="Calibri" w:hAnsi="Arial" w:cs="Arial"/>
          <w:sz w:val="20"/>
          <w:szCs w:val="20"/>
        </w:rPr>
        <w:t>Invitados:</w:t>
      </w:r>
      <w:r w:rsidRPr="002942EC">
        <w:t xml:space="preserve"> </w:t>
      </w:r>
      <w:proofErr w:type="spellStart"/>
      <w:r w:rsidRPr="002942EC">
        <w:rPr>
          <w:rFonts w:ascii="Arial" w:eastAsia="Calibri" w:hAnsi="Arial" w:cs="Arial"/>
          <w:sz w:val="20"/>
          <w:szCs w:val="20"/>
        </w:rPr>
        <w:t>Krisley</w:t>
      </w:r>
      <w:proofErr w:type="spellEnd"/>
      <w:r w:rsidRPr="002942E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942EC">
        <w:rPr>
          <w:rFonts w:ascii="Arial" w:eastAsia="Calibri" w:hAnsi="Arial" w:cs="Arial"/>
          <w:sz w:val="20"/>
          <w:szCs w:val="20"/>
        </w:rPr>
        <w:t>Dayan</w:t>
      </w:r>
      <w:proofErr w:type="spellEnd"/>
      <w:r w:rsidRPr="002942EC">
        <w:rPr>
          <w:rFonts w:ascii="Arial" w:eastAsia="Calibri" w:hAnsi="Arial" w:cs="Arial"/>
          <w:sz w:val="20"/>
          <w:szCs w:val="20"/>
        </w:rPr>
        <w:t xml:space="preserve"> Zamora </w:t>
      </w:r>
      <w:proofErr w:type="spellStart"/>
      <w:r w:rsidRPr="002942EC">
        <w:rPr>
          <w:rFonts w:ascii="Arial" w:eastAsia="Calibri" w:hAnsi="Arial" w:cs="Arial"/>
          <w:sz w:val="20"/>
          <w:szCs w:val="20"/>
        </w:rPr>
        <w:t>Chaverri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-Contraloría de Servicios, Natalia Vega Jara-Jefe </w:t>
      </w:r>
      <w:r w:rsidRPr="004B63BD">
        <w:rPr>
          <w:rFonts w:ascii="Arial" w:eastAsia="Calibri" w:hAnsi="Arial" w:cs="Arial"/>
          <w:sz w:val="20"/>
          <w:szCs w:val="20"/>
        </w:rPr>
        <w:t>Unidad Planificación y Control de Gestión</w:t>
      </w:r>
      <w:r>
        <w:rPr>
          <w:rFonts w:ascii="Arial" w:eastAsia="Calibri" w:hAnsi="Arial" w:cs="Arial"/>
          <w:sz w:val="20"/>
          <w:szCs w:val="20"/>
        </w:rPr>
        <w:t>, Carmen Roldán Chacón-Directora de</w:t>
      </w:r>
      <w:r w:rsidRPr="001B4E8C">
        <w:rPr>
          <w:rFonts w:ascii="Arial" w:eastAsia="Calibri" w:hAnsi="Arial" w:cs="Arial"/>
          <w:sz w:val="20"/>
          <w:szCs w:val="20"/>
        </w:rPr>
        <w:t xml:space="preserve"> Desarr</w:t>
      </w:r>
      <w:r>
        <w:rPr>
          <w:rFonts w:ascii="Arial" w:eastAsia="Calibri" w:hAnsi="Arial" w:cs="Arial"/>
          <w:sz w:val="20"/>
          <w:szCs w:val="20"/>
        </w:rPr>
        <w:t>ollo y Comercialización de Servicios</w:t>
      </w:r>
      <w:r w:rsidRPr="001B4E8C">
        <w:rPr>
          <w:rFonts w:ascii="Arial" w:eastAsia="Calibri" w:hAnsi="Arial" w:cs="Arial"/>
          <w:sz w:val="20"/>
          <w:szCs w:val="20"/>
        </w:rPr>
        <w:t xml:space="preserve"> Ambientales</w:t>
      </w:r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80EAD">
        <w:rPr>
          <w:rFonts w:ascii="Arial" w:eastAsia="Calibri" w:hAnsi="Arial" w:cs="Arial"/>
          <w:sz w:val="20"/>
          <w:szCs w:val="20"/>
        </w:rPr>
        <w:t>Gilmar</w:t>
      </w:r>
      <w:proofErr w:type="spellEnd"/>
      <w:r w:rsidRPr="00780EAD">
        <w:rPr>
          <w:rFonts w:ascii="Arial" w:eastAsia="Calibri" w:hAnsi="Arial" w:cs="Arial"/>
          <w:sz w:val="20"/>
          <w:szCs w:val="20"/>
        </w:rPr>
        <w:t xml:space="preserve"> Navarrete Chacón, Director de Servicios Ambientales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2F70C72" w14:textId="77777777" w:rsidR="0025713E" w:rsidRPr="006B5174" w:rsidRDefault="0025713E" w:rsidP="0025713E">
      <w:pPr>
        <w:pStyle w:val="Default"/>
        <w:jc w:val="both"/>
        <w:rPr>
          <w:color w:val="auto"/>
          <w:sz w:val="20"/>
          <w:szCs w:val="20"/>
          <w:highlight w:val="yellow"/>
        </w:rPr>
      </w:pPr>
    </w:p>
    <w:p w14:paraId="5AA51F7E" w14:textId="77777777" w:rsidR="0025713E" w:rsidRDefault="0025713E" w:rsidP="0025713E">
      <w:pPr>
        <w:pStyle w:val="Default"/>
        <w:jc w:val="both"/>
        <w:rPr>
          <w:color w:val="auto"/>
          <w:sz w:val="20"/>
          <w:szCs w:val="20"/>
        </w:rPr>
      </w:pPr>
      <w:r w:rsidRPr="002942EC">
        <w:rPr>
          <w:color w:val="auto"/>
          <w:sz w:val="20"/>
          <w:szCs w:val="20"/>
        </w:rPr>
        <w:t xml:space="preserve">Ausentes con justificación: El señor Franz </w:t>
      </w:r>
      <w:proofErr w:type="spellStart"/>
      <w:r w:rsidRPr="002942EC">
        <w:rPr>
          <w:color w:val="auto"/>
          <w:sz w:val="20"/>
          <w:szCs w:val="20"/>
        </w:rPr>
        <w:t>Tattenbach</w:t>
      </w:r>
      <w:proofErr w:type="spellEnd"/>
      <w:r w:rsidRPr="002942EC">
        <w:rPr>
          <w:color w:val="auto"/>
          <w:sz w:val="20"/>
          <w:szCs w:val="20"/>
        </w:rPr>
        <w:t xml:space="preserve"> </w:t>
      </w:r>
      <w:proofErr w:type="spellStart"/>
      <w:r w:rsidRPr="002942EC">
        <w:rPr>
          <w:color w:val="auto"/>
          <w:sz w:val="20"/>
          <w:szCs w:val="20"/>
        </w:rPr>
        <w:t>Capra</w:t>
      </w:r>
      <w:proofErr w:type="spellEnd"/>
      <w:r>
        <w:rPr>
          <w:color w:val="auto"/>
          <w:sz w:val="20"/>
          <w:szCs w:val="20"/>
        </w:rPr>
        <w:t>.</w:t>
      </w:r>
    </w:p>
    <w:p w14:paraId="0BB619D1" w14:textId="77777777" w:rsidR="0025713E" w:rsidRPr="006B5174" w:rsidRDefault="0025713E" w:rsidP="0025713E">
      <w:pPr>
        <w:pStyle w:val="Default"/>
        <w:jc w:val="both"/>
        <w:rPr>
          <w:color w:val="auto"/>
          <w:sz w:val="20"/>
          <w:szCs w:val="20"/>
        </w:rPr>
      </w:pPr>
    </w:p>
    <w:p w14:paraId="640926C3" w14:textId="77777777" w:rsidR="0025713E" w:rsidRPr="006B5174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E5C82" w14:textId="7122EBFF" w:rsidR="00E2332F" w:rsidRDefault="0025713E" w:rsidP="0025713E">
      <w:pPr>
        <w:rPr>
          <w:rStyle w:val="normaltextrun"/>
          <w:rFonts w:ascii="Arial" w:hAnsi="Arial" w:cs="Arial"/>
          <w:b/>
          <w:sz w:val="20"/>
          <w:szCs w:val="20"/>
          <w:u w:val="single"/>
        </w:rPr>
      </w:pPr>
      <w:r w:rsidRPr="0025713E">
        <w:rPr>
          <w:rStyle w:val="normaltextrun"/>
          <w:rFonts w:ascii="Arial" w:hAnsi="Arial" w:cs="Arial"/>
          <w:b/>
          <w:sz w:val="20"/>
          <w:szCs w:val="20"/>
          <w:u w:val="single"/>
        </w:rPr>
        <w:t>ACUERDOS TOMADOS EN LA SESIÓN:</w:t>
      </w:r>
    </w:p>
    <w:p w14:paraId="1B81C733" w14:textId="77777777" w:rsidR="0025713E" w:rsidRDefault="0025713E" w:rsidP="0025713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4B51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N°03</w:t>
      </w:r>
      <w:r w:rsidRPr="00DC4B51">
        <w:rPr>
          <w:rFonts w:ascii="Arial" w:hAnsi="Arial" w:cs="Arial"/>
          <w:sz w:val="20"/>
          <w:szCs w:val="20"/>
        </w:rPr>
        <w:t xml:space="preserve">-2023. </w:t>
      </w:r>
      <w:r w:rsidRPr="00DC4B51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b/>
          <w:sz w:val="20"/>
          <w:szCs w:val="20"/>
        </w:rPr>
        <w:t>.</w:t>
      </w:r>
    </w:p>
    <w:p w14:paraId="5CC3AFE4" w14:textId="2EB06816" w:rsidR="0025713E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4838B5">
        <w:rPr>
          <w:rStyle w:val="normaltextrun"/>
          <w:rFonts w:ascii="Arial" w:hAnsi="Arial" w:cs="Arial"/>
          <w:b/>
          <w:sz w:val="20"/>
          <w:szCs w:val="20"/>
        </w:rPr>
        <w:t xml:space="preserve">ACUERDO SEGUNDO. </w:t>
      </w:r>
      <w:r w:rsidRPr="004838B5">
        <w:rPr>
          <w:rStyle w:val="normaltextrun"/>
          <w:rFonts w:ascii="Arial" w:hAnsi="Arial" w:cs="Arial"/>
          <w:sz w:val="20"/>
          <w:szCs w:val="20"/>
        </w:rPr>
        <w:t xml:space="preserve">La Junta Directiva da por conocido y recibido el Informe de labores de la Contraloría de Servicios Institucional y felicita a la señora Contralora </w:t>
      </w:r>
      <w:proofErr w:type="spellStart"/>
      <w:r w:rsidRPr="004838B5">
        <w:rPr>
          <w:rStyle w:val="normaltextrun"/>
          <w:rFonts w:ascii="Arial" w:hAnsi="Arial" w:cs="Arial"/>
          <w:sz w:val="20"/>
          <w:szCs w:val="20"/>
        </w:rPr>
        <w:t>Krisley</w:t>
      </w:r>
      <w:proofErr w:type="spellEnd"/>
      <w:r w:rsidRPr="004838B5">
        <w:rPr>
          <w:rStyle w:val="normaltextrun"/>
          <w:rFonts w:ascii="Arial" w:hAnsi="Arial" w:cs="Arial"/>
          <w:sz w:val="20"/>
          <w:szCs w:val="20"/>
        </w:rPr>
        <w:t xml:space="preserve"> Zamora, por la labor efectuada. </w:t>
      </w:r>
      <w:r w:rsidRPr="004838B5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4095DEC5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A3F98CA" w14:textId="5090100B" w:rsidR="0025713E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838B5">
        <w:rPr>
          <w:rStyle w:val="normaltextrun"/>
          <w:rFonts w:ascii="Arial" w:hAnsi="Arial" w:cs="Arial"/>
          <w:b/>
          <w:sz w:val="20"/>
          <w:szCs w:val="20"/>
        </w:rPr>
        <w:t xml:space="preserve">ACUERDO TERCERO. </w:t>
      </w:r>
      <w:r w:rsidRPr="004838B5">
        <w:rPr>
          <w:rStyle w:val="normaltextrun"/>
          <w:rFonts w:ascii="Arial" w:hAnsi="Arial" w:cs="Arial"/>
          <w:sz w:val="20"/>
          <w:szCs w:val="20"/>
        </w:rPr>
        <w:t xml:space="preserve">Se aprueba el Acta N°02-2023. </w:t>
      </w:r>
      <w:r w:rsidRPr="004838B5">
        <w:rPr>
          <w:rStyle w:val="eop"/>
          <w:rFonts w:ascii="Arial" w:hAnsi="Arial" w:cs="Arial"/>
          <w:b/>
          <w:sz w:val="20"/>
          <w:szCs w:val="20"/>
        </w:rPr>
        <w:t>ACUERDO FIRME</w:t>
      </w:r>
      <w:r w:rsidRPr="004838B5">
        <w:rPr>
          <w:rStyle w:val="eop"/>
          <w:rFonts w:ascii="Arial" w:hAnsi="Arial" w:cs="Arial"/>
          <w:sz w:val="20"/>
          <w:szCs w:val="20"/>
        </w:rPr>
        <w:t>.</w:t>
      </w:r>
    </w:p>
    <w:p w14:paraId="41C46617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54D56ADA" w14:textId="268D5002" w:rsidR="0025713E" w:rsidRDefault="0025713E" w:rsidP="00257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0D1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ACUERDO CUARTO. </w:t>
      </w:r>
      <w:bookmarkStart w:id="0" w:name="_MailOriginal"/>
      <w:r w:rsidRPr="00F80D11">
        <w:rPr>
          <w:rFonts w:ascii="Arial" w:eastAsia="Times New Roman" w:hAnsi="Arial" w:cs="Arial"/>
          <w:sz w:val="20"/>
          <w:szCs w:val="20"/>
          <w:lang w:eastAsia="es-ES"/>
        </w:rPr>
        <w:t xml:space="preserve">La Junta Directiva aprueba según los términos y alcances de la Adenda 01-2023 al Convenio entre ICT y </w:t>
      </w:r>
      <w:proofErr w:type="spellStart"/>
      <w:r w:rsidRPr="00F80D11">
        <w:rPr>
          <w:rFonts w:ascii="Arial" w:eastAsia="Times New Roman" w:hAnsi="Arial" w:cs="Arial"/>
          <w:sz w:val="20"/>
          <w:szCs w:val="20"/>
          <w:lang w:eastAsia="es-ES"/>
        </w:rPr>
        <w:t>Fonafifo</w:t>
      </w:r>
      <w:proofErr w:type="spellEnd"/>
      <w:r w:rsidRPr="00F80D11">
        <w:rPr>
          <w:rFonts w:ascii="Arial" w:eastAsia="Times New Roman" w:hAnsi="Arial" w:cs="Arial"/>
          <w:sz w:val="20"/>
          <w:szCs w:val="20"/>
          <w:lang w:eastAsia="es-ES"/>
        </w:rPr>
        <w:t>, firmado el 14 de agosto de 2020, un precio de US$6, para cada crédito de carbono marca UCC-</w:t>
      </w:r>
      <w:proofErr w:type="spellStart"/>
      <w:r w:rsidRPr="00F80D11">
        <w:rPr>
          <w:rFonts w:ascii="Arial" w:eastAsia="Times New Roman" w:hAnsi="Arial" w:cs="Arial"/>
          <w:sz w:val="20"/>
          <w:szCs w:val="20"/>
          <w:lang w:eastAsia="es-ES"/>
        </w:rPr>
        <w:t>Fonafifo</w:t>
      </w:r>
      <w:proofErr w:type="spellEnd"/>
      <w:r w:rsidRPr="00F80D11">
        <w:rPr>
          <w:rFonts w:ascii="Arial" w:eastAsia="Times New Roman" w:hAnsi="Arial" w:cs="Arial"/>
          <w:sz w:val="20"/>
          <w:szCs w:val="20"/>
          <w:lang w:eastAsia="es-ES"/>
        </w:rPr>
        <w:t>, colocado mediante el Departamento de Mercadeo, Este precio diferenciado aplicará durante el período de vigencia de seis años del Convenio, según cláusula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80D11">
        <w:rPr>
          <w:rFonts w:ascii="Arial" w:eastAsia="Times New Roman" w:hAnsi="Arial" w:cs="Arial"/>
          <w:sz w:val="20"/>
          <w:szCs w:val="20"/>
          <w:lang w:eastAsia="es-ES"/>
        </w:rPr>
        <w:t xml:space="preserve">sétima. Este Acuerdo deja sin efecto el Acuerdo Décimo Segundo, de la reunión ordinaria de Junta Directiva 01-2023. </w:t>
      </w:r>
      <w:r w:rsidRPr="00F80D11">
        <w:rPr>
          <w:rFonts w:ascii="Arial" w:eastAsia="Times New Roman" w:hAnsi="Arial" w:cs="Arial"/>
          <w:b/>
          <w:sz w:val="20"/>
          <w:szCs w:val="20"/>
          <w:lang w:eastAsia="es-ES"/>
        </w:rPr>
        <w:t>ACUERDO FIRME.</w:t>
      </w:r>
    </w:p>
    <w:p w14:paraId="1643136D" w14:textId="77777777" w:rsidR="0025713E" w:rsidRPr="00F80D11" w:rsidRDefault="0025713E" w:rsidP="00257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bookmarkEnd w:id="0"/>
    <w:p w14:paraId="1A711580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t>ACUERDO QUINTO</w:t>
      </w:r>
      <w:r w:rsidRPr="004838B5">
        <w:rPr>
          <w:rStyle w:val="eop"/>
          <w:rFonts w:ascii="Arial" w:hAnsi="Arial" w:cs="Arial"/>
          <w:b/>
          <w:sz w:val="20"/>
          <w:szCs w:val="20"/>
        </w:rPr>
        <w:t>.</w:t>
      </w:r>
      <w:r w:rsidRPr="004838B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 xml:space="preserve">Se acuerda modificar el artículo 43.1 del </w:t>
      </w:r>
      <w:r w:rsidRPr="004838B5">
        <w:rPr>
          <w:rStyle w:val="normaltextrun"/>
          <w:rFonts w:ascii="Arial" w:hAnsi="Arial" w:cs="Arial"/>
          <w:sz w:val="20"/>
          <w:szCs w:val="20"/>
        </w:rPr>
        <w:t>capítulo</w:t>
      </w:r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 xml:space="preserve"> XII del manual de procedimientos de pago por servicios ambientales para que en adelante se lea de la siguiente forma:</w:t>
      </w:r>
    </w:p>
    <w:p w14:paraId="7F527CFA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A918CD7" w14:textId="77777777" w:rsidR="0025713E" w:rsidRPr="004838B5" w:rsidRDefault="0025713E" w:rsidP="002571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  <w:sz w:val="20"/>
          <w:szCs w:val="20"/>
        </w:rPr>
      </w:pPr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>Artículo 43. –Distribución de los montos de pago.</w:t>
      </w:r>
    </w:p>
    <w:p w14:paraId="5CD4DE0F" w14:textId="77777777" w:rsidR="0025713E" w:rsidRPr="004838B5" w:rsidRDefault="0025713E" w:rsidP="002571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D57CA00" w14:textId="77777777" w:rsidR="0025713E" w:rsidRPr="004A79FF" w:rsidRDefault="0025713E" w:rsidP="002571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 xml:space="preserve">43.1. La distribución del monto de PSA será en 6 tractos anuales en los siguientes porcentajes: </w:t>
      </w:r>
      <w:r w:rsidRPr="00D47648">
        <w:rPr>
          <w:rStyle w:val="normaltextrun"/>
          <w:rFonts w:ascii="Arial" w:eastAsiaTheme="minorEastAsia" w:hAnsi="Arial" w:cs="Arial"/>
          <w:sz w:val="20"/>
          <w:szCs w:val="20"/>
          <w:u w:val="single"/>
        </w:rPr>
        <w:t>11%, 16%, 17%, 18%, 19% y 19%,</w:t>
      </w:r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 xml:space="preserve"> que se entregará siempre y cuando el beneficiario haya consentido mediante documento formal que conste en el expediente.  Con los recursos </w:t>
      </w:r>
      <w:proofErr w:type="spellStart"/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>Fonafifo</w:t>
      </w:r>
      <w:proofErr w:type="spellEnd"/>
      <w:r w:rsidRPr="004838B5">
        <w:rPr>
          <w:rStyle w:val="normaltextrun"/>
          <w:rFonts w:ascii="Arial" w:eastAsiaTheme="minorEastAsia" w:hAnsi="Arial" w:cs="Arial"/>
          <w:sz w:val="20"/>
          <w:szCs w:val="20"/>
        </w:rPr>
        <w:t xml:space="preserve"> cancelara el interés anual generado por los proyectos del piloto y de quedar algún saldo del PSA en la transacción, que este se utilice para amortizar la deuda del principal. </w:t>
      </w:r>
      <w:r w:rsidRPr="004A79FF">
        <w:rPr>
          <w:rStyle w:val="normaltextrun"/>
          <w:rFonts w:ascii="Arial" w:eastAsiaTheme="minorEastAsia" w:hAnsi="Arial" w:cs="Arial"/>
          <w:b/>
          <w:sz w:val="20"/>
          <w:szCs w:val="20"/>
        </w:rPr>
        <w:t>ACUERDO FIRME.</w:t>
      </w:r>
    </w:p>
    <w:p w14:paraId="5BED590F" w14:textId="661DA217" w:rsidR="0025713E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lastRenderedPageBreak/>
        <w:t xml:space="preserve">ACUERDO SEXTO. </w:t>
      </w:r>
      <w:r w:rsidRPr="00A5566F">
        <w:rPr>
          <w:rStyle w:val="eop"/>
          <w:rFonts w:ascii="Arial" w:hAnsi="Arial" w:cs="Arial"/>
          <w:sz w:val="20"/>
          <w:szCs w:val="20"/>
        </w:rPr>
        <w:t>La Junta Directiva instruye a la administración para que p</w:t>
      </w:r>
      <w:r>
        <w:rPr>
          <w:rStyle w:val="eop"/>
          <w:rFonts w:ascii="Arial" w:hAnsi="Arial" w:cs="Arial"/>
          <w:sz w:val="20"/>
          <w:szCs w:val="20"/>
        </w:rPr>
        <w:t xml:space="preserve">roceda a elaborar un informe </w:t>
      </w:r>
      <w:r w:rsidRPr="00A5566F">
        <w:rPr>
          <w:rStyle w:val="eop"/>
          <w:rFonts w:ascii="Arial" w:hAnsi="Arial" w:cs="Arial"/>
          <w:sz w:val="20"/>
          <w:szCs w:val="20"/>
        </w:rPr>
        <w:t xml:space="preserve">de </w:t>
      </w:r>
      <w:r>
        <w:rPr>
          <w:rStyle w:val="eop"/>
          <w:rFonts w:ascii="Arial" w:hAnsi="Arial" w:cs="Arial"/>
          <w:sz w:val="20"/>
          <w:szCs w:val="20"/>
        </w:rPr>
        <w:t xml:space="preserve">los </w:t>
      </w:r>
      <w:r w:rsidRPr="00A5566F">
        <w:rPr>
          <w:rStyle w:val="eop"/>
          <w:rFonts w:ascii="Arial" w:hAnsi="Arial" w:cs="Arial"/>
          <w:sz w:val="20"/>
          <w:szCs w:val="20"/>
        </w:rPr>
        <w:t xml:space="preserve">resultados </w:t>
      </w:r>
      <w:r>
        <w:rPr>
          <w:rStyle w:val="eop"/>
          <w:rFonts w:ascii="Arial" w:hAnsi="Arial" w:cs="Arial"/>
          <w:sz w:val="20"/>
          <w:szCs w:val="20"/>
        </w:rPr>
        <w:t xml:space="preserve">obtenidos hasta el momento en </w:t>
      </w:r>
      <w:r w:rsidRPr="00A5566F">
        <w:rPr>
          <w:rStyle w:val="eop"/>
          <w:rFonts w:ascii="Arial" w:hAnsi="Arial" w:cs="Arial"/>
          <w:sz w:val="20"/>
          <w:szCs w:val="20"/>
        </w:rPr>
        <w:t>el proyecto pilo</w:t>
      </w:r>
      <w:r>
        <w:rPr>
          <w:rStyle w:val="eop"/>
          <w:rFonts w:ascii="Arial" w:hAnsi="Arial" w:cs="Arial"/>
          <w:sz w:val="20"/>
          <w:szCs w:val="20"/>
        </w:rPr>
        <w:t>to</w:t>
      </w:r>
      <w:r w:rsidRPr="00A5566F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A5566F">
        <w:rPr>
          <w:rStyle w:val="eop"/>
          <w:rFonts w:ascii="Arial" w:hAnsi="Arial" w:cs="Arial"/>
          <w:sz w:val="20"/>
          <w:szCs w:val="20"/>
        </w:rPr>
        <w:t>Fund</w:t>
      </w:r>
      <w:r>
        <w:rPr>
          <w:rStyle w:val="eop"/>
          <w:rFonts w:ascii="Arial" w:hAnsi="Arial" w:cs="Arial"/>
          <w:sz w:val="20"/>
          <w:szCs w:val="20"/>
        </w:rPr>
        <w:t>e</w:t>
      </w:r>
      <w:r w:rsidRPr="00A5566F">
        <w:rPr>
          <w:rStyle w:val="eop"/>
          <w:rFonts w:ascii="Arial" w:hAnsi="Arial" w:cs="Arial"/>
          <w:sz w:val="20"/>
          <w:szCs w:val="20"/>
        </w:rPr>
        <w:t>cor-Fonafifo</w:t>
      </w:r>
      <w:proofErr w:type="spellEnd"/>
      <w:r w:rsidRPr="00A5566F">
        <w:rPr>
          <w:rStyle w:val="eop"/>
          <w:rFonts w:ascii="Arial" w:hAnsi="Arial" w:cs="Arial"/>
          <w:sz w:val="20"/>
          <w:szCs w:val="20"/>
        </w:rPr>
        <w:t xml:space="preserve"> y que sea presentado en la próxima sesión de Junta Directiva</w:t>
      </w:r>
      <w:r>
        <w:rPr>
          <w:rStyle w:val="eop"/>
          <w:rFonts w:ascii="Arial" w:hAnsi="Arial" w:cs="Arial"/>
          <w:b/>
          <w:sz w:val="20"/>
          <w:szCs w:val="20"/>
        </w:rPr>
        <w:t>. ACUERDO FIRME.</w:t>
      </w:r>
    </w:p>
    <w:p w14:paraId="19E041FF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14:paraId="3B7E866A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838B5">
        <w:rPr>
          <w:rStyle w:val="eop"/>
          <w:rFonts w:ascii="Arial" w:hAnsi="Arial" w:cs="Arial"/>
          <w:b/>
          <w:sz w:val="20"/>
          <w:szCs w:val="20"/>
        </w:rPr>
        <w:t xml:space="preserve">ACUERDO </w:t>
      </w:r>
      <w:r>
        <w:rPr>
          <w:rStyle w:val="eop"/>
          <w:rFonts w:ascii="Arial" w:hAnsi="Arial" w:cs="Arial"/>
          <w:b/>
          <w:sz w:val="20"/>
          <w:szCs w:val="20"/>
        </w:rPr>
        <w:t>SÉTIMO</w:t>
      </w:r>
      <w:r w:rsidRPr="004838B5">
        <w:rPr>
          <w:rStyle w:val="eop"/>
          <w:rFonts w:ascii="Arial" w:hAnsi="Arial" w:cs="Arial"/>
          <w:b/>
          <w:sz w:val="20"/>
          <w:szCs w:val="20"/>
        </w:rPr>
        <w:t xml:space="preserve">. </w:t>
      </w:r>
      <w:r w:rsidRPr="004838B5">
        <w:rPr>
          <w:rFonts w:ascii="Arial" w:hAnsi="Arial" w:cs="Arial"/>
          <w:sz w:val="20"/>
          <w:szCs w:val="20"/>
        </w:rPr>
        <w:t>La Junta Directiva da por conocida y recibida la siguiente correspondencia:</w:t>
      </w:r>
    </w:p>
    <w:p w14:paraId="7FF774E8" w14:textId="77777777" w:rsidR="0025713E" w:rsidRPr="004838B5" w:rsidRDefault="0025713E" w:rsidP="0025713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  <w:r w:rsidRPr="004838B5">
        <w:rPr>
          <w:rStyle w:val="eop"/>
          <w:rFonts w:ascii="Arial" w:hAnsi="Arial" w:cs="Arial"/>
          <w:sz w:val="20"/>
          <w:szCs w:val="20"/>
        </w:rPr>
        <w:t> </w:t>
      </w:r>
    </w:p>
    <w:p w14:paraId="534CF7C5" w14:textId="4B50A4DC" w:rsidR="0025713E" w:rsidRPr="0025713E" w:rsidRDefault="0025713E" w:rsidP="0025713E">
      <w:pPr>
        <w:pStyle w:val="Default"/>
        <w:numPr>
          <w:ilvl w:val="0"/>
          <w:numId w:val="46"/>
        </w:numPr>
        <w:ind w:left="0" w:firstLine="0"/>
        <w:jc w:val="both"/>
        <w:rPr>
          <w:rStyle w:val="normaltextrun"/>
          <w:sz w:val="20"/>
          <w:szCs w:val="20"/>
        </w:rPr>
      </w:pPr>
      <w:r w:rsidRPr="004838B5">
        <w:rPr>
          <w:rStyle w:val="normaltextrun"/>
          <w:sz w:val="20"/>
          <w:szCs w:val="20"/>
        </w:rPr>
        <w:t xml:space="preserve">Oficio N° 01171-2023-DHR de la Defensoría de los Habitantes relacionado con la resolución del recurso de reconsideración interpuesto por el ingeniero Álvaro Solano Acosta. </w:t>
      </w:r>
      <w:r w:rsidRPr="004838B5">
        <w:rPr>
          <w:rStyle w:val="normaltextrun"/>
          <w:b/>
          <w:sz w:val="20"/>
          <w:szCs w:val="20"/>
        </w:rPr>
        <w:t>ACUERDO FIRME.</w:t>
      </w:r>
    </w:p>
    <w:p w14:paraId="6FD161DD" w14:textId="77777777" w:rsidR="0025713E" w:rsidRPr="002D61B1" w:rsidRDefault="0025713E" w:rsidP="0025713E">
      <w:pPr>
        <w:pStyle w:val="Default"/>
        <w:ind w:left="993"/>
        <w:jc w:val="both"/>
        <w:rPr>
          <w:rStyle w:val="normaltextrun"/>
          <w:sz w:val="20"/>
          <w:szCs w:val="20"/>
        </w:rPr>
      </w:pPr>
    </w:p>
    <w:p w14:paraId="4ACA1469" w14:textId="77777777" w:rsidR="0025713E" w:rsidRPr="008A0951" w:rsidRDefault="0025713E" w:rsidP="002571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A095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ACUERDO OCTAVO. </w:t>
      </w:r>
      <w:r w:rsidRPr="008A0951">
        <w:rPr>
          <w:rFonts w:ascii="Arial" w:eastAsia="Times New Roman" w:hAnsi="Arial" w:cs="Arial"/>
          <w:sz w:val="20"/>
          <w:szCs w:val="20"/>
          <w:lang w:eastAsia="es-ES"/>
        </w:rPr>
        <w:t xml:space="preserve">La Junta Directiva da por conocido y recibido el Informe de la Comisión de Manejo de Bosque y Reforestación presentado por el señor Felipe Vega. </w:t>
      </w:r>
      <w:r w:rsidRPr="008A0951">
        <w:rPr>
          <w:rFonts w:ascii="Arial" w:eastAsia="Times New Roman" w:hAnsi="Arial" w:cs="Arial"/>
          <w:b/>
          <w:sz w:val="20"/>
          <w:szCs w:val="20"/>
          <w:lang w:eastAsia="es-ES"/>
        </w:rPr>
        <w:t>ACUERDO FIRME.</w:t>
      </w:r>
    </w:p>
    <w:p w14:paraId="457DE3CD" w14:textId="77777777" w:rsidR="0025713E" w:rsidRDefault="0025713E" w:rsidP="0025713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5A896C" w14:textId="77777777" w:rsidR="0025713E" w:rsidRPr="00D17316" w:rsidRDefault="0025713E" w:rsidP="002571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17316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a las </w:t>
      </w:r>
      <w:r>
        <w:rPr>
          <w:rFonts w:ascii="Arial" w:hAnsi="Arial" w:cs="Arial"/>
          <w:b/>
          <w:sz w:val="20"/>
          <w:szCs w:val="20"/>
          <w:lang w:val="es-ES_tradnl"/>
        </w:rPr>
        <w:t>6:20</w:t>
      </w:r>
      <w:r w:rsidRPr="00D17316">
        <w:rPr>
          <w:rFonts w:ascii="Arial" w:hAnsi="Arial" w:cs="Arial"/>
          <w:b/>
          <w:sz w:val="20"/>
          <w:szCs w:val="20"/>
          <w:lang w:val="es-ES_tradnl"/>
        </w:rPr>
        <w:t xml:space="preserve"> p.m.</w:t>
      </w:r>
    </w:p>
    <w:p w14:paraId="1856D81E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DAF3E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8CE24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91525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2CECA7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7FB60E" w14:textId="77777777" w:rsidR="0025713E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782CCD" w14:textId="77777777" w:rsidR="0025713E" w:rsidRPr="00D17316" w:rsidRDefault="0025713E" w:rsidP="002571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B75BD" w14:textId="77777777" w:rsidR="0025713E" w:rsidRPr="00D17316" w:rsidRDefault="0025713E" w:rsidP="002571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7316">
        <w:rPr>
          <w:rFonts w:ascii="Arial" w:hAnsi="Arial" w:cs="Arial"/>
          <w:b/>
          <w:sz w:val="20"/>
          <w:szCs w:val="20"/>
        </w:rPr>
        <w:t>SR.  CARLOS ISAAC PÉREZ MEJÍA</w:t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2CC08F28" w14:textId="77777777" w:rsidR="0025713E" w:rsidRPr="00D17316" w:rsidRDefault="0025713E" w:rsidP="002571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7316">
        <w:rPr>
          <w:rFonts w:ascii="Arial" w:hAnsi="Arial" w:cs="Arial"/>
          <w:b/>
          <w:sz w:val="20"/>
          <w:szCs w:val="20"/>
        </w:rPr>
        <w:t>PRESIDENTE SUPLENTE</w:t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</w:r>
      <w:r w:rsidRPr="00D17316">
        <w:rPr>
          <w:rFonts w:ascii="Arial" w:hAnsi="Arial" w:cs="Arial"/>
          <w:b/>
          <w:sz w:val="20"/>
          <w:szCs w:val="20"/>
        </w:rPr>
        <w:tab/>
        <w:t xml:space="preserve">SECRETARIO </w:t>
      </w:r>
    </w:p>
    <w:p w14:paraId="63C493F7" w14:textId="77777777" w:rsidR="0025713E" w:rsidRPr="0025713E" w:rsidRDefault="0025713E" w:rsidP="0025713E">
      <w:pPr>
        <w:rPr>
          <w:rFonts w:ascii="Arial" w:hAnsi="Arial" w:cs="Arial"/>
          <w:sz w:val="20"/>
          <w:szCs w:val="20"/>
          <w:u w:val="single"/>
        </w:rPr>
      </w:pPr>
      <w:bookmarkStart w:id="1" w:name="_GoBack"/>
      <w:bookmarkEnd w:id="1"/>
    </w:p>
    <w:sectPr w:rsidR="0025713E" w:rsidRPr="0025713E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0F3B" w14:textId="77777777" w:rsidR="00C33E5E" w:rsidRDefault="00C33E5E" w:rsidP="008F51EC">
      <w:pPr>
        <w:spacing w:after="0" w:line="240" w:lineRule="auto"/>
      </w:pPr>
      <w:r>
        <w:separator/>
      </w:r>
    </w:p>
  </w:endnote>
  <w:endnote w:type="continuationSeparator" w:id="0">
    <w:p w14:paraId="26C5F332" w14:textId="77777777" w:rsidR="00C33E5E" w:rsidRDefault="00C33E5E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E0DF" w14:textId="77777777" w:rsidR="00C33E5E" w:rsidRDefault="00C33E5E" w:rsidP="008F51EC">
      <w:pPr>
        <w:spacing w:after="0" w:line="240" w:lineRule="auto"/>
      </w:pPr>
      <w:r>
        <w:separator/>
      </w:r>
    </w:p>
  </w:footnote>
  <w:footnote w:type="continuationSeparator" w:id="0">
    <w:p w14:paraId="486D1F68" w14:textId="77777777" w:rsidR="00C33E5E" w:rsidRDefault="00C33E5E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4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7"/>
  </w:num>
  <w:num w:numId="12">
    <w:abstractNumId w:val="8"/>
  </w:num>
  <w:num w:numId="13">
    <w:abstractNumId w:val="42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9"/>
  </w:num>
  <w:num w:numId="21">
    <w:abstractNumId w:val="20"/>
  </w:num>
  <w:num w:numId="22">
    <w:abstractNumId w:val="41"/>
  </w:num>
  <w:num w:numId="23">
    <w:abstractNumId w:val="45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1"/>
  </w:num>
  <w:num w:numId="36">
    <w:abstractNumId w:val="13"/>
  </w:num>
  <w:num w:numId="37">
    <w:abstractNumId w:val="38"/>
  </w:num>
  <w:num w:numId="38">
    <w:abstractNumId w:val="40"/>
  </w:num>
  <w:num w:numId="39">
    <w:abstractNumId w:val="14"/>
  </w:num>
  <w:num w:numId="40">
    <w:abstractNumId w:val="33"/>
  </w:num>
  <w:num w:numId="41">
    <w:abstractNumId w:val="35"/>
  </w:num>
  <w:num w:numId="42">
    <w:abstractNumId w:val="3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5713E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33E5E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5E4F-FB99-4C9F-8C53-020CD2C1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JMRodriguez</cp:lastModifiedBy>
  <cp:revision>2</cp:revision>
  <cp:lastPrinted>2021-11-08T18:39:00Z</cp:lastPrinted>
  <dcterms:created xsi:type="dcterms:W3CDTF">2023-04-25T17:35:00Z</dcterms:created>
  <dcterms:modified xsi:type="dcterms:W3CDTF">2023-04-25T17:35:00Z</dcterms:modified>
</cp:coreProperties>
</file>