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A780" w14:textId="06B20A2F" w:rsidR="00AD3C56" w:rsidRPr="00580CA0" w:rsidRDefault="00AD3C56" w:rsidP="00AD3C56">
      <w:pPr>
        <w:spacing w:line="240" w:lineRule="auto"/>
        <w:contextualSpacing/>
        <w:rPr>
          <w:rFonts w:ascii="Arial" w:hAnsi="Arial" w:cs="Arial"/>
          <w:sz w:val="24"/>
          <w:szCs w:val="24"/>
          <w:lang w:val="es-CR"/>
        </w:rPr>
      </w:pPr>
      <w:r w:rsidRPr="00580CA0">
        <w:rPr>
          <w:rFonts w:ascii="Arial" w:hAnsi="Arial" w:cs="Arial"/>
          <w:sz w:val="24"/>
          <w:szCs w:val="24"/>
          <w:lang w:val="es-CR"/>
        </w:rPr>
        <w:t>DAF-DA-UPSG-OF-</w:t>
      </w:r>
      <w:r w:rsidR="00580CA0" w:rsidRPr="00580CA0">
        <w:rPr>
          <w:rFonts w:ascii="Arial" w:hAnsi="Arial" w:cs="Arial"/>
          <w:sz w:val="24"/>
          <w:szCs w:val="24"/>
          <w:lang w:val="es-CR"/>
        </w:rPr>
        <w:t>0047</w:t>
      </w:r>
      <w:r w:rsidRPr="00580CA0">
        <w:rPr>
          <w:rFonts w:ascii="Arial" w:hAnsi="Arial" w:cs="Arial"/>
          <w:sz w:val="24"/>
          <w:szCs w:val="24"/>
          <w:lang w:val="es-CR"/>
        </w:rPr>
        <w:t>-202</w:t>
      </w:r>
      <w:r w:rsidR="008F3D8F" w:rsidRPr="00580CA0">
        <w:rPr>
          <w:rFonts w:ascii="Arial" w:hAnsi="Arial" w:cs="Arial"/>
          <w:sz w:val="24"/>
          <w:szCs w:val="24"/>
          <w:lang w:val="es-CR"/>
        </w:rPr>
        <w:t>6</w:t>
      </w:r>
    </w:p>
    <w:p w14:paraId="78569D02" w14:textId="3A15EC37" w:rsidR="00AD3C56" w:rsidRPr="000B61AA" w:rsidRDefault="00580CA0" w:rsidP="00AD3C56">
      <w:pPr>
        <w:spacing w:line="240" w:lineRule="auto"/>
        <w:contextualSpacing/>
        <w:rPr>
          <w:rFonts w:ascii="Arial" w:hAnsi="Arial" w:cs="Arial"/>
          <w:sz w:val="24"/>
          <w:szCs w:val="24"/>
        </w:rPr>
      </w:pPr>
      <w:r>
        <w:rPr>
          <w:rFonts w:ascii="Arial" w:hAnsi="Arial" w:cs="Arial"/>
          <w:sz w:val="24"/>
          <w:szCs w:val="24"/>
        </w:rPr>
        <w:t>23</w:t>
      </w:r>
      <w:r w:rsidR="00C54229" w:rsidRPr="000B61AA">
        <w:rPr>
          <w:rFonts w:ascii="Arial" w:hAnsi="Arial" w:cs="Arial"/>
          <w:sz w:val="24"/>
          <w:szCs w:val="24"/>
        </w:rPr>
        <w:t xml:space="preserve"> de </w:t>
      </w:r>
      <w:r w:rsidR="00903239">
        <w:rPr>
          <w:rFonts w:ascii="Arial" w:hAnsi="Arial" w:cs="Arial"/>
          <w:sz w:val="24"/>
          <w:szCs w:val="24"/>
        </w:rPr>
        <w:t xml:space="preserve">febrero </w:t>
      </w:r>
      <w:r w:rsidR="00AD3C56" w:rsidRPr="000B61AA">
        <w:rPr>
          <w:rFonts w:ascii="Arial" w:hAnsi="Arial" w:cs="Arial"/>
          <w:sz w:val="24"/>
          <w:szCs w:val="24"/>
        </w:rPr>
        <w:t>de 202</w:t>
      </w:r>
      <w:r w:rsidR="00FC3AEC">
        <w:rPr>
          <w:rFonts w:ascii="Arial" w:hAnsi="Arial" w:cs="Arial"/>
          <w:sz w:val="24"/>
          <w:szCs w:val="24"/>
        </w:rPr>
        <w:t>6</w:t>
      </w:r>
    </w:p>
    <w:p w14:paraId="2DD248D1" w14:textId="77777777" w:rsidR="00AD3C56" w:rsidRPr="000B61AA" w:rsidRDefault="00AD3C56" w:rsidP="00AD3C56">
      <w:pPr>
        <w:rPr>
          <w:rFonts w:ascii="Arial" w:hAnsi="Arial" w:cs="Arial"/>
          <w:sz w:val="24"/>
          <w:szCs w:val="24"/>
        </w:rPr>
      </w:pPr>
    </w:p>
    <w:p w14:paraId="774053C3" w14:textId="77777777" w:rsidR="00AD3C56" w:rsidRPr="000B61AA" w:rsidRDefault="00AD3C56" w:rsidP="00AD3C56">
      <w:pPr>
        <w:spacing w:line="240" w:lineRule="auto"/>
        <w:contextualSpacing/>
        <w:rPr>
          <w:rFonts w:ascii="Arial" w:hAnsi="Arial" w:cs="Arial"/>
          <w:sz w:val="24"/>
          <w:szCs w:val="24"/>
        </w:rPr>
      </w:pPr>
      <w:r w:rsidRPr="000B61AA">
        <w:rPr>
          <w:rFonts w:ascii="Arial" w:hAnsi="Arial" w:cs="Arial"/>
          <w:sz w:val="24"/>
          <w:szCs w:val="24"/>
        </w:rPr>
        <w:t xml:space="preserve">Ingeniero </w:t>
      </w:r>
    </w:p>
    <w:p w14:paraId="79DA57DF" w14:textId="77777777" w:rsidR="00B91964" w:rsidRPr="000B61AA" w:rsidRDefault="007C19A6" w:rsidP="00AD3C56">
      <w:pPr>
        <w:spacing w:line="240" w:lineRule="auto"/>
        <w:contextualSpacing/>
        <w:rPr>
          <w:rFonts w:ascii="Arial" w:hAnsi="Arial" w:cs="Arial"/>
          <w:sz w:val="24"/>
          <w:szCs w:val="24"/>
        </w:rPr>
      </w:pPr>
      <w:r w:rsidRPr="000B61AA">
        <w:rPr>
          <w:rFonts w:ascii="Arial" w:hAnsi="Arial" w:cs="Arial"/>
          <w:sz w:val="24"/>
          <w:szCs w:val="24"/>
        </w:rPr>
        <w:t>Gilmar Navarrete Chacón</w:t>
      </w:r>
    </w:p>
    <w:p w14:paraId="486A05EA" w14:textId="77777777" w:rsidR="00AD3C56" w:rsidRPr="000B61AA" w:rsidRDefault="00AD3C56" w:rsidP="00AD3C56">
      <w:pPr>
        <w:spacing w:line="240" w:lineRule="auto"/>
        <w:contextualSpacing/>
        <w:rPr>
          <w:rFonts w:ascii="Arial" w:hAnsi="Arial" w:cs="Arial"/>
          <w:sz w:val="24"/>
          <w:szCs w:val="24"/>
        </w:rPr>
      </w:pPr>
      <w:r w:rsidRPr="000B61AA">
        <w:rPr>
          <w:rFonts w:ascii="Arial" w:hAnsi="Arial" w:cs="Arial"/>
          <w:sz w:val="24"/>
          <w:szCs w:val="24"/>
        </w:rPr>
        <w:t xml:space="preserve">Director </w:t>
      </w:r>
      <w:r w:rsidR="007C19A6" w:rsidRPr="000B61AA">
        <w:rPr>
          <w:rFonts w:ascii="Arial" w:hAnsi="Arial" w:cs="Arial"/>
          <w:sz w:val="24"/>
          <w:szCs w:val="24"/>
        </w:rPr>
        <w:t>Ejecutivo</w:t>
      </w:r>
    </w:p>
    <w:p w14:paraId="2671BE3F" w14:textId="77777777" w:rsidR="00AD3C56" w:rsidRPr="000B61AA" w:rsidRDefault="00AD3C56" w:rsidP="00AD3C56">
      <w:pPr>
        <w:rPr>
          <w:rFonts w:ascii="Arial" w:hAnsi="Arial" w:cs="Arial"/>
          <w:sz w:val="24"/>
          <w:szCs w:val="24"/>
        </w:rPr>
      </w:pPr>
    </w:p>
    <w:p w14:paraId="749C415D" w14:textId="77777777" w:rsidR="00AD3C56" w:rsidRPr="000B61AA" w:rsidRDefault="00AD3C56" w:rsidP="00AD3C56">
      <w:pPr>
        <w:rPr>
          <w:rFonts w:ascii="Arial" w:hAnsi="Arial" w:cs="Arial"/>
          <w:sz w:val="24"/>
          <w:szCs w:val="24"/>
        </w:rPr>
      </w:pPr>
      <w:r w:rsidRPr="000B61AA">
        <w:rPr>
          <w:rFonts w:ascii="Arial" w:hAnsi="Arial" w:cs="Arial"/>
          <w:sz w:val="24"/>
          <w:szCs w:val="24"/>
        </w:rPr>
        <w:t xml:space="preserve">Estimado Ingeniero: </w:t>
      </w:r>
    </w:p>
    <w:p w14:paraId="44137568" w14:textId="1A400AFC" w:rsidR="00DE755F" w:rsidRPr="00DE755F" w:rsidRDefault="00385DBC" w:rsidP="005A2099">
      <w:pPr>
        <w:jc w:val="both"/>
        <w:rPr>
          <w:rFonts w:ascii="Arial" w:hAnsi="Arial" w:cs="Arial"/>
          <w:sz w:val="24"/>
          <w:szCs w:val="24"/>
          <w:lang w:val="es-419"/>
        </w:rPr>
      </w:pPr>
      <w:r>
        <w:rPr>
          <w:rFonts w:ascii="Arial" w:hAnsi="Arial" w:cs="Arial"/>
          <w:sz w:val="24"/>
          <w:szCs w:val="24"/>
          <w:lang w:val="es-CR"/>
        </w:rPr>
        <w:t xml:space="preserve">Remito para su consideración </w:t>
      </w:r>
      <w:r w:rsidR="00D300F1" w:rsidRPr="009573D2">
        <w:rPr>
          <w:rFonts w:ascii="Arial" w:hAnsi="Arial" w:cs="Arial"/>
          <w:sz w:val="24"/>
          <w:szCs w:val="24"/>
          <w:lang w:val="es-CR"/>
        </w:rPr>
        <w:t xml:space="preserve">el informe de “Evaluación de la </w:t>
      </w:r>
      <w:r w:rsidR="00904785">
        <w:rPr>
          <w:rFonts w:ascii="Arial" w:hAnsi="Arial" w:cs="Arial"/>
          <w:sz w:val="24"/>
          <w:szCs w:val="24"/>
          <w:lang w:val="es-CR"/>
        </w:rPr>
        <w:t xml:space="preserve">Gestión </w:t>
      </w:r>
      <w:r w:rsidR="005A2099">
        <w:rPr>
          <w:rFonts w:ascii="Arial" w:hAnsi="Arial" w:cs="Arial"/>
          <w:sz w:val="24"/>
          <w:szCs w:val="24"/>
          <w:lang w:val="es-CR"/>
        </w:rPr>
        <w:t>Contractual Fonafifo</w:t>
      </w:r>
      <w:r>
        <w:rPr>
          <w:rFonts w:ascii="Arial" w:hAnsi="Arial" w:cs="Arial"/>
          <w:sz w:val="24"/>
          <w:szCs w:val="24"/>
          <w:lang w:val="es-CR"/>
        </w:rPr>
        <w:t xml:space="preserve"> y </w:t>
      </w:r>
      <w:r w:rsidR="005A2099">
        <w:rPr>
          <w:rFonts w:ascii="Arial" w:hAnsi="Arial" w:cs="Arial"/>
          <w:sz w:val="24"/>
          <w:szCs w:val="24"/>
          <w:lang w:val="es-CR"/>
        </w:rPr>
        <w:t xml:space="preserve">del </w:t>
      </w:r>
      <w:r>
        <w:rPr>
          <w:rFonts w:ascii="Arial" w:hAnsi="Arial" w:cs="Arial"/>
          <w:sz w:val="24"/>
          <w:szCs w:val="24"/>
          <w:lang w:val="es-CR"/>
        </w:rPr>
        <w:t>Fideicomiso</w:t>
      </w:r>
      <w:r w:rsidR="005A2099">
        <w:rPr>
          <w:rFonts w:ascii="Arial" w:hAnsi="Arial" w:cs="Arial"/>
          <w:sz w:val="24"/>
          <w:szCs w:val="24"/>
          <w:lang w:val="es-CR"/>
        </w:rPr>
        <w:t xml:space="preserve"> 544 Fonafifo-BNCR</w:t>
      </w:r>
      <w:r w:rsidR="00EC63EB">
        <w:rPr>
          <w:rFonts w:ascii="Arial" w:hAnsi="Arial" w:cs="Arial"/>
          <w:sz w:val="24"/>
          <w:szCs w:val="24"/>
          <w:lang w:val="es-CR"/>
        </w:rPr>
        <w:t>”</w:t>
      </w:r>
      <w:r w:rsidR="005A2099">
        <w:rPr>
          <w:rFonts w:ascii="Arial" w:hAnsi="Arial" w:cs="Arial"/>
          <w:sz w:val="24"/>
          <w:szCs w:val="24"/>
          <w:lang w:val="es-CR"/>
        </w:rPr>
        <w:t>, correspondiente al periodo 2025</w:t>
      </w:r>
      <w:r w:rsidR="00DE755F" w:rsidRPr="00DE755F">
        <w:rPr>
          <w:rFonts w:ascii="Arial" w:hAnsi="Arial" w:cs="Arial"/>
          <w:sz w:val="24"/>
          <w:szCs w:val="24"/>
          <w:lang w:val="es-419"/>
        </w:rPr>
        <w:t>, elaborado por la Proveeduría Institucional conforme a los registros</w:t>
      </w:r>
      <w:r w:rsidR="006B48AD">
        <w:rPr>
          <w:rFonts w:ascii="Arial" w:hAnsi="Arial" w:cs="Arial"/>
          <w:sz w:val="24"/>
          <w:szCs w:val="24"/>
          <w:lang w:val="es-419"/>
        </w:rPr>
        <w:t xml:space="preserve"> y </w:t>
      </w:r>
      <w:r w:rsidR="00DE755F" w:rsidRPr="00DE755F">
        <w:rPr>
          <w:rFonts w:ascii="Arial" w:hAnsi="Arial" w:cs="Arial"/>
          <w:sz w:val="24"/>
          <w:szCs w:val="24"/>
          <w:lang w:val="es-419"/>
        </w:rPr>
        <w:t xml:space="preserve">controles de los procesos de contratación </w:t>
      </w:r>
      <w:r w:rsidR="006B48AD">
        <w:rPr>
          <w:rFonts w:ascii="Arial" w:hAnsi="Arial" w:cs="Arial"/>
          <w:sz w:val="24"/>
          <w:szCs w:val="24"/>
          <w:lang w:val="es-419"/>
        </w:rPr>
        <w:t xml:space="preserve">pública </w:t>
      </w:r>
      <w:r w:rsidR="00DE755F" w:rsidRPr="00DE755F">
        <w:rPr>
          <w:rFonts w:ascii="Arial" w:hAnsi="Arial" w:cs="Arial"/>
          <w:sz w:val="24"/>
          <w:szCs w:val="24"/>
          <w:lang w:val="es-419"/>
        </w:rPr>
        <w:t>gestionados.</w:t>
      </w:r>
    </w:p>
    <w:p w14:paraId="208D2076" w14:textId="77777777" w:rsidR="005F6160" w:rsidRPr="00DE755F" w:rsidRDefault="005F6160" w:rsidP="00DE755F">
      <w:pPr>
        <w:spacing w:line="240" w:lineRule="auto"/>
        <w:contextualSpacing/>
        <w:jc w:val="both"/>
        <w:rPr>
          <w:rFonts w:ascii="Arial" w:hAnsi="Arial" w:cs="Arial"/>
          <w:sz w:val="24"/>
          <w:szCs w:val="24"/>
          <w:lang w:val="es-419"/>
        </w:rPr>
      </w:pPr>
    </w:p>
    <w:p w14:paraId="46CC0A41" w14:textId="542D77E3" w:rsidR="00DE755F" w:rsidRPr="00DE755F" w:rsidRDefault="00DE755F" w:rsidP="00DE755F">
      <w:pPr>
        <w:spacing w:line="240" w:lineRule="auto"/>
        <w:contextualSpacing/>
        <w:jc w:val="both"/>
        <w:rPr>
          <w:rFonts w:ascii="Arial" w:hAnsi="Arial" w:cs="Arial"/>
          <w:sz w:val="24"/>
          <w:szCs w:val="24"/>
          <w:lang w:val="es-419"/>
        </w:rPr>
      </w:pPr>
      <w:r w:rsidRPr="00DE755F">
        <w:rPr>
          <w:rFonts w:ascii="Arial" w:hAnsi="Arial" w:cs="Arial"/>
          <w:sz w:val="24"/>
          <w:szCs w:val="24"/>
          <w:lang w:val="es-419"/>
        </w:rPr>
        <w:t>Qued</w:t>
      </w:r>
      <w:r w:rsidR="005F6160">
        <w:rPr>
          <w:rFonts w:ascii="Arial" w:hAnsi="Arial" w:cs="Arial"/>
          <w:sz w:val="24"/>
          <w:szCs w:val="24"/>
          <w:lang w:val="es-419"/>
        </w:rPr>
        <w:t xml:space="preserve">o en la mayor </w:t>
      </w:r>
      <w:r w:rsidRPr="00DE755F">
        <w:rPr>
          <w:rFonts w:ascii="Arial" w:hAnsi="Arial" w:cs="Arial"/>
          <w:sz w:val="24"/>
          <w:szCs w:val="24"/>
          <w:lang w:val="es-419"/>
        </w:rPr>
        <w:t>disposición para ampliar cualquier aspecto que se considere necesario y para coordinar las acciones de seguimiento que se estimen pertinentes.</w:t>
      </w:r>
    </w:p>
    <w:p w14:paraId="29847BC1" w14:textId="77777777" w:rsidR="00AD3C56" w:rsidRDefault="00AD3C56" w:rsidP="00EE05D4">
      <w:pPr>
        <w:spacing w:line="240" w:lineRule="auto"/>
        <w:contextualSpacing/>
        <w:jc w:val="both"/>
        <w:rPr>
          <w:rFonts w:ascii="Arial" w:hAnsi="Arial" w:cs="Arial"/>
          <w:sz w:val="24"/>
          <w:szCs w:val="24"/>
          <w:lang w:val="es-419"/>
        </w:rPr>
      </w:pPr>
    </w:p>
    <w:p w14:paraId="5BE6B850" w14:textId="77777777" w:rsidR="0094401A" w:rsidRDefault="0094401A" w:rsidP="00EE05D4">
      <w:pPr>
        <w:spacing w:line="240" w:lineRule="auto"/>
        <w:contextualSpacing/>
        <w:jc w:val="both"/>
        <w:rPr>
          <w:rFonts w:ascii="Arial" w:hAnsi="Arial" w:cs="Arial"/>
          <w:sz w:val="24"/>
          <w:szCs w:val="24"/>
          <w:lang w:val="es-419"/>
        </w:rPr>
      </w:pPr>
    </w:p>
    <w:p w14:paraId="5980C589" w14:textId="77777777" w:rsidR="00AD3C56" w:rsidRPr="000B61AA" w:rsidRDefault="00AD3C56" w:rsidP="00AD3C56">
      <w:pPr>
        <w:jc w:val="both"/>
        <w:rPr>
          <w:rFonts w:ascii="Arial" w:hAnsi="Arial" w:cs="Arial"/>
          <w:sz w:val="24"/>
          <w:szCs w:val="24"/>
        </w:rPr>
      </w:pPr>
    </w:p>
    <w:p w14:paraId="3C26FFCC" w14:textId="77777777" w:rsidR="00AD3C56" w:rsidRPr="000B61AA" w:rsidRDefault="00AD3C56" w:rsidP="00AD3C56">
      <w:pPr>
        <w:jc w:val="both"/>
        <w:rPr>
          <w:rFonts w:ascii="Arial" w:hAnsi="Arial" w:cs="Arial"/>
          <w:sz w:val="24"/>
          <w:szCs w:val="24"/>
        </w:rPr>
      </w:pPr>
      <w:r w:rsidRPr="000B61AA">
        <w:rPr>
          <w:rFonts w:ascii="Arial" w:hAnsi="Arial" w:cs="Arial"/>
          <w:sz w:val="24"/>
          <w:szCs w:val="24"/>
        </w:rPr>
        <w:t xml:space="preserve">Atentamente </w:t>
      </w:r>
    </w:p>
    <w:p w14:paraId="3F300595" w14:textId="77777777" w:rsidR="00AD3C56" w:rsidRDefault="00AD3C56" w:rsidP="00AD3C56">
      <w:pPr>
        <w:jc w:val="both"/>
        <w:rPr>
          <w:rFonts w:ascii="Arial" w:hAnsi="Arial" w:cs="Arial"/>
          <w:sz w:val="24"/>
          <w:szCs w:val="24"/>
        </w:rPr>
      </w:pPr>
    </w:p>
    <w:p w14:paraId="729DA65A" w14:textId="77777777" w:rsidR="00580CA0" w:rsidRDefault="00580CA0" w:rsidP="00AD3C56">
      <w:pPr>
        <w:jc w:val="both"/>
        <w:rPr>
          <w:rFonts w:ascii="Arial" w:hAnsi="Arial" w:cs="Arial"/>
          <w:sz w:val="24"/>
          <w:szCs w:val="24"/>
        </w:rPr>
      </w:pPr>
    </w:p>
    <w:p w14:paraId="1E941F68" w14:textId="77777777" w:rsidR="00580CA0" w:rsidRPr="000B61AA" w:rsidRDefault="00580CA0" w:rsidP="00AD3C56">
      <w:pPr>
        <w:jc w:val="both"/>
        <w:rPr>
          <w:rFonts w:ascii="Arial" w:hAnsi="Arial" w:cs="Arial"/>
          <w:sz w:val="24"/>
          <w:szCs w:val="24"/>
        </w:rPr>
      </w:pPr>
    </w:p>
    <w:p w14:paraId="37D13500" w14:textId="77777777" w:rsidR="00AD3C56" w:rsidRPr="000B61AA" w:rsidRDefault="00AD3C56" w:rsidP="00AD3C56">
      <w:pPr>
        <w:spacing w:line="240" w:lineRule="auto"/>
        <w:contextualSpacing/>
        <w:rPr>
          <w:rFonts w:ascii="Arial" w:hAnsi="Arial" w:cs="Arial"/>
          <w:sz w:val="24"/>
          <w:szCs w:val="24"/>
        </w:rPr>
      </w:pPr>
      <w:r w:rsidRPr="000B61AA">
        <w:rPr>
          <w:rFonts w:ascii="Arial" w:hAnsi="Arial" w:cs="Arial"/>
          <w:sz w:val="24"/>
          <w:szCs w:val="24"/>
        </w:rPr>
        <w:t>Mba. Elizabeth Castro Fallas</w:t>
      </w:r>
    </w:p>
    <w:p w14:paraId="6FEB1F08" w14:textId="77777777" w:rsidR="00AD3C56" w:rsidRPr="000B61AA" w:rsidRDefault="00AD3C56" w:rsidP="00AD3C56">
      <w:pPr>
        <w:spacing w:line="240" w:lineRule="auto"/>
        <w:contextualSpacing/>
        <w:rPr>
          <w:rFonts w:ascii="Arial" w:hAnsi="Arial" w:cs="Arial"/>
          <w:sz w:val="24"/>
          <w:szCs w:val="24"/>
        </w:rPr>
      </w:pPr>
      <w:r w:rsidRPr="000B61AA">
        <w:rPr>
          <w:rFonts w:ascii="Arial" w:hAnsi="Arial" w:cs="Arial"/>
          <w:sz w:val="24"/>
          <w:szCs w:val="24"/>
        </w:rPr>
        <w:t xml:space="preserve">Jefe </w:t>
      </w:r>
    </w:p>
    <w:p w14:paraId="2A127489" w14:textId="77777777" w:rsidR="00AD3C56" w:rsidRPr="000B61AA" w:rsidRDefault="00AD3C56" w:rsidP="00AD3C56">
      <w:pPr>
        <w:spacing w:line="240" w:lineRule="auto"/>
        <w:contextualSpacing/>
        <w:rPr>
          <w:rFonts w:ascii="Arial" w:hAnsi="Arial" w:cs="Arial"/>
          <w:sz w:val="24"/>
          <w:szCs w:val="24"/>
        </w:rPr>
      </w:pPr>
      <w:r w:rsidRPr="000B61AA">
        <w:rPr>
          <w:rFonts w:ascii="Arial" w:hAnsi="Arial" w:cs="Arial"/>
          <w:sz w:val="24"/>
          <w:szCs w:val="24"/>
        </w:rPr>
        <w:t>Unidad de Proveeduría y Servicios Generales</w:t>
      </w:r>
    </w:p>
    <w:p w14:paraId="210D84B6" w14:textId="77777777" w:rsidR="00AD3C56" w:rsidRDefault="00AD3C56" w:rsidP="00AD3C56">
      <w:pPr>
        <w:jc w:val="both"/>
        <w:rPr>
          <w:rFonts w:ascii="Arial" w:hAnsi="Arial" w:cs="Arial"/>
          <w:sz w:val="24"/>
          <w:szCs w:val="24"/>
        </w:rPr>
      </w:pPr>
    </w:p>
    <w:p w14:paraId="6953A173" w14:textId="77777777" w:rsidR="0094401A" w:rsidRDefault="0094401A" w:rsidP="00AD3C56">
      <w:pPr>
        <w:jc w:val="both"/>
        <w:rPr>
          <w:rFonts w:ascii="Arial" w:hAnsi="Arial" w:cs="Arial"/>
          <w:sz w:val="24"/>
          <w:szCs w:val="24"/>
        </w:rPr>
      </w:pPr>
    </w:p>
    <w:p w14:paraId="7EE12499" w14:textId="77777777" w:rsidR="0094401A" w:rsidRDefault="0094401A" w:rsidP="00AD3C56">
      <w:pPr>
        <w:jc w:val="both"/>
        <w:rPr>
          <w:rFonts w:ascii="Arial" w:hAnsi="Arial" w:cs="Arial"/>
          <w:sz w:val="24"/>
          <w:szCs w:val="24"/>
        </w:rPr>
      </w:pPr>
    </w:p>
    <w:p w14:paraId="7CFEE1F0" w14:textId="77777777" w:rsidR="0094401A" w:rsidRPr="000B61AA" w:rsidRDefault="0094401A" w:rsidP="00AD3C56">
      <w:pPr>
        <w:jc w:val="both"/>
        <w:rPr>
          <w:rFonts w:ascii="Arial" w:hAnsi="Arial" w:cs="Arial"/>
          <w:sz w:val="24"/>
          <w:szCs w:val="24"/>
        </w:rPr>
      </w:pPr>
    </w:p>
    <w:p w14:paraId="552DA9AB" w14:textId="77777777" w:rsidR="00AD3C56" w:rsidRPr="000B61AA" w:rsidRDefault="00AD3C56" w:rsidP="00AD3C56">
      <w:pPr>
        <w:spacing w:line="240" w:lineRule="auto"/>
        <w:contextualSpacing/>
        <w:jc w:val="both"/>
        <w:rPr>
          <w:rFonts w:ascii="Arial" w:hAnsi="Arial" w:cs="Arial"/>
          <w:sz w:val="20"/>
          <w:szCs w:val="20"/>
        </w:rPr>
      </w:pPr>
      <w:r w:rsidRPr="000B61AA">
        <w:rPr>
          <w:rFonts w:ascii="Arial" w:hAnsi="Arial" w:cs="Arial"/>
          <w:sz w:val="20"/>
          <w:szCs w:val="20"/>
        </w:rPr>
        <w:lastRenderedPageBreak/>
        <w:t>C:  Mba. José Edgar Toruño Ramírez, Director, Dir. Administrativa Financiera</w:t>
      </w:r>
    </w:p>
    <w:p w14:paraId="53D2F537" w14:textId="77777777" w:rsidR="00AD3C56" w:rsidRPr="000B61AA" w:rsidRDefault="00AD3C56" w:rsidP="00AD3C56">
      <w:pPr>
        <w:spacing w:line="240" w:lineRule="auto"/>
        <w:contextualSpacing/>
        <w:jc w:val="both"/>
        <w:rPr>
          <w:rFonts w:ascii="Arial" w:hAnsi="Arial" w:cs="Arial"/>
          <w:b/>
          <w:sz w:val="20"/>
          <w:szCs w:val="20"/>
        </w:rPr>
      </w:pPr>
      <w:r w:rsidRPr="000B61AA">
        <w:rPr>
          <w:rFonts w:ascii="Arial" w:hAnsi="Arial" w:cs="Arial"/>
          <w:sz w:val="20"/>
          <w:szCs w:val="20"/>
        </w:rPr>
        <w:t xml:space="preserve">      </w:t>
      </w:r>
    </w:p>
    <w:p w14:paraId="4FC7856F" w14:textId="77777777" w:rsidR="00641738" w:rsidRDefault="00FC3AEC" w:rsidP="005F6160">
      <w:pPr>
        <w:spacing w:after="160" w:line="259" w:lineRule="auto"/>
        <w:jc w:val="center"/>
        <w:rPr>
          <w:rFonts w:ascii="Arial" w:hAnsi="Arial" w:cs="Arial"/>
          <w:b/>
          <w:sz w:val="40"/>
          <w:szCs w:val="40"/>
        </w:rPr>
      </w:pPr>
      <w:r>
        <w:rPr>
          <w:rFonts w:ascii="Arial" w:hAnsi="Arial" w:cs="Arial"/>
          <w:b/>
          <w:sz w:val="40"/>
          <w:szCs w:val="40"/>
        </w:rPr>
        <w:br w:type="page"/>
      </w:r>
    </w:p>
    <w:p w14:paraId="03203DE1" w14:textId="77777777" w:rsidR="00641738" w:rsidRDefault="00641738" w:rsidP="005F6160">
      <w:pPr>
        <w:spacing w:after="160" w:line="259" w:lineRule="auto"/>
        <w:jc w:val="center"/>
        <w:rPr>
          <w:rFonts w:ascii="Arial" w:hAnsi="Arial" w:cs="Arial"/>
          <w:b/>
          <w:sz w:val="40"/>
          <w:szCs w:val="40"/>
        </w:rPr>
      </w:pPr>
    </w:p>
    <w:p w14:paraId="23385324" w14:textId="77777777" w:rsidR="00641738" w:rsidRDefault="00641738" w:rsidP="005F6160">
      <w:pPr>
        <w:spacing w:after="160" w:line="259" w:lineRule="auto"/>
        <w:jc w:val="center"/>
        <w:rPr>
          <w:rFonts w:ascii="Arial" w:hAnsi="Arial" w:cs="Arial"/>
          <w:b/>
          <w:sz w:val="40"/>
          <w:szCs w:val="40"/>
        </w:rPr>
      </w:pPr>
    </w:p>
    <w:p w14:paraId="018B2C34" w14:textId="06F29484" w:rsidR="00AD3C56" w:rsidRPr="000B61AA" w:rsidRDefault="00AD3C56" w:rsidP="005F6160">
      <w:pPr>
        <w:spacing w:after="160" w:line="259" w:lineRule="auto"/>
        <w:jc w:val="center"/>
        <w:rPr>
          <w:rFonts w:ascii="Arial" w:hAnsi="Arial" w:cs="Arial"/>
          <w:b/>
          <w:sz w:val="40"/>
          <w:szCs w:val="40"/>
        </w:rPr>
      </w:pPr>
      <w:r w:rsidRPr="000B61AA">
        <w:rPr>
          <w:rFonts w:ascii="Arial" w:hAnsi="Arial" w:cs="Arial"/>
          <w:b/>
          <w:sz w:val="40"/>
          <w:szCs w:val="40"/>
        </w:rPr>
        <w:t xml:space="preserve">EVALUACIÓN DE LA </w:t>
      </w:r>
      <w:r w:rsidR="00756C15">
        <w:rPr>
          <w:rFonts w:ascii="Arial" w:hAnsi="Arial" w:cs="Arial"/>
          <w:b/>
          <w:sz w:val="40"/>
          <w:szCs w:val="40"/>
        </w:rPr>
        <w:t xml:space="preserve">GESTIÓN CONTRACTUAL 2025 </w:t>
      </w:r>
      <w:r w:rsidR="007D0B8F" w:rsidRPr="000B61AA">
        <w:rPr>
          <w:rFonts w:ascii="Arial" w:hAnsi="Arial" w:cs="Arial"/>
          <w:b/>
          <w:sz w:val="40"/>
          <w:szCs w:val="40"/>
        </w:rPr>
        <w:t>FONAFIFO</w:t>
      </w:r>
      <w:r w:rsidR="00BD7FCD">
        <w:rPr>
          <w:rFonts w:ascii="Arial" w:hAnsi="Arial" w:cs="Arial"/>
          <w:b/>
          <w:sz w:val="40"/>
          <w:szCs w:val="40"/>
        </w:rPr>
        <w:t xml:space="preserve"> y Fid</w:t>
      </w:r>
      <w:r w:rsidR="00641738">
        <w:rPr>
          <w:rFonts w:ascii="Arial" w:hAnsi="Arial" w:cs="Arial"/>
          <w:b/>
          <w:sz w:val="40"/>
          <w:szCs w:val="40"/>
        </w:rPr>
        <w:t>eicomiso</w:t>
      </w:r>
      <w:r w:rsidR="007D0B8F" w:rsidRPr="000B61AA">
        <w:rPr>
          <w:rStyle w:val="Refdenotaalpie"/>
          <w:rFonts w:ascii="Arial" w:hAnsi="Arial" w:cs="Arial"/>
          <w:b/>
          <w:sz w:val="40"/>
          <w:szCs w:val="40"/>
        </w:rPr>
        <w:footnoteReference w:id="1"/>
      </w:r>
    </w:p>
    <w:p w14:paraId="532B85D4" w14:textId="77777777" w:rsidR="00AD3C56" w:rsidRPr="000B61AA" w:rsidRDefault="00AD3C56" w:rsidP="00AD3C56">
      <w:pPr>
        <w:spacing w:after="0"/>
        <w:jc w:val="center"/>
        <w:rPr>
          <w:rFonts w:ascii="Arial" w:hAnsi="Arial" w:cs="Arial"/>
          <w:b/>
          <w:sz w:val="32"/>
          <w:szCs w:val="24"/>
        </w:rPr>
      </w:pPr>
    </w:p>
    <w:p w14:paraId="47BA0609" w14:textId="77777777" w:rsidR="00AD3C56" w:rsidRPr="000B61AA" w:rsidRDefault="00AD3C56" w:rsidP="00AD3C56">
      <w:pPr>
        <w:spacing w:after="0"/>
        <w:jc w:val="center"/>
        <w:rPr>
          <w:rFonts w:ascii="Arial" w:hAnsi="Arial" w:cs="Arial"/>
          <w:b/>
          <w:sz w:val="32"/>
          <w:szCs w:val="24"/>
        </w:rPr>
      </w:pPr>
    </w:p>
    <w:p w14:paraId="46865B6A" w14:textId="77777777" w:rsidR="00AD3C56" w:rsidRPr="000B61AA" w:rsidRDefault="00AD3C56" w:rsidP="00AD3C56">
      <w:pPr>
        <w:spacing w:after="0"/>
        <w:jc w:val="center"/>
        <w:rPr>
          <w:rFonts w:ascii="Arial" w:hAnsi="Arial" w:cs="Arial"/>
          <w:b/>
          <w:sz w:val="32"/>
          <w:szCs w:val="24"/>
        </w:rPr>
      </w:pPr>
    </w:p>
    <w:p w14:paraId="5C46729F" w14:textId="77777777" w:rsidR="00AD3C56" w:rsidRPr="000B61AA" w:rsidRDefault="00AD3C56" w:rsidP="00AD3C56">
      <w:pPr>
        <w:spacing w:after="0"/>
        <w:jc w:val="center"/>
        <w:rPr>
          <w:rFonts w:ascii="Arial" w:hAnsi="Arial" w:cs="Arial"/>
          <w:b/>
          <w:sz w:val="32"/>
          <w:szCs w:val="24"/>
        </w:rPr>
      </w:pPr>
    </w:p>
    <w:p w14:paraId="15A81E59" w14:textId="77777777" w:rsidR="00AD3C56" w:rsidRPr="000B61AA" w:rsidRDefault="00AD3C56" w:rsidP="00AD3C56">
      <w:pPr>
        <w:spacing w:after="0"/>
        <w:jc w:val="center"/>
        <w:rPr>
          <w:rFonts w:ascii="Arial" w:hAnsi="Arial" w:cs="Arial"/>
          <w:b/>
          <w:sz w:val="32"/>
          <w:szCs w:val="24"/>
        </w:rPr>
      </w:pPr>
    </w:p>
    <w:p w14:paraId="6DA0F4FA" w14:textId="77777777" w:rsidR="00AD3C56" w:rsidRPr="000B61AA" w:rsidRDefault="00AD3C56" w:rsidP="00AD3C56">
      <w:pPr>
        <w:spacing w:after="0"/>
        <w:jc w:val="center"/>
        <w:rPr>
          <w:rFonts w:ascii="Arial" w:hAnsi="Arial" w:cs="Arial"/>
          <w:b/>
          <w:sz w:val="32"/>
          <w:szCs w:val="24"/>
        </w:rPr>
      </w:pPr>
      <w:r w:rsidRPr="000B61AA">
        <w:rPr>
          <w:rFonts w:ascii="Arial" w:hAnsi="Arial" w:cs="Arial"/>
          <w:b/>
          <w:sz w:val="32"/>
          <w:szCs w:val="24"/>
        </w:rPr>
        <w:t>UNIDAD DE PROVEEDURÍA Y SERVICIOS GENERALES</w:t>
      </w:r>
    </w:p>
    <w:p w14:paraId="52E300F2" w14:textId="77777777" w:rsidR="00AD3C56" w:rsidRPr="000B61AA" w:rsidRDefault="00AD3C56" w:rsidP="00AD3C56">
      <w:pPr>
        <w:spacing w:after="0"/>
        <w:jc w:val="center"/>
        <w:rPr>
          <w:rFonts w:ascii="Arial" w:hAnsi="Arial" w:cs="Arial"/>
          <w:b/>
          <w:sz w:val="32"/>
          <w:szCs w:val="24"/>
        </w:rPr>
      </w:pPr>
    </w:p>
    <w:p w14:paraId="69A833EE" w14:textId="77777777" w:rsidR="00AD3C56" w:rsidRDefault="00AD3C56" w:rsidP="00AD3C56">
      <w:pPr>
        <w:spacing w:after="0"/>
        <w:jc w:val="center"/>
        <w:rPr>
          <w:rFonts w:ascii="Arial" w:hAnsi="Arial" w:cs="Arial"/>
          <w:b/>
          <w:sz w:val="32"/>
          <w:szCs w:val="24"/>
        </w:rPr>
      </w:pPr>
    </w:p>
    <w:p w14:paraId="7095BF4C" w14:textId="77777777" w:rsidR="00641738" w:rsidRDefault="00641738" w:rsidP="00AD3C56">
      <w:pPr>
        <w:spacing w:after="0"/>
        <w:jc w:val="center"/>
        <w:rPr>
          <w:rFonts w:ascii="Arial" w:hAnsi="Arial" w:cs="Arial"/>
          <w:b/>
          <w:sz w:val="32"/>
          <w:szCs w:val="24"/>
        </w:rPr>
      </w:pPr>
    </w:p>
    <w:p w14:paraId="01E35E45" w14:textId="77777777" w:rsidR="00641738" w:rsidRDefault="00641738" w:rsidP="00AD3C56">
      <w:pPr>
        <w:spacing w:after="0"/>
        <w:jc w:val="center"/>
        <w:rPr>
          <w:rFonts w:ascii="Arial" w:hAnsi="Arial" w:cs="Arial"/>
          <w:b/>
          <w:sz w:val="32"/>
          <w:szCs w:val="24"/>
        </w:rPr>
      </w:pPr>
    </w:p>
    <w:p w14:paraId="54FE97AA" w14:textId="77777777" w:rsidR="00641738" w:rsidRDefault="00641738" w:rsidP="00AD3C56">
      <w:pPr>
        <w:spacing w:after="0"/>
        <w:jc w:val="center"/>
        <w:rPr>
          <w:rFonts w:ascii="Arial" w:hAnsi="Arial" w:cs="Arial"/>
          <w:b/>
          <w:sz w:val="32"/>
          <w:szCs w:val="24"/>
        </w:rPr>
      </w:pPr>
    </w:p>
    <w:p w14:paraId="051CBE16" w14:textId="77777777" w:rsidR="00641738" w:rsidRPr="000B61AA" w:rsidRDefault="00641738" w:rsidP="00AD3C56">
      <w:pPr>
        <w:spacing w:after="0"/>
        <w:jc w:val="center"/>
        <w:rPr>
          <w:rFonts w:ascii="Arial" w:hAnsi="Arial" w:cs="Arial"/>
          <w:b/>
          <w:sz w:val="32"/>
          <w:szCs w:val="24"/>
        </w:rPr>
      </w:pPr>
    </w:p>
    <w:p w14:paraId="74DD2080" w14:textId="77777777" w:rsidR="00AD3C56" w:rsidRPr="000B61AA" w:rsidRDefault="00AD3C56" w:rsidP="00AD3C56">
      <w:pPr>
        <w:spacing w:after="0"/>
        <w:jc w:val="center"/>
        <w:rPr>
          <w:rFonts w:ascii="Arial" w:hAnsi="Arial" w:cs="Arial"/>
          <w:b/>
          <w:sz w:val="32"/>
          <w:szCs w:val="24"/>
        </w:rPr>
      </w:pPr>
    </w:p>
    <w:p w14:paraId="6234D60B" w14:textId="77777777" w:rsidR="00AD3C56" w:rsidRPr="000B61AA" w:rsidRDefault="00AD3C56" w:rsidP="00AD3C56">
      <w:pPr>
        <w:spacing w:after="0"/>
        <w:jc w:val="right"/>
        <w:rPr>
          <w:rFonts w:ascii="Arial" w:hAnsi="Arial" w:cs="Arial"/>
          <w:b/>
          <w:sz w:val="32"/>
          <w:szCs w:val="24"/>
        </w:rPr>
      </w:pPr>
      <w:r w:rsidRPr="000B61AA">
        <w:rPr>
          <w:rFonts w:ascii="Arial" w:hAnsi="Arial" w:cs="Arial"/>
          <w:b/>
          <w:sz w:val="32"/>
          <w:szCs w:val="24"/>
        </w:rPr>
        <w:t>Preparado: Mba. Elizabeth Castro F.</w:t>
      </w:r>
    </w:p>
    <w:p w14:paraId="20045477" w14:textId="77777777" w:rsidR="00AD3C56" w:rsidRDefault="00AD3C56" w:rsidP="00AD3C56">
      <w:pPr>
        <w:jc w:val="center"/>
        <w:rPr>
          <w:rFonts w:ascii="Arial" w:hAnsi="Arial" w:cs="Arial"/>
          <w:b/>
          <w:sz w:val="24"/>
          <w:szCs w:val="24"/>
        </w:rPr>
      </w:pPr>
    </w:p>
    <w:p w14:paraId="7D4CF863" w14:textId="76311B39" w:rsidR="00641738" w:rsidRDefault="00641738">
      <w:pPr>
        <w:spacing w:after="160" w:line="259" w:lineRule="auto"/>
        <w:rPr>
          <w:rFonts w:ascii="Arial" w:hAnsi="Arial" w:cs="Arial"/>
          <w:b/>
          <w:sz w:val="24"/>
          <w:szCs w:val="24"/>
        </w:rPr>
      </w:pPr>
      <w:r>
        <w:rPr>
          <w:rFonts w:ascii="Arial" w:hAnsi="Arial" w:cs="Arial"/>
          <w:b/>
          <w:sz w:val="24"/>
          <w:szCs w:val="24"/>
        </w:rPr>
        <w:br w:type="page"/>
      </w:r>
    </w:p>
    <w:p w14:paraId="54EE4022" w14:textId="77777777" w:rsidR="00D72561" w:rsidRDefault="00D72561" w:rsidP="00AD3C56">
      <w:pPr>
        <w:jc w:val="center"/>
        <w:rPr>
          <w:rFonts w:ascii="Arial" w:hAnsi="Arial" w:cs="Arial"/>
          <w:b/>
          <w:sz w:val="24"/>
          <w:szCs w:val="24"/>
        </w:rPr>
      </w:pPr>
    </w:p>
    <w:p w14:paraId="0D083547" w14:textId="77777777" w:rsidR="005F6160" w:rsidRPr="000B61AA" w:rsidRDefault="005F6160" w:rsidP="00AD3C56">
      <w:pPr>
        <w:jc w:val="center"/>
        <w:rPr>
          <w:rFonts w:ascii="Arial" w:hAnsi="Arial" w:cs="Arial"/>
          <w:b/>
          <w:sz w:val="24"/>
          <w:szCs w:val="24"/>
        </w:rPr>
      </w:pPr>
    </w:p>
    <w:p w14:paraId="6129255B" w14:textId="77777777" w:rsidR="00AD3C56" w:rsidRDefault="00AD3C56" w:rsidP="00AD3C56">
      <w:pPr>
        <w:jc w:val="center"/>
        <w:rPr>
          <w:rFonts w:ascii="Arial" w:hAnsi="Arial" w:cs="Arial"/>
          <w:b/>
          <w:sz w:val="28"/>
          <w:szCs w:val="24"/>
        </w:rPr>
      </w:pPr>
      <w:r w:rsidRPr="000B61AA">
        <w:rPr>
          <w:rFonts w:ascii="Arial" w:hAnsi="Arial" w:cs="Arial"/>
          <w:b/>
          <w:sz w:val="28"/>
          <w:szCs w:val="24"/>
        </w:rPr>
        <w:t>PRESENTACIÓN</w:t>
      </w:r>
    </w:p>
    <w:p w14:paraId="592EB19E" w14:textId="4E7C6C1E" w:rsidR="0094401A" w:rsidRDefault="00C03562" w:rsidP="00C54E53">
      <w:pPr>
        <w:jc w:val="both"/>
        <w:rPr>
          <w:rFonts w:ascii="Arial" w:hAnsi="Arial" w:cs="Arial"/>
          <w:sz w:val="24"/>
          <w:szCs w:val="24"/>
          <w:lang w:val="es-419"/>
        </w:rPr>
      </w:pPr>
      <w:r>
        <w:rPr>
          <w:rFonts w:ascii="Arial" w:hAnsi="Arial" w:cs="Arial"/>
          <w:sz w:val="24"/>
          <w:szCs w:val="24"/>
          <w:lang w:val="es-419"/>
        </w:rPr>
        <w:t xml:space="preserve">El presente informe de </w:t>
      </w:r>
      <w:r w:rsidR="00B31A0C">
        <w:rPr>
          <w:rFonts w:ascii="Arial" w:hAnsi="Arial" w:cs="Arial"/>
          <w:sz w:val="24"/>
          <w:szCs w:val="24"/>
          <w:lang w:val="es-419"/>
        </w:rPr>
        <w:t xml:space="preserve">evaluación de la </w:t>
      </w:r>
      <w:r w:rsidR="00405C58" w:rsidRPr="00EE05D4">
        <w:rPr>
          <w:rFonts w:ascii="Arial" w:hAnsi="Arial" w:cs="Arial"/>
          <w:sz w:val="24"/>
          <w:szCs w:val="24"/>
          <w:lang w:val="es-419"/>
        </w:rPr>
        <w:t>Gestión Contractual</w:t>
      </w:r>
      <w:r w:rsidR="00AD5DD4">
        <w:rPr>
          <w:rFonts w:ascii="Arial" w:hAnsi="Arial" w:cs="Arial"/>
          <w:sz w:val="24"/>
          <w:szCs w:val="24"/>
          <w:lang w:val="es-419"/>
        </w:rPr>
        <w:t xml:space="preserve"> 2</w:t>
      </w:r>
      <w:r w:rsidR="00405C58" w:rsidRPr="00EE05D4">
        <w:rPr>
          <w:rFonts w:ascii="Arial" w:hAnsi="Arial" w:cs="Arial"/>
          <w:sz w:val="24"/>
          <w:szCs w:val="24"/>
          <w:lang w:val="es-419"/>
        </w:rPr>
        <w:t>025,</w:t>
      </w:r>
      <w:r w:rsidR="00B31A0C">
        <w:rPr>
          <w:rFonts w:ascii="Arial" w:hAnsi="Arial" w:cs="Arial"/>
          <w:sz w:val="24"/>
          <w:szCs w:val="24"/>
          <w:lang w:val="es-419"/>
        </w:rPr>
        <w:t xml:space="preserve"> </w:t>
      </w:r>
      <w:r w:rsidR="0094401A" w:rsidRPr="00DE755F">
        <w:rPr>
          <w:rFonts w:ascii="Arial" w:hAnsi="Arial" w:cs="Arial"/>
          <w:sz w:val="24"/>
          <w:szCs w:val="24"/>
          <w:lang w:val="es-419"/>
        </w:rPr>
        <w:t xml:space="preserve">expone los principales </w:t>
      </w:r>
      <w:r w:rsidR="0094401A">
        <w:rPr>
          <w:rFonts w:ascii="Arial" w:hAnsi="Arial" w:cs="Arial"/>
          <w:sz w:val="24"/>
          <w:szCs w:val="24"/>
          <w:lang w:val="es-419"/>
        </w:rPr>
        <w:t xml:space="preserve">resultados en el periodo evaluado, de manera que </w:t>
      </w:r>
      <w:r w:rsidR="00C54E53">
        <w:rPr>
          <w:rFonts w:ascii="Arial" w:hAnsi="Arial" w:cs="Arial"/>
          <w:sz w:val="24"/>
          <w:szCs w:val="24"/>
          <w:lang w:val="es-419"/>
        </w:rPr>
        <w:t xml:space="preserve">su análisis </w:t>
      </w:r>
      <w:r w:rsidR="0094401A">
        <w:rPr>
          <w:rFonts w:ascii="Arial" w:hAnsi="Arial" w:cs="Arial"/>
          <w:sz w:val="24"/>
          <w:szCs w:val="24"/>
          <w:lang w:val="es-419"/>
        </w:rPr>
        <w:t xml:space="preserve">permita </w:t>
      </w:r>
      <w:r w:rsidR="00EF3CAB">
        <w:rPr>
          <w:rFonts w:ascii="Arial" w:hAnsi="Arial" w:cs="Arial"/>
          <w:sz w:val="24"/>
          <w:szCs w:val="24"/>
          <w:lang w:val="es-419"/>
        </w:rPr>
        <w:t xml:space="preserve">visualizar e implementar acciones para </w:t>
      </w:r>
      <w:r w:rsidR="0094401A" w:rsidRPr="00DE755F">
        <w:rPr>
          <w:rFonts w:ascii="Arial" w:hAnsi="Arial" w:cs="Arial"/>
          <w:sz w:val="24"/>
          <w:szCs w:val="24"/>
          <w:lang w:val="es-419"/>
        </w:rPr>
        <w:t xml:space="preserve">fortalecer la eficiencia, la </w:t>
      </w:r>
      <w:r w:rsidR="0035491D" w:rsidRPr="00DE755F">
        <w:rPr>
          <w:rFonts w:ascii="Arial" w:hAnsi="Arial" w:cs="Arial"/>
          <w:sz w:val="24"/>
          <w:szCs w:val="24"/>
          <w:lang w:val="es-419"/>
        </w:rPr>
        <w:t>trazabilidad,</w:t>
      </w:r>
      <w:r w:rsidR="0094401A" w:rsidRPr="00DE755F">
        <w:rPr>
          <w:rFonts w:ascii="Arial" w:hAnsi="Arial" w:cs="Arial"/>
          <w:sz w:val="24"/>
          <w:szCs w:val="24"/>
          <w:lang w:val="es-419"/>
        </w:rPr>
        <w:t xml:space="preserve"> </w:t>
      </w:r>
      <w:r w:rsidR="00EF3CAB">
        <w:rPr>
          <w:rFonts w:ascii="Arial" w:hAnsi="Arial" w:cs="Arial"/>
          <w:sz w:val="24"/>
          <w:szCs w:val="24"/>
          <w:lang w:val="es-419"/>
        </w:rPr>
        <w:t xml:space="preserve">así como </w:t>
      </w:r>
      <w:r w:rsidR="0094401A">
        <w:rPr>
          <w:rFonts w:ascii="Arial" w:hAnsi="Arial" w:cs="Arial"/>
          <w:sz w:val="24"/>
          <w:szCs w:val="24"/>
          <w:lang w:val="es-419"/>
        </w:rPr>
        <w:t xml:space="preserve">valorar </w:t>
      </w:r>
      <w:r w:rsidR="0094401A" w:rsidRPr="00DE755F">
        <w:rPr>
          <w:rFonts w:ascii="Arial" w:hAnsi="Arial" w:cs="Arial"/>
          <w:sz w:val="24"/>
          <w:szCs w:val="24"/>
          <w:lang w:val="es-419"/>
        </w:rPr>
        <w:t xml:space="preserve">la calidad de la gestión contractual. </w:t>
      </w:r>
    </w:p>
    <w:p w14:paraId="218A8B79" w14:textId="7A3A0A67" w:rsidR="00405C58" w:rsidRPr="00EE05D4" w:rsidRDefault="0035491D" w:rsidP="00405C58">
      <w:pPr>
        <w:jc w:val="both"/>
        <w:rPr>
          <w:rFonts w:ascii="Arial" w:hAnsi="Arial" w:cs="Arial"/>
          <w:sz w:val="24"/>
          <w:szCs w:val="24"/>
          <w:lang w:val="es-419"/>
        </w:rPr>
      </w:pPr>
      <w:r>
        <w:rPr>
          <w:rFonts w:ascii="Arial" w:hAnsi="Arial" w:cs="Arial"/>
          <w:sz w:val="24"/>
          <w:szCs w:val="24"/>
          <w:lang w:val="es-419"/>
        </w:rPr>
        <w:t xml:space="preserve">La gestión contractual de la institución </w:t>
      </w:r>
      <w:r w:rsidR="009002CE">
        <w:rPr>
          <w:rFonts w:ascii="Arial" w:hAnsi="Arial" w:cs="Arial"/>
          <w:sz w:val="24"/>
          <w:szCs w:val="24"/>
          <w:lang w:val="es-419"/>
        </w:rPr>
        <w:t xml:space="preserve">se sustenta </w:t>
      </w:r>
      <w:r w:rsidR="00405C58" w:rsidRPr="00EE05D4">
        <w:rPr>
          <w:rFonts w:ascii="Arial" w:hAnsi="Arial" w:cs="Arial"/>
          <w:sz w:val="24"/>
          <w:szCs w:val="24"/>
          <w:lang w:val="es-419"/>
        </w:rPr>
        <w:t>en los principios de transparencia, legalidad, eficiencia y rendición de cuentas que rigen la función pública, y responde al compromiso institucional de asegurar el uso responsable y estratégico de los recursos públicos, en concordancia con lo establecido en la Ley General de Contratación Pública, su reglamento</w:t>
      </w:r>
      <w:r w:rsidR="00405C58">
        <w:rPr>
          <w:rFonts w:ascii="Arial" w:hAnsi="Arial" w:cs="Arial"/>
          <w:sz w:val="24"/>
          <w:szCs w:val="24"/>
          <w:lang w:val="es-419"/>
        </w:rPr>
        <w:t>, la Ley de Control Interno y demás normativa aplicable.</w:t>
      </w:r>
    </w:p>
    <w:p w14:paraId="5B1568A9" w14:textId="314F60A1" w:rsidR="00405C58" w:rsidRPr="00EE05D4" w:rsidRDefault="00405C58" w:rsidP="00405C58">
      <w:pPr>
        <w:jc w:val="both"/>
        <w:rPr>
          <w:rFonts w:ascii="Arial" w:hAnsi="Arial" w:cs="Arial"/>
          <w:sz w:val="24"/>
          <w:szCs w:val="24"/>
          <w:lang w:val="es-419"/>
        </w:rPr>
      </w:pPr>
      <w:r w:rsidRPr="00EE05D4">
        <w:rPr>
          <w:rFonts w:ascii="Arial" w:hAnsi="Arial" w:cs="Arial"/>
          <w:sz w:val="24"/>
          <w:szCs w:val="24"/>
          <w:lang w:val="es-419"/>
        </w:rPr>
        <w:t xml:space="preserve">Durante el año 2025, el Departamento de Proveeduría </w:t>
      </w:r>
      <w:r w:rsidR="00892D02">
        <w:rPr>
          <w:rFonts w:ascii="Arial" w:hAnsi="Arial" w:cs="Arial"/>
          <w:sz w:val="24"/>
          <w:szCs w:val="24"/>
          <w:lang w:val="es-419"/>
        </w:rPr>
        <w:t xml:space="preserve">realizó un número </w:t>
      </w:r>
      <w:r w:rsidRPr="00EE05D4">
        <w:rPr>
          <w:rFonts w:ascii="Arial" w:hAnsi="Arial" w:cs="Arial"/>
          <w:sz w:val="24"/>
          <w:szCs w:val="24"/>
          <w:lang w:val="es-419"/>
        </w:rPr>
        <w:t xml:space="preserve">significativo de </w:t>
      </w:r>
      <w:r>
        <w:rPr>
          <w:rFonts w:ascii="Arial" w:hAnsi="Arial" w:cs="Arial"/>
          <w:sz w:val="24"/>
          <w:szCs w:val="24"/>
          <w:lang w:val="es-419"/>
        </w:rPr>
        <w:t>tareas a fin de ejecutar los programas de adquisiciones (Fonafifo y Fideicomiso). Esta labor incluyó realizar un esfuerzo importante, de coordinación y revisión del cumplimiento de los requisitos establecidos en la legislación y tramitar oportunamente las contrataciones</w:t>
      </w:r>
      <w:r w:rsidRPr="00EE05D4">
        <w:rPr>
          <w:rFonts w:ascii="Arial" w:hAnsi="Arial" w:cs="Arial"/>
          <w:sz w:val="24"/>
          <w:szCs w:val="24"/>
          <w:lang w:val="es-419"/>
        </w:rPr>
        <w:t xml:space="preserve">, </w:t>
      </w:r>
      <w:r>
        <w:rPr>
          <w:rFonts w:ascii="Arial" w:hAnsi="Arial" w:cs="Arial"/>
          <w:sz w:val="24"/>
          <w:szCs w:val="24"/>
          <w:lang w:val="es-419"/>
        </w:rPr>
        <w:t xml:space="preserve">que solicitan las </w:t>
      </w:r>
      <w:r w:rsidRPr="00EE05D4">
        <w:rPr>
          <w:rFonts w:ascii="Arial" w:hAnsi="Arial" w:cs="Arial"/>
          <w:sz w:val="24"/>
          <w:szCs w:val="24"/>
          <w:lang w:val="es-419"/>
        </w:rPr>
        <w:t>distintas unidades usuarias</w:t>
      </w:r>
      <w:r>
        <w:rPr>
          <w:rFonts w:ascii="Arial" w:hAnsi="Arial" w:cs="Arial"/>
          <w:sz w:val="24"/>
          <w:szCs w:val="24"/>
          <w:lang w:val="es-419"/>
        </w:rPr>
        <w:t xml:space="preserve"> para resolver sus necesidades</w:t>
      </w:r>
      <w:r w:rsidRPr="00EE05D4">
        <w:rPr>
          <w:rFonts w:ascii="Arial" w:hAnsi="Arial" w:cs="Arial"/>
          <w:sz w:val="24"/>
          <w:szCs w:val="24"/>
          <w:lang w:val="es-419"/>
        </w:rPr>
        <w:t xml:space="preserve">, fortaleciendo los mecanismos de control contractual y </w:t>
      </w:r>
      <w:r>
        <w:rPr>
          <w:rFonts w:ascii="Arial" w:hAnsi="Arial" w:cs="Arial"/>
          <w:sz w:val="24"/>
          <w:szCs w:val="24"/>
          <w:lang w:val="es-419"/>
        </w:rPr>
        <w:t xml:space="preserve">procurando </w:t>
      </w:r>
      <w:r w:rsidRPr="00EE05D4">
        <w:rPr>
          <w:rFonts w:ascii="Arial" w:hAnsi="Arial" w:cs="Arial"/>
          <w:sz w:val="24"/>
          <w:szCs w:val="24"/>
          <w:lang w:val="es-419"/>
        </w:rPr>
        <w:t>optimiza</w:t>
      </w:r>
      <w:r>
        <w:rPr>
          <w:rFonts w:ascii="Arial" w:hAnsi="Arial" w:cs="Arial"/>
          <w:sz w:val="24"/>
          <w:szCs w:val="24"/>
          <w:lang w:val="es-419"/>
        </w:rPr>
        <w:t>r</w:t>
      </w:r>
      <w:r w:rsidRPr="00EE05D4">
        <w:rPr>
          <w:rFonts w:ascii="Arial" w:hAnsi="Arial" w:cs="Arial"/>
          <w:sz w:val="24"/>
          <w:szCs w:val="24"/>
          <w:lang w:val="es-419"/>
        </w:rPr>
        <w:t xml:space="preserve"> los tiempos de tramitación, pese a las limitaciones operativas enfrentadas.</w:t>
      </w:r>
    </w:p>
    <w:p w14:paraId="40942CAC" w14:textId="77777777" w:rsidR="00AD3C56" w:rsidRPr="000B61AA" w:rsidRDefault="00AD3C56" w:rsidP="00AD3C56">
      <w:pPr>
        <w:jc w:val="both"/>
        <w:rPr>
          <w:rFonts w:ascii="Arial" w:hAnsi="Arial" w:cs="Arial"/>
          <w:sz w:val="24"/>
          <w:szCs w:val="24"/>
        </w:rPr>
      </w:pPr>
      <w:r w:rsidRPr="000B61AA">
        <w:rPr>
          <w:rFonts w:ascii="Arial" w:hAnsi="Arial" w:cs="Arial"/>
          <w:sz w:val="24"/>
          <w:szCs w:val="24"/>
        </w:rPr>
        <w:t>Considerando lo expuesto, a continuación, se muestran los resultados.</w:t>
      </w:r>
    </w:p>
    <w:p w14:paraId="0F82A984" w14:textId="77777777" w:rsidR="00AD3C56" w:rsidRPr="000B61AA" w:rsidRDefault="00AD3C56" w:rsidP="00AD3C56">
      <w:pPr>
        <w:spacing w:after="0"/>
        <w:jc w:val="both"/>
        <w:rPr>
          <w:rFonts w:ascii="Arial" w:hAnsi="Arial" w:cs="Arial"/>
          <w:sz w:val="24"/>
          <w:szCs w:val="24"/>
          <w:highlight w:val="yellow"/>
        </w:rPr>
      </w:pPr>
    </w:p>
    <w:p w14:paraId="22ADD711" w14:textId="77777777" w:rsidR="00AD3C56" w:rsidRPr="000B61AA" w:rsidRDefault="00AD3C56" w:rsidP="00AD3C56">
      <w:pPr>
        <w:spacing w:after="0"/>
        <w:jc w:val="both"/>
        <w:rPr>
          <w:rFonts w:ascii="Arial" w:hAnsi="Arial" w:cs="Arial"/>
          <w:sz w:val="24"/>
          <w:szCs w:val="24"/>
        </w:rPr>
      </w:pPr>
    </w:p>
    <w:p w14:paraId="02205DCD" w14:textId="77777777" w:rsidR="00AD3C56" w:rsidRPr="000B61AA" w:rsidRDefault="00AD3C56" w:rsidP="00AD3C56">
      <w:pPr>
        <w:spacing w:after="0"/>
        <w:jc w:val="both"/>
        <w:rPr>
          <w:rFonts w:ascii="Arial" w:hAnsi="Arial" w:cs="Arial"/>
          <w:sz w:val="24"/>
          <w:szCs w:val="24"/>
        </w:rPr>
      </w:pPr>
    </w:p>
    <w:p w14:paraId="2EBB44E9" w14:textId="77777777" w:rsidR="00AD3C56" w:rsidRPr="000B61AA" w:rsidRDefault="00AD3C56" w:rsidP="00AD3C56">
      <w:pPr>
        <w:spacing w:after="0"/>
        <w:jc w:val="both"/>
        <w:rPr>
          <w:rFonts w:ascii="Arial" w:hAnsi="Arial" w:cs="Arial"/>
          <w:sz w:val="24"/>
          <w:szCs w:val="24"/>
        </w:rPr>
      </w:pPr>
      <w:r w:rsidRPr="000B61AA">
        <w:rPr>
          <w:rFonts w:ascii="Arial" w:hAnsi="Arial" w:cs="Arial"/>
          <w:sz w:val="24"/>
          <w:szCs w:val="24"/>
        </w:rPr>
        <w:t xml:space="preserve"> </w:t>
      </w:r>
    </w:p>
    <w:p w14:paraId="614F6467" w14:textId="77777777" w:rsidR="00AD3C56" w:rsidRPr="000B61AA" w:rsidRDefault="00AD3C56" w:rsidP="00AD3C56">
      <w:pPr>
        <w:spacing w:after="0"/>
        <w:jc w:val="both"/>
        <w:rPr>
          <w:rFonts w:ascii="Arial" w:hAnsi="Arial" w:cs="Arial"/>
          <w:sz w:val="24"/>
          <w:szCs w:val="24"/>
        </w:rPr>
      </w:pPr>
    </w:p>
    <w:p w14:paraId="3DCBB862" w14:textId="77777777" w:rsidR="00AD3C56" w:rsidRPr="000B61AA" w:rsidRDefault="00AD3C56" w:rsidP="0046374A">
      <w:pPr>
        <w:jc w:val="both"/>
        <w:rPr>
          <w:rFonts w:ascii="Arial" w:hAnsi="Arial" w:cs="Arial"/>
          <w:sz w:val="28"/>
          <w:szCs w:val="28"/>
        </w:rPr>
      </w:pPr>
      <w:r w:rsidRPr="000B61AA">
        <w:rPr>
          <w:rFonts w:ascii="Arial" w:hAnsi="Arial" w:cs="Arial"/>
          <w:sz w:val="28"/>
          <w:szCs w:val="28"/>
        </w:rPr>
        <w:br w:type="page"/>
      </w:r>
    </w:p>
    <w:p w14:paraId="4B6D4FD5" w14:textId="77777777" w:rsidR="00AD3C56" w:rsidRPr="000B61AA" w:rsidRDefault="00AD3C56" w:rsidP="0046374A">
      <w:pPr>
        <w:pStyle w:val="Prrafodelista"/>
        <w:numPr>
          <w:ilvl w:val="0"/>
          <w:numId w:val="20"/>
        </w:numPr>
        <w:ind w:left="851" w:hanging="709"/>
        <w:jc w:val="both"/>
        <w:rPr>
          <w:rFonts w:ascii="Arial" w:hAnsi="Arial" w:cs="Arial"/>
          <w:b/>
          <w:sz w:val="28"/>
          <w:szCs w:val="28"/>
          <w:lang w:val="es-ES_tradnl"/>
        </w:rPr>
      </w:pPr>
      <w:r w:rsidRPr="000B61AA">
        <w:rPr>
          <w:rFonts w:ascii="Arial" w:hAnsi="Arial" w:cs="Arial"/>
          <w:b/>
          <w:sz w:val="28"/>
          <w:szCs w:val="28"/>
          <w:lang w:val="es-ES_tradnl"/>
        </w:rPr>
        <w:lastRenderedPageBreak/>
        <w:t xml:space="preserve">EVALUACIÓN DE LA EJECUCIÓN DEL PROGRAMA DE ADQUISICIONES DE FONAFIFO </w:t>
      </w:r>
      <w:r w:rsidR="00A96FAD" w:rsidRPr="000B61AA">
        <w:rPr>
          <w:rFonts w:ascii="Arial" w:hAnsi="Arial" w:cs="Arial"/>
          <w:b/>
          <w:sz w:val="28"/>
          <w:szCs w:val="28"/>
          <w:lang w:val="es-ES_tradnl"/>
        </w:rPr>
        <w:t>y FIDEICOMISO 544 BNCR</w:t>
      </w:r>
    </w:p>
    <w:p w14:paraId="76BB61C0" w14:textId="77777777" w:rsidR="00A1007E" w:rsidRDefault="00A1007E" w:rsidP="00AD3C56">
      <w:pPr>
        <w:spacing w:line="360" w:lineRule="auto"/>
        <w:jc w:val="both"/>
        <w:rPr>
          <w:rFonts w:ascii="Arial" w:hAnsi="Arial" w:cs="Arial"/>
          <w:sz w:val="24"/>
          <w:szCs w:val="24"/>
        </w:rPr>
      </w:pPr>
    </w:p>
    <w:p w14:paraId="1A8B9AF2" w14:textId="71AF0294" w:rsidR="001146D8" w:rsidRDefault="00875E0C" w:rsidP="001A252C">
      <w:pPr>
        <w:spacing w:line="360" w:lineRule="auto"/>
        <w:jc w:val="both"/>
        <w:rPr>
          <w:rFonts w:ascii="Arial" w:hAnsi="Arial" w:cs="Arial"/>
          <w:sz w:val="24"/>
          <w:szCs w:val="24"/>
        </w:rPr>
      </w:pPr>
      <w:r>
        <w:rPr>
          <w:rFonts w:ascii="Arial" w:hAnsi="Arial" w:cs="Arial"/>
          <w:sz w:val="24"/>
          <w:szCs w:val="24"/>
        </w:rPr>
        <w:t xml:space="preserve">El Programa de Adquisiciones </w:t>
      </w:r>
      <w:r w:rsidR="0053456A">
        <w:rPr>
          <w:rFonts w:ascii="Arial" w:hAnsi="Arial" w:cs="Arial"/>
          <w:sz w:val="24"/>
          <w:szCs w:val="24"/>
        </w:rPr>
        <w:t xml:space="preserve">se </w:t>
      </w:r>
      <w:r w:rsidR="006E1BC9">
        <w:rPr>
          <w:rFonts w:ascii="Arial" w:hAnsi="Arial" w:cs="Arial"/>
          <w:sz w:val="24"/>
          <w:szCs w:val="24"/>
        </w:rPr>
        <w:t>elabora</w:t>
      </w:r>
      <w:r w:rsidR="0053456A">
        <w:rPr>
          <w:rFonts w:ascii="Arial" w:hAnsi="Arial" w:cs="Arial"/>
          <w:sz w:val="24"/>
          <w:szCs w:val="24"/>
        </w:rPr>
        <w:t xml:space="preserve"> a fin de cumplir con lo dispuesto</w:t>
      </w:r>
      <w:r w:rsidR="005331DD">
        <w:rPr>
          <w:rFonts w:ascii="Arial" w:hAnsi="Arial" w:cs="Arial"/>
          <w:sz w:val="24"/>
          <w:szCs w:val="24"/>
        </w:rPr>
        <w:t xml:space="preserve"> en el </w:t>
      </w:r>
      <w:r w:rsidR="008562C5" w:rsidRPr="000B61AA">
        <w:rPr>
          <w:rFonts w:ascii="Arial" w:hAnsi="Arial" w:cs="Arial"/>
          <w:sz w:val="24"/>
          <w:szCs w:val="24"/>
        </w:rPr>
        <w:t>a</w:t>
      </w:r>
      <w:r w:rsidR="00A5135B" w:rsidRPr="000B61AA">
        <w:rPr>
          <w:rFonts w:ascii="Arial" w:hAnsi="Arial" w:cs="Arial"/>
          <w:sz w:val="24"/>
          <w:szCs w:val="24"/>
        </w:rPr>
        <w:t>rtículo 3</w:t>
      </w:r>
      <w:r w:rsidR="001A252C">
        <w:rPr>
          <w:rFonts w:ascii="Arial" w:hAnsi="Arial" w:cs="Arial"/>
          <w:sz w:val="24"/>
          <w:szCs w:val="24"/>
        </w:rPr>
        <w:t>1</w:t>
      </w:r>
      <w:r w:rsidR="00A5135B" w:rsidRPr="000B61AA">
        <w:rPr>
          <w:rFonts w:ascii="Arial" w:hAnsi="Arial" w:cs="Arial"/>
          <w:sz w:val="24"/>
          <w:szCs w:val="24"/>
        </w:rPr>
        <w:t xml:space="preserve"> de la Ley General de Contratación Pública</w:t>
      </w:r>
      <w:r w:rsidR="000306B2" w:rsidRPr="000B61AA">
        <w:rPr>
          <w:rFonts w:ascii="Arial" w:hAnsi="Arial" w:cs="Arial"/>
          <w:sz w:val="24"/>
          <w:szCs w:val="24"/>
        </w:rPr>
        <w:t>,</w:t>
      </w:r>
      <w:r w:rsidR="00A5135B" w:rsidRPr="000B61AA">
        <w:rPr>
          <w:rFonts w:ascii="Arial" w:hAnsi="Arial" w:cs="Arial"/>
          <w:sz w:val="24"/>
          <w:szCs w:val="24"/>
        </w:rPr>
        <w:t xml:space="preserve"> </w:t>
      </w:r>
      <w:r w:rsidR="00333935">
        <w:rPr>
          <w:rFonts w:ascii="Arial" w:hAnsi="Arial" w:cs="Arial"/>
          <w:sz w:val="24"/>
          <w:szCs w:val="24"/>
        </w:rPr>
        <w:t>según el cual</w:t>
      </w:r>
      <w:r w:rsidR="001146D8">
        <w:rPr>
          <w:rFonts w:ascii="Arial" w:hAnsi="Arial" w:cs="Arial"/>
          <w:sz w:val="24"/>
          <w:szCs w:val="24"/>
        </w:rPr>
        <w:t>:</w:t>
      </w:r>
    </w:p>
    <w:p w14:paraId="1E39727F" w14:textId="704F50AE" w:rsidR="001A252C" w:rsidRPr="001A252C" w:rsidRDefault="00333935" w:rsidP="00CE5FAC">
      <w:pPr>
        <w:spacing w:line="360" w:lineRule="auto"/>
        <w:ind w:left="1021"/>
        <w:jc w:val="both"/>
        <w:rPr>
          <w:rFonts w:ascii="Arial" w:hAnsi="Arial" w:cs="Arial"/>
          <w:b/>
          <w:bCs/>
          <w:lang w:val="es-419"/>
        </w:rPr>
      </w:pPr>
      <w:r w:rsidRPr="00CE5FAC">
        <w:rPr>
          <w:rFonts w:ascii="Arial" w:hAnsi="Arial" w:cs="Arial"/>
          <w:b/>
          <w:bCs/>
        </w:rPr>
        <w:t xml:space="preserve"> </w:t>
      </w:r>
      <w:r w:rsidR="001A252C" w:rsidRPr="00CE5FAC">
        <w:rPr>
          <w:rFonts w:ascii="Arial" w:hAnsi="Arial" w:cs="Arial"/>
          <w:b/>
          <w:bCs/>
        </w:rPr>
        <w:t>“</w:t>
      </w:r>
      <w:r w:rsidR="006E1BC9" w:rsidRPr="00CE5FAC">
        <w:rPr>
          <w:rFonts w:ascii="Arial" w:hAnsi="Arial" w:cs="Arial"/>
          <w:b/>
          <w:bCs/>
        </w:rPr>
        <w:t>…</w:t>
      </w:r>
      <w:r w:rsidR="001A252C" w:rsidRPr="001A252C">
        <w:rPr>
          <w:rFonts w:ascii="Arial" w:hAnsi="Arial" w:cs="Arial"/>
          <w:b/>
          <w:bCs/>
          <w:i/>
          <w:iCs/>
          <w:lang w:val="es-419"/>
        </w:rPr>
        <w:t>La Administración deberá realizar las acciones necesarias para definir sus requerimientos durante un período específico de tiempo, con el objetivo de organizar y garantizar la provisión oportuna de bienes, obras y servicios necesarios para cumplir con los objetivos institucionales, acatando las directrices que sobre la materia de contratación pública se emitan</w:t>
      </w:r>
      <w:r w:rsidR="00DE4EFA" w:rsidRPr="00CE5FAC">
        <w:rPr>
          <w:rFonts w:ascii="Arial" w:hAnsi="Arial" w:cs="Arial"/>
          <w:b/>
          <w:bCs/>
          <w:i/>
          <w:iCs/>
          <w:lang w:val="es-419"/>
        </w:rPr>
        <w:t>…</w:t>
      </w:r>
      <w:r w:rsidR="001146D8" w:rsidRPr="00CE5FAC">
        <w:rPr>
          <w:rFonts w:ascii="Arial" w:hAnsi="Arial" w:cs="Arial"/>
          <w:b/>
          <w:bCs/>
          <w:i/>
          <w:iCs/>
          <w:lang w:val="es-419"/>
        </w:rPr>
        <w:t>”</w:t>
      </w:r>
    </w:p>
    <w:p w14:paraId="4E275B6C" w14:textId="6486B984" w:rsidR="001A252C" w:rsidRDefault="001146D8" w:rsidP="00AD3C56">
      <w:pPr>
        <w:spacing w:line="360" w:lineRule="auto"/>
        <w:jc w:val="both"/>
        <w:rPr>
          <w:rFonts w:ascii="Arial" w:hAnsi="Arial" w:cs="Arial"/>
          <w:sz w:val="24"/>
          <w:szCs w:val="24"/>
        </w:rPr>
      </w:pPr>
      <w:r>
        <w:rPr>
          <w:rFonts w:ascii="Arial" w:hAnsi="Arial" w:cs="Arial"/>
          <w:sz w:val="24"/>
          <w:szCs w:val="24"/>
        </w:rPr>
        <w:t xml:space="preserve">En forma complementaria el </w:t>
      </w:r>
      <w:r w:rsidR="00DE4EFA">
        <w:rPr>
          <w:rFonts w:ascii="Arial" w:hAnsi="Arial" w:cs="Arial"/>
          <w:sz w:val="24"/>
          <w:szCs w:val="24"/>
        </w:rPr>
        <w:t>artículo 32 de la Ley precitada señala:</w:t>
      </w:r>
    </w:p>
    <w:p w14:paraId="2610E3A3" w14:textId="3A2673A9" w:rsidR="00333935" w:rsidRPr="00CE5FAC" w:rsidRDefault="00CE5FAC" w:rsidP="00CE5FAC">
      <w:pPr>
        <w:spacing w:line="360" w:lineRule="auto"/>
        <w:ind w:left="1021"/>
        <w:jc w:val="both"/>
        <w:rPr>
          <w:rFonts w:ascii="Arial" w:hAnsi="Arial" w:cs="Arial"/>
          <w:b/>
          <w:bCs/>
          <w:i/>
          <w:iCs/>
        </w:rPr>
      </w:pPr>
      <w:r w:rsidRPr="00CE5FAC">
        <w:rPr>
          <w:rFonts w:ascii="Arial" w:hAnsi="Arial" w:cs="Arial"/>
          <w:b/>
          <w:bCs/>
          <w:i/>
          <w:iCs/>
        </w:rPr>
        <w:t>“…Todas las unidades desconcentradas de compra de una misma institución deberán consolidar sus requerimientos de consumo con la proveeduría institucional, a fin de que se promuevan procedimientos de compra que aseguren los mejores precios y las mejores condiciones de eficiencia, eficacia y economía…”</w:t>
      </w:r>
    </w:p>
    <w:p w14:paraId="7C934669" w14:textId="77777777" w:rsidR="00CE5FAC" w:rsidRDefault="00CE5FAC" w:rsidP="00CE5FAC">
      <w:pPr>
        <w:spacing w:line="240" w:lineRule="auto"/>
        <w:contextualSpacing/>
        <w:jc w:val="both"/>
        <w:rPr>
          <w:rFonts w:ascii="Arial" w:hAnsi="Arial" w:cs="Arial"/>
          <w:sz w:val="24"/>
          <w:szCs w:val="24"/>
        </w:rPr>
      </w:pPr>
    </w:p>
    <w:p w14:paraId="069C61E1" w14:textId="77777777" w:rsidR="001D32F4" w:rsidRPr="000B61AA" w:rsidRDefault="00A1450D" w:rsidP="0046374A">
      <w:pPr>
        <w:pStyle w:val="Prrafodelista"/>
        <w:numPr>
          <w:ilvl w:val="0"/>
          <w:numId w:val="20"/>
        </w:numPr>
        <w:ind w:left="851" w:hanging="709"/>
        <w:jc w:val="both"/>
        <w:rPr>
          <w:rFonts w:ascii="Arial" w:hAnsi="Arial" w:cs="Arial"/>
          <w:b/>
          <w:sz w:val="28"/>
          <w:szCs w:val="28"/>
          <w:lang w:val="es-ES_tradnl"/>
        </w:rPr>
      </w:pPr>
      <w:r w:rsidRPr="000B61AA">
        <w:rPr>
          <w:rFonts w:ascii="Arial" w:hAnsi="Arial" w:cs="Arial"/>
          <w:b/>
          <w:sz w:val="28"/>
          <w:szCs w:val="28"/>
          <w:lang w:val="es-ES_tradnl"/>
        </w:rPr>
        <w:t>PROGRAMACIÓN DE LA GESTIÓN CONTRACTUAL</w:t>
      </w:r>
    </w:p>
    <w:p w14:paraId="38639E06" w14:textId="77777777" w:rsidR="00D64086" w:rsidRDefault="00D64086" w:rsidP="001F13A4">
      <w:pPr>
        <w:spacing w:line="240" w:lineRule="auto"/>
        <w:jc w:val="both"/>
        <w:rPr>
          <w:rFonts w:ascii="Arial" w:hAnsi="Arial" w:cs="Arial"/>
          <w:sz w:val="24"/>
          <w:szCs w:val="24"/>
        </w:rPr>
      </w:pPr>
    </w:p>
    <w:p w14:paraId="7A901030" w14:textId="283D0A1B" w:rsidR="007436B9" w:rsidRDefault="007436B9" w:rsidP="007436B9">
      <w:pPr>
        <w:spacing w:line="360" w:lineRule="auto"/>
        <w:jc w:val="both"/>
        <w:rPr>
          <w:rFonts w:ascii="Arial" w:hAnsi="Arial" w:cs="Arial"/>
          <w:sz w:val="24"/>
          <w:szCs w:val="24"/>
        </w:rPr>
      </w:pPr>
      <w:r>
        <w:rPr>
          <w:rFonts w:ascii="Arial" w:hAnsi="Arial" w:cs="Arial"/>
          <w:sz w:val="24"/>
          <w:szCs w:val="24"/>
        </w:rPr>
        <w:t xml:space="preserve">En cuanto a la programación de la Gestión Contractual debe señalarse que </w:t>
      </w:r>
      <w:r w:rsidR="006A4419">
        <w:rPr>
          <w:rFonts w:ascii="Arial" w:hAnsi="Arial" w:cs="Arial"/>
          <w:sz w:val="24"/>
          <w:szCs w:val="24"/>
        </w:rPr>
        <w:t>e</w:t>
      </w:r>
      <w:r w:rsidRPr="000B61AA">
        <w:rPr>
          <w:rFonts w:ascii="Arial" w:hAnsi="Arial" w:cs="Arial"/>
          <w:sz w:val="24"/>
          <w:szCs w:val="24"/>
        </w:rPr>
        <w:t>l artículo 83 del Reglamento a la Ley General de Contratación Pública dispone, en lo de interés:</w:t>
      </w:r>
    </w:p>
    <w:p w14:paraId="0FC6C64B" w14:textId="77777777" w:rsidR="006A4419" w:rsidRPr="000B61AA" w:rsidRDefault="006A4419" w:rsidP="007436B9">
      <w:pPr>
        <w:spacing w:line="360" w:lineRule="auto"/>
        <w:jc w:val="both"/>
        <w:rPr>
          <w:rFonts w:ascii="Arial" w:hAnsi="Arial" w:cs="Arial"/>
          <w:sz w:val="24"/>
          <w:szCs w:val="24"/>
        </w:rPr>
      </w:pPr>
    </w:p>
    <w:p w14:paraId="03C9FFFF" w14:textId="77777777" w:rsidR="007436B9" w:rsidRPr="00CE5FAC" w:rsidRDefault="007436B9" w:rsidP="007436B9">
      <w:pPr>
        <w:spacing w:line="360" w:lineRule="auto"/>
        <w:ind w:left="1021"/>
        <w:jc w:val="both"/>
        <w:rPr>
          <w:rFonts w:ascii="Arial" w:hAnsi="Arial" w:cs="Arial"/>
          <w:b/>
          <w:bCs/>
          <w:i/>
          <w:iCs/>
        </w:rPr>
      </w:pPr>
      <w:r w:rsidRPr="00CE5FAC">
        <w:rPr>
          <w:rFonts w:ascii="Arial" w:hAnsi="Arial" w:cs="Arial"/>
          <w:b/>
          <w:bCs/>
          <w:i/>
          <w:iCs/>
        </w:rPr>
        <w:lastRenderedPageBreak/>
        <w:t>“La Administración deberá planificar anualmente sus compras y fijas fechas límites para que las unidades usuarias realicen los pedidos de bienes y servicios que requieren con la debida antelación, a fin de poder agrupar los objetos de las compras. Fuera de esas fechas no se podrán atender pedidos que no sean calificados de necesidades urgentes o imprevistas”</w:t>
      </w:r>
    </w:p>
    <w:p w14:paraId="25D76CB2" w14:textId="03CAD853" w:rsidR="001F13A4" w:rsidRDefault="001F13A4" w:rsidP="001F13A4">
      <w:pPr>
        <w:spacing w:line="360" w:lineRule="auto"/>
        <w:jc w:val="both"/>
        <w:rPr>
          <w:rFonts w:ascii="Arial" w:hAnsi="Arial" w:cs="Arial"/>
          <w:sz w:val="24"/>
          <w:szCs w:val="24"/>
        </w:rPr>
      </w:pPr>
      <w:r>
        <w:rPr>
          <w:rFonts w:ascii="Arial" w:hAnsi="Arial" w:cs="Arial"/>
          <w:sz w:val="24"/>
          <w:szCs w:val="24"/>
        </w:rPr>
        <w:t xml:space="preserve">Conforme con lo anterior, el 25 de octubre de </w:t>
      </w:r>
      <w:r w:rsidRPr="000B61AA">
        <w:rPr>
          <w:rFonts w:ascii="Arial" w:hAnsi="Arial" w:cs="Arial"/>
          <w:sz w:val="24"/>
          <w:szCs w:val="24"/>
        </w:rPr>
        <w:t xml:space="preserve">2024, se remitió a todas las unidades usuarias la Circular </w:t>
      </w:r>
      <w:r w:rsidRPr="000B61AA">
        <w:rPr>
          <w:rFonts w:ascii="Arial" w:hAnsi="Arial" w:cs="Arial"/>
          <w:b/>
          <w:bCs/>
          <w:sz w:val="24"/>
          <w:szCs w:val="24"/>
        </w:rPr>
        <w:t>DAF-DA-UPSG-CIR-000</w:t>
      </w:r>
      <w:r>
        <w:rPr>
          <w:rFonts w:ascii="Arial" w:hAnsi="Arial" w:cs="Arial"/>
          <w:b/>
          <w:bCs/>
          <w:sz w:val="24"/>
          <w:szCs w:val="24"/>
        </w:rPr>
        <w:t>3</w:t>
      </w:r>
      <w:r w:rsidRPr="000B61AA">
        <w:rPr>
          <w:rFonts w:ascii="Arial" w:hAnsi="Arial" w:cs="Arial"/>
          <w:b/>
          <w:bCs/>
          <w:sz w:val="24"/>
          <w:szCs w:val="24"/>
        </w:rPr>
        <w:t xml:space="preserve">-2024 </w:t>
      </w:r>
      <w:r>
        <w:rPr>
          <w:rFonts w:ascii="Arial" w:hAnsi="Arial" w:cs="Arial"/>
          <w:sz w:val="24"/>
          <w:szCs w:val="24"/>
        </w:rPr>
        <w:t xml:space="preserve">estableciendo </w:t>
      </w:r>
      <w:r w:rsidRPr="000B61AA">
        <w:rPr>
          <w:rFonts w:ascii="Arial" w:hAnsi="Arial" w:cs="Arial"/>
          <w:sz w:val="24"/>
          <w:szCs w:val="24"/>
        </w:rPr>
        <w:t xml:space="preserve">la programación </w:t>
      </w:r>
      <w:r>
        <w:rPr>
          <w:rFonts w:ascii="Arial" w:hAnsi="Arial" w:cs="Arial"/>
          <w:sz w:val="24"/>
          <w:szCs w:val="24"/>
        </w:rPr>
        <w:t xml:space="preserve">para el periodo 2025, específicamente </w:t>
      </w:r>
      <w:r w:rsidRPr="000B61AA">
        <w:rPr>
          <w:rFonts w:ascii="Arial" w:hAnsi="Arial" w:cs="Arial"/>
          <w:sz w:val="24"/>
          <w:szCs w:val="24"/>
        </w:rPr>
        <w:t xml:space="preserve">las fechas para presentación de las decisiones iniciales, </w:t>
      </w:r>
      <w:r>
        <w:rPr>
          <w:rFonts w:ascii="Arial" w:hAnsi="Arial" w:cs="Arial"/>
          <w:sz w:val="24"/>
          <w:szCs w:val="24"/>
        </w:rPr>
        <w:t>l</w:t>
      </w:r>
      <w:r w:rsidRPr="000B61AA">
        <w:rPr>
          <w:rFonts w:ascii="Arial" w:hAnsi="Arial" w:cs="Arial"/>
          <w:sz w:val="24"/>
          <w:szCs w:val="24"/>
        </w:rPr>
        <w:t xml:space="preserve">os sondeos o estudios de mercado y otros detalles relevantes para considerar en la gestión contractual. </w:t>
      </w:r>
      <w:r>
        <w:rPr>
          <w:rFonts w:ascii="Arial" w:hAnsi="Arial" w:cs="Arial"/>
          <w:sz w:val="24"/>
          <w:szCs w:val="24"/>
        </w:rPr>
        <w:t xml:space="preserve"> El propósito de remitir la circular con la antelación indicada fue procurar que las dependencias tuvieran un mayor espacio para preparar los insumos de las contrataciones. </w:t>
      </w:r>
    </w:p>
    <w:p w14:paraId="55EA3FF1" w14:textId="0B4D9F5B" w:rsidR="005A5DA9" w:rsidRDefault="005A5DA9" w:rsidP="005A5DA9">
      <w:pPr>
        <w:spacing w:line="360" w:lineRule="auto"/>
        <w:jc w:val="both"/>
        <w:rPr>
          <w:rFonts w:ascii="Arial" w:hAnsi="Arial" w:cs="Arial"/>
          <w:sz w:val="24"/>
          <w:szCs w:val="24"/>
        </w:rPr>
      </w:pPr>
      <w:r>
        <w:rPr>
          <w:rFonts w:ascii="Arial" w:hAnsi="Arial" w:cs="Arial"/>
          <w:sz w:val="24"/>
          <w:szCs w:val="24"/>
        </w:rPr>
        <w:t xml:space="preserve">Para solicitar la contratación de una obra, bien o servicio la dependencia respectiva debe emitir una Decisión Inicial, según lo </w:t>
      </w:r>
      <w:r w:rsidR="00DC7C45">
        <w:rPr>
          <w:rFonts w:ascii="Arial" w:hAnsi="Arial" w:cs="Arial"/>
          <w:sz w:val="24"/>
          <w:szCs w:val="24"/>
        </w:rPr>
        <w:t>definido</w:t>
      </w:r>
      <w:r>
        <w:rPr>
          <w:rFonts w:ascii="Arial" w:hAnsi="Arial" w:cs="Arial"/>
          <w:sz w:val="24"/>
          <w:szCs w:val="24"/>
        </w:rPr>
        <w:t xml:space="preserve"> en el artículo 86 </w:t>
      </w:r>
      <w:r w:rsidRPr="000B61AA">
        <w:rPr>
          <w:rFonts w:ascii="Arial" w:hAnsi="Arial" w:cs="Arial"/>
          <w:sz w:val="24"/>
          <w:szCs w:val="24"/>
        </w:rPr>
        <w:t>del Reglamento a la Ley General de Contratación Pública:</w:t>
      </w:r>
    </w:p>
    <w:p w14:paraId="2AE652FF" w14:textId="77777777" w:rsidR="005A5DA9" w:rsidRPr="00164A76" w:rsidRDefault="005A5DA9" w:rsidP="005A5DA9">
      <w:pPr>
        <w:spacing w:line="360" w:lineRule="auto"/>
        <w:ind w:left="1021"/>
        <w:jc w:val="both"/>
        <w:rPr>
          <w:rFonts w:ascii="Arial" w:hAnsi="Arial" w:cs="Arial"/>
          <w:b/>
          <w:bCs/>
          <w:i/>
          <w:iCs/>
        </w:rPr>
      </w:pPr>
      <w:r w:rsidRPr="00164A76">
        <w:rPr>
          <w:rFonts w:ascii="Arial" w:hAnsi="Arial" w:cs="Arial"/>
          <w:b/>
          <w:bCs/>
          <w:i/>
          <w:iCs/>
        </w:rPr>
        <w:t>“Decisión Inicial. La decisión administrativa que da inicio al procedimiento de contratación será emitida por la jefatura de la unidad solicitante o por el titular subordinado competente, de conformidad con las disposiciones internas de cada institución, salvo que el objeto contractual sea de obra pública que deba tramitarse mediante licitación mayor, en cuyo caso, la decisión inicial deberá ser suscrita conjuntamente por el jefe de la unidad solicitante y por el jerarca, quien deberá delegar tal actuación”</w:t>
      </w:r>
    </w:p>
    <w:p w14:paraId="610ACB57" w14:textId="77777777" w:rsidR="005A5DA9" w:rsidRDefault="005A5DA9" w:rsidP="005A5DA9">
      <w:pPr>
        <w:spacing w:line="240" w:lineRule="auto"/>
        <w:contextualSpacing/>
        <w:jc w:val="both"/>
        <w:rPr>
          <w:rFonts w:ascii="Arial" w:hAnsi="Arial" w:cs="Arial"/>
          <w:sz w:val="24"/>
          <w:szCs w:val="24"/>
        </w:rPr>
      </w:pPr>
    </w:p>
    <w:p w14:paraId="4E62DAE9" w14:textId="77777777" w:rsidR="00164A76" w:rsidRDefault="00164A76" w:rsidP="005A5DA9">
      <w:pPr>
        <w:spacing w:line="240" w:lineRule="auto"/>
        <w:contextualSpacing/>
        <w:jc w:val="both"/>
        <w:rPr>
          <w:rFonts w:ascii="Arial" w:hAnsi="Arial" w:cs="Arial"/>
          <w:sz w:val="24"/>
          <w:szCs w:val="24"/>
        </w:rPr>
      </w:pPr>
    </w:p>
    <w:p w14:paraId="3F0CA5A0" w14:textId="77777777" w:rsidR="00164A76" w:rsidRDefault="00164A76" w:rsidP="005A5DA9">
      <w:pPr>
        <w:spacing w:line="240" w:lineRule="auto"/>
        <w:contextualSpacing/>
        <w:jc w:val="both"/>
        <w:rPr>
          <w:rFonts w:ascii="Arial" w:hAnsi="Arial" w:cs="Arial"/>
          <w:sz w:val="24"/>
          <w:szCs w:val="24"/>
        </w:rPr>
      </w:pPr>
    </w:p>
    <w:p w14:paraId="7627A61D" w14:textId="0A7926EC" w:rsidR="005A5DA9" w:rsidRDefault="005A5DA9" w:rsidP="005A5DA9">
      <w:pPr>
        <w:spacing w:line="360" w:lineRule="auto"/>
        <w:jc w:val="both"/>
        <w:rPr>
          <w:rFonts w:ascii="Arial" w:hAnsi="Arial" w:cs="Arial"/>
          <w:sz w:val="24"/>
          <w:szCs w:val="24"/>
        </w:rPr>
      </w:pPr>
      <w:r>
        <w:rPr>
          <w:rFonts w:ascii="Arial" w:hAnsi="Arial" w:cs="Arial"/>
          <w:sz w:val="24"/>
          <w:szCs w:val="24"/>
        </w:rPr>
        <w:lastRenderedPageBreak/>
        <w:t>La Decisión Inicial debe incluir</w:t>
      </w:r>
      <w:r w:rsidR="00D96D69">
        <w:rPr>
          <w:rFonts w:ascii="Arial" w:hAnsi="Arial" w:cs="Arial"/>
          <w:sz w:val="24"/>
          <w:szCs w:val="24"/>
        </w:rPr>
        <w:t>, entre otros</w:t>
      </w:r>
      <w:r>
        <w:rPr>
          <w:rFonts w:ascii="Arial" w:hAnsi="Arial" w:cs="Arial"/>
          <w:sz w:val="24"/>
          <w:szCs w:val="24"/>
        </w:rPr>
        <w:t xml:space="preserve"> el costo estimado, el cual debe determinarse a partir de un sondeo o estudio de mercado</w:t>
      </w:r>
      <w:r w:rsidR="00305691">
        <w:rPr>
          <w:rFonts w:ascii="Arial" w:hAnsi="Arial" w:cs="Arial"/>
          <w:sz w:val="24"/>
          <w:szCs w:val="24"/>
        </w:rPr>
        <w:t>, según se precisa en el artículo 85 del Reglamento a la Ley General de Contratación Pública, según se aprecia:</w:t>
      </w:r>
    </w:p>
    <w:p w14:paraId="266406F5" w14:textId="72668BA8" w:rsidR="00305691" w:rsidRPr="00305691" w:rsidRDefault="00305691" w:rsidP="00305691">
      <w:pPr>
        <w:spacing w:line="360" w:lineRule="auto"/>
        <w:ind w:left="1021"/>
        <w:jc w:val="both"/>
        <w:rPr>
          <w:rFonts w:ascii="Arial" w:hAnsi="Arial" w:cs="Arial"/>
          <w:b/>
          <w:bCs/>
          <w:i/>
          <w:iCs/>
          <w:sz w:val="24"/>
          <w:szCs w:val="24"/>
        </w:rPr>
      </w:pPr>
      <w:r>
        <w:rPr>
          <w:rFonts w:ascii="Arial" w:hAnsi="Arial" w:cs="Arial"/>
          <w:b/>
          <w:bCs/>
          <w:i/>
          <w:iCs/>
          <w:sz w:val="24"/>
          <w:szCs w:val="24"/>
        </w:rPr>
        <w:t>“</w:t>
      </w:r>
      <w:r w:rsidRPr="00305691">
        <w:rPr>
          <w:rFonts w:ascii="Arial" w:hAnsi="Arial" w:cs="Arial"/>
          <w:b/>
          <w:bCs/>
          <w:i/>
          <w:iCs/>
          <w:sz w:val="24"/>
          <w:szCs w:val="24"/>
        </w:rPr>
        <w:t>Artículo 85. Sondeo, estudio de mercado y precio de referencia. Previo a la estimación de la contratación, la Administración deberá realizar un sondeo o estudio de mercado a fin de determinar los precios de referencia conforme a lo previsto en el artículo 44 del presente Reglamento y podrá considerar las guías que emitirá al efecto la Dirección de Contratación Pública</w:t>
      </w:r>
      <w:r>
        <w:rPr>
          <w:rFonts w:ascii="Arial" w:hAnsi="Arial" w:cs="Arial"/>
          <w:b/>
          <w:bCs/>
          <w:i/>
          <w:iCs/>
          <w:sz w:val="24"/>
          <w:szCs w:val="24"/>
        </w:rPr>
        <w:t>”</w:t>
      </w:r>
    </w:p>
    <w:p w14:paraId="2D6AE283" w14:textId="09FD52BC" w:rsidR="005C5983" w:rsidRPr="000B61AA" w:rsidRDefault="00357DB8" w:rsidP="00357DB8">
      <w:pPr>
        <w:spacing w:line="360" w:lineRule="auto"/>
        <w:contextualSpacing/>
        <w:jc w:val="both"/>
        <w:rPr>
          <w:rFonts w:ascii="Arial" w:hAnsi="Arial" w:cs="Arial"/>
          <w:sz w:val="24"/>
          <w:szCs w:val="24"/>
        </w:rPr>
      </w:pPr>
      <w:r w:rsidRPr="000B61AA">
        <w:rPr>
          <w:rFonts w:ascii="Arial" w:hAnsi="Arial" w:cs="Arial"/>
          <w:sz w:val="24"/>
          <w:szCs w:val="24"/>
        </w:rPr>
        <w:t xml:space="preserve">Cada Decisión Inicial </w:t>
      </w:r>
      <w:r w:rsidR="0029709C" w:rsidRPr="000B61AA">
        <w:rPr>
          <w:rFonts w:ascii="Arial" w:hAnsi="Arial" w:cs="Arial"/>
          <w:sz w:val="24"/>
          <w:szCs w:val="24"/>
        </w:rPr>
        <w:t xml:space="preserve">debe </w:t>
      </w:r>
      <w:r w:rsidRPr="000B61AA">
        <w:rPr>
          <w:rFonts w:ascii="Arial" w:hAnsi="Arial" w:cs="Arial"/>
          <w:sz w:val="24"/>
          <w:szCs w:val="24"/>
        </w:rPr>
        <w:t xml:space="preserve">contar con </w:t>
      </w:r>
      <w:r w:rsidR="0029709C" w:rsidRPr="000B61AA">
        <w:rPr>
          <w:rFonts w:ascii="Arial" w:hAnsi="Arial" w:cs="Arial"/>
          <w:sz w:val="24"/>
          <w:szCs w:val="24"/>
        </w:rPr>
        <w:t xml:space="preserve">una </w:t>
      </w:r>
      <w:r w:rsidRPr="000B61AA">
        <w:rPr>
          <w:rFonts w:ascii="Arial" w:hAnsi="Arial" w:cs="Arial"/>
          <w:sz w:val="24"/>
          <w:szCs w:val="24"/>
        </w:rPr>
        <w:t>certificación</w:t>
      </w:r>
      <w:r w:rsidR="0029709C" w:rsidRPr="000B61AA">
        <w:rPr>
          <w:rFonts w:ascii="Arial" w:hAnsi="Arial" w:cs="Arial"/>
          <w:sz w:val="24"/>
          <w:szCs w:val="24"/>
        </w:rPr>
        <w:t xml:space="preserve"> presupuestaria</w:t>
      </w:r>
      <w:r w:rsidRPr="000B61AA">
        <w:rPr>
          <w:rFonts w:ascii="Arial" w:hAnsi="Arial" w:cs="Arial"/>
          <w:sz w:val="24"/>
          <w:szCs w:val="24"/>
        </w:rPr>
        <w:t xml:space="preserve">, </w:t>
      </w:r>
      <w:r w:rsidR="00C86A18">
        <w:rPr>
          <w:rFonts w:ascii="Arial" w:hAnsi="Arial" w:cs="Arial"/>
          <w:sz w:val="24"/>
          <w:szCs w:val="24"/>
        </w:rPr>
        <w:t>para garantizar la disponibilidad de l</w:t>
      </w:r>
      <w:r w:rsidRPr="000B61AA">
        <w:rPr>
          <w:rFonts w:ascii="Arial" w:hAnsi="Arial" w:cs="Arial"/>
          <w:sz w:val="24"/>
          <w:szCs w:val="24"/>
        </w:rPr>
        <w:t>os recursos económicos</w:t>
      </w:r>
      <w:r w:rsidR="007A58DA" w:rsidRPr="000B61AA">
        <w:rPr>
          <w:rFonts w:ascii="Arial" w:hAnsi="Arial" w:cs="Arial"/>
          <w:sz w:val="24"/>
          <w:szCs w:val="24"/>
        </w:rPr>
        <w:t xml:space="preserve">, </w:t>
      </w:r>
      <w:r w:rsidR="00957B2D">
        <w:rPr>
          <w:rFonts w:ascii="Arial" w:hAnsi="Arial" w:cs="Arial"/>
          <w:sz w:val="24"/>
          <w:szCs w:val="24"/>
        </w:rPr>
        <w:t xml:space="preserve">para, en el momento que la Institución reciba </w:t>
      </w:r>
      <w:r w:rsidR="007A58DA" w:rsidRPr="000B61AA">
        <w:rPr>
          <w:rFonts w:ascii="Arial" w:hAnsi="Arial" w:cs="Arial"/>
          <w:sz w:val="24"/>
          <w:szCs w:val="24"/>
        </w:rPr>
        <w:t xml:space="preserve">el bien o servicio </w:t>
      </w:r>
      <w:r w:rsidR="00957B2D">
        <w:rPr>
          <w:rFonts w:ascii="Arial" w:hAnsi="Arial" w:cs="Arial"/>
          <w:sz w:val="24"/>
          <w:szCs w:val="24"/>
        </w:rPr>
        <w:t xml:space="preserve">adjudicado </w:t>
      </w:r>
      <w:r w:rsidR="007A58DA" w:rsidRPr="000B61AA">
        <w:rPr>
          <w:rFonts w:ascii="Arial" w:hAnsi="Arial" w:cs="Arial"/>
          <w:sz w:val="24"/>
          <w:szCs w:val="24"/>
        </w:rPr>
        <w:t>y pueda</w:t>
      </w:r>
      <w:r w:rsidR="00846A10">
        <w:rPr>
          <w:rFonts w:ascii="Arial" w:hAnsi="Arial" w:cs="Arial"/>
          <w:sz w:val="24"/>
          <w:szCs w:val="24"/>
        </w:rPr>
        <w:t xml:space="preserve"> cumplir con la </w:t>
      </w:r>
      <w:r w:rsidR="007A58DA" w:rsidRPr="000B61AA">
        <w:rPr>
          <w:rFonts w:ascii="Arial" w:hAnsi="Arial" w:cs="Arial"/>
          <w:sz w:val="24"/>
          <w:szCs w:val="24"/>
        </w:rPr>
        <w:t xml:space="preserve">obligación </w:t>
      </w:r>
      <w:r w:rsidR="005C5983" w:rsidRPr="000B61AA">
        <w:rPr>
          <w:rFonts w:ascii="Arial" w:hAnsi="Arial" w:cs="Arial"/>
          <w:sz w:val="24"/>
          <w:szCs w:val="24"/>
        </w:rPr>
        <w:t>derivada del contrato.</w:t>
      </w:r>
    </w:p>
    <w:p w14:paraId="78807EDF" w14:textId="77777777" w:rsidR="005C5983" w:rsidRPr="000B61AA" w:rsidRDefault="005C5983" w:rsidP="00357DB8">
      <w:pPr>
        <w:spacing w:line="360" w:lineRule="auto"/>
        <w:contextualSpacing/>
        <w:jc w:val="both"/>
        <w:rPr>
          <w:rFonts w:ascii="Arial" w:hAnsi="Arial" w:cs="Arial"/>
          <w:sz w:val="24"/>
          <w:szCs w:val="24"/>
        </w:rPr>
      </w:pPr>
    </w:p>
    <w:p w14:paraId="7490358F" w14:textId="77777777" w:rsidR="00A62D9F" w:rsidRDefault="00A62D9F" w:rsidP="00A62D9F">
      <w:pPr>
        <w:spacing w:line="360" w:lineRule="auto"/>
        <w:jc w:val="both"/>
        <w:rPr>
          <w:rFonts w:ascii="Arial" w:hAnsi="Arial" w:cs="Arial"/>
          <w:sz w:val="24"/>
          <w:szCs w:val="24"/>
        </w:rPr>
      </w:pPr>
      <w:r w:rsidRPr="000B61AA">
        <w:rPr>
          <w:rFonts w:ascii="Arial" w:hAnsi="Arial" w:cs="Arial"/>
          <w:sz w:val="24"/>
          <w:szCs w:val="24"/>
        </w:rPr>
        <w:t xml:space="preserve">Por lo anterior la evaluación </w:t>
      </w:r>
      <w:r w:rsidR="00DD1AE7" w:rsidRPr="000B61AA">
        <w:rPr>
          <w:rFonts w:ascii="Arial" w:hAnsi="Arial" w:cs="Arial"/>
          <w:sz w:val="24"/>
          <w:szCs w:val="24"/>
        </w:rPr>
        <w:t xml:space="preserve">se realiza </w:t>
      </w:r>
      <w:r w:rsidR="00771EEE" w:rsidRPr="000B61AA">
        <w:rPr>
          <w:rFonts w:ascii="Arial" w:hAnsi="Arial" w:cs="Arial"/>
          <w:sz w:val="24"/>
          <w:szCs w:val="24"/>
        </w:rPr>
        <w:t xml:space="preserve">considerando las </w:t>
      </w:r>
      <w:r w:rsidRPr="000B61AA">
        <w:rPr>
          <w:rFonts w:ascii="Arial" w:hAnsi="Arial" w:cs="Arial"/>
          <w:sz w:val="24"/>
          <w:szCs w:val="24"/>
        </w:rPr>
        <w:t xml:space="preserve">decisiones </w:t>
      </w:r>
      <w:r w:rsidR="00B907A2" w:rsidRPr="000B61AA">
        <w:rPr>
          <w:rFonts w:ascii="Arial" w:hAnsi="Arial" w:cs="Arial"/>
          <w:sz w:val="24"/>
          <w:szCs w:val="24"/>
        </w:rPr>
        <w:t>iniciales aprobadas y que por tanto incluyeron la elaboración de sondeo o estudio de mercado y los recursos necesarios para su trámite.</w:t>
      </w:r>
    </w:p>
    <w:p w14:paraId="48DE52ED" w14:textId="77777777" w:rsidR="00EE3A31" w:rsidRPr="000B61AA" w:rsidRDefault="00EE3A31" w:rsidP="00EE3A31">
      <w:pPr>
        <w:spacing w:line="240" w:lineRule="auto"/>
        <w:contextualSpacing/>
        <w:jc w:val="both"/>
        <w:rPr>
          <w:rFonts w:ascii="Arial" w:hAnsi="Arial" w:cs="Arial"/>
          <w:sz w:val="24"/>
          <w:szCs w:val="24"/>
        </w:rPr>
      </w:pPr>
    </w:p>
    <w:p w14:paraId="15599F33" w14:textId="77777777" w:rsidR="00AD3C56" w:rsidRPr="000B61AA" w:rsidRDefault="00AD3C56" w:rsidP="00AD3C56">
      <w:pPr>
        <w:numPr>
          <w:ilvl w:val="0"/>
          <w:numId w:val="16"/>
        </w:numPr>
        <w:spacing w:line="360" w:lineRule="auto"/>
        <w:ind w:left="426" w:hanging="284"/>
        <w:jc w:val="both"/>
        <w:rPr>
          <w:rFonts w:ascii="Arial" w:hAnsi="Arial" w:cs="Arial"/>
          <w:b/>
          <w:sz w:val="24"/>
          <w:szCs w:val="24"/>
        </w:rPr>
      </w:pPr>
      <w:r w:rsidRPr="000B61AA">
        <w:rPr>
          <w:rFonts w:ascii="Arial" w:hAnsi="Arial" w:cs="Arial"/>
          <w:b/>
          <w:sz w:val="24"/>
          <w:szCs w:val="24"/>
        </w:rPr>
        <w:t xml:space="preserve">EFICACIA EN LA ATENCIÓN DE </w:t>
      </w:r>
      <w:r w:rsidR="00301399" w:rsidRPr="000B61AA">
        <w:rPr>
          <w:rFonts w:ascii="Arial" w:hAnsi="Arial" w:cs="Arial"/>
          <w:b/>
          <w:sz w:val="24"/>
          <w:szCs w:val="24"/>
        </w:rPr>
        <w:t>LAS DECISIONES INICIALES</w:t>
      </w:r>
    </w:p>
    <w:p w14:paraId="06783912" w14:textId="465A90E9" w:rsidR="00A70763" w:rsidRPr="000B61AA" w:rsidRDefault="00A70763" w:rsidP="00AD3C56">
      <w:pPr>
        <w:spacing w:line="360" w:lineRule="auto"/>
        <w:contextualSpacing/>
        <w:jc w:val="both"/>
        <w:rPr>
          <w:rFonts w:ascii="Arial" w:hAnsi="Arial" w:cs="Arial"/>
          <w:sz w:val="24"/>
          <w:szCs w:val="24"/>
        </w:rPr>
      </w:pPr>
      <w:r w:rsidRPr="000B61AA">
        <w:rPr>
          <w:rFonts w:ascii="Arial" w:hAnsi="Arial" w:cs="Arial"/>
          <w:sz w:val="24"/>
          <w:szCs w:val="24"/>
        </w:rPr>
        <w:t>En el año 202</w:t>
      </w:r>
      <w:r w:rsidR="005532E0">
        <w:rPr>
          <w:rFonts w:ascii="Arial" w:hAnsi="Arial" w:cs="Arial"/>
          <w:sz w:val="24"/>
          <w:szCs w:val="24"/>
        </w:rPr>
        <w:t>5</w:t>
      </w:r>
      <w:r w:rsidRPr="000B61AA">
        <w:rPr>
          <w:rFonts w:ascii="Arial" w:hAnsi="Arial" w:cs="Arial"/>
          <w:sz w:val="24"/>
          <w:szCs w:val="24"/>
        </w:rPr>
        <w:t xml:space="preserve"> se recibieron para trámite </w:t>
      </w:r>
      <w:r w:rsidR="00C47E2B">
        <w:rPr>
          <w:rFonts w:ascii="Arial" w:hAnsi="Arial" w:cs="Arial"/>
          <w:sz w:val="24"/>
          <w:szCs w:val="24"/>
        </w:rPr>
        <w:t>2</w:t>
      </w:r>
      <w:r w:rsidR="006705E0">
        <w:rPr>
          <w:rFonts w:ascii="Arial" w:hAnsi="Arial" w:cs="Arial"/>
          <w:sz w:val="24"/>
          <w:szCs w:val="24"/>
        </w:rPr>
        <w:t>52</w:t>
      </w:r>
      <w:r w:rsidRPr="000B61AA">
        <w:rPr>
          <w:rFonts w:ascii="Arial" w:hAnsi="Arial" w:cs="Arial"/>
          <w:sz w:val="24"/>
          <w:szCs w:val="24"/>
        </w:rPr>
        <w:t xml:space="preserve"> Decisiones Iniciales</w:t>
      </w:r>
      <w:r w:rsidR="005E4A8C">
        <w:rPr>
          <w:rFonts w:ascii="Arial" w:hAnsi="Arial" w:cs="Arial"/>
          <w:sz w:val="24"/>
          <w:szCs w:val="24"/>
        </w:rPr>
        <w:t>. De éstas</w:t>
      </w:r>
      <w:r w:rsidR="00F54325">
        <w:rPr>
          <w:rFonts w:ascii="Arial" w:hAnsi="Arial" w:cs="Arial"/>
          <w:sz w:val="24"/>
          <w:szCs w:val="24"/>
        </w:rPr>
        <w:t>,</w:t>
      </w:r>
      <w:r w:rsidRPr="000B61AA">
        <w:rPr>
          <w:rFonts w:ascii="Arial" w:hAnsi="Arial" w:cs="Arial"/>
          <w:sz w:val="24"/>
          <w:szCs w:val="24"/>
        </w:rPr>
        <w:t xml:space="preserve"> </w:t>
      </w:r>
      <w:r w:rsidR="0034314A">
        <w:rPr>
          <w:rFonts w:ascii="Arial" w:hAnsi="Arial" w:cs="Arial"/>
          <w:sz w:val="24"/>
          <w:szCs w:val="24"/>
        </w:rPr>
        <w:t>4</w:t>
      </w:r>
      <w:r w:rsidR="008A38A0" w:rsidRPr="000B61AA">
        <w:rPr>
          <w:rFonts w:ascii="Arial" w:hAnsi="Arial" w:cs="Arial"/>
          <w:sz w:val="24"/>
          <w:szCs w:val="24"/>
        </w:rPr>
        <w:t xml:space="preserve"> </w:t>
      </w:r>
      <w:r w:rsidRPr="000B61AA">
        <w:rPr>
          <w:rFonts w:ascii="Arial" w:hAnsi="Arial" w:cs="Arial"/>
          <w:sz w:val="24"/>
          <w:szCs w:val="24"/>
        </w:rPr>
        <w:t xml:space="preserve">se dejaron sin efecto por parte de las </w:t>
      </w:r>
      <w:r w:rsidR="008A38A0" w:rsidRPr="000B61AA">
        <w:rPr>
          <w:rFonts w:ascii="Arial" w:hAnsi="Arial" w:cs="Arial"/>
          <w:sz w:val="24"/>
          <w:szCs w:val="24"/>
        </w:rPr>
        <w:t>unidades usuarias o por no</w:t>
      </w:r>
      <w:r w:rsidRPr="000B61AA">
        <w:rPr>
          <w:rFonts w:ascii="Arial" w:hAnsi="Arial" w:cs="Arial"/>
          <w:sz w:val="24"/>
          <w:szCs w:val="24"/>
        </w:rPr>
        <w:t xml:space="preserve"> cumplir con los requisitos necesarios para su aprobación)</w:t>
      </w:r>
      <w:r w:rsidR="00F54325">
        <w:rPr>
          <w:rFonts w:ascii="Arial" w:hAnsi="Arial" w:cs="Arial"/>
          <w:sz w:val="24"/>
          <w:szCs w:val="24"/>
        </w:rPr>
        <w:t>, por lo cual no se toman en cuenta.</w:t>
      </w:r>
    </w:p>
    <w:p w14:paraId="4D3229DA" w14:textId="77777777" w:rsidR="005C0E93" w:rsidRPr="000B61AA" w:rsidRDefault="005C0E93" w:rsidP="00AD3C56">
      <w:pPr>
        <w:spacing w:line="360" w:lineRule="auto"/>
        <w:contextualSpacing/>
        <w:jc w:val="both"/>
        <w:rPr>
          <w:rFonts w:ascii="Arial" w:hAnsi="Arial" w:cs="Arial"/>
          <w:sz w:val="24"/>
          <w:szCs w:val="24"/>
        </w:rPr>
      </w:pPr>
    </w:p>
    <w:p w14:paraId="187C6085" w14:textId="3E9247F3" w:rsidR="00A70763" w:rsidRPr="000B61AA" w:rsidRDefault="00A70763" w:rsidP="00A70763">
      <w:pPr>
        <w:spacing w:line="360" w:lineRule="auto"/>
        <w:contextualSpacing/>
        <w:jc w:val="both"/>
        <w:rPr>
          <w:rFonts w:ascii="Arial" w:hAnsi="Arial" w:cs="Arial"/>
          <w:sz w:val="24"/>
          <w:szCs w:val="24"/>
        </w:rPr>
      </w:pPr>
      <w:r w:rsidRPr="000B61AA">
        <w:rPr>
          <w:rFonts w:ascii="Arial" w:hAnsi="Arial" w:cs="Arial"/>
          <w:sz w:val="24"/>
          <w:szCs w:val="24"/>
        </w:rPr>
        <w:lastRenderedPageBreak/>
        <w:t>En el siguiente gráfico puede apreciarse la tendencia en la recepción de las Decisiones Iniciales</w:t>
      </w:r>
      <w:r w:rsidR="00703A96" w:rsidRPr="000B61AA">
        <w:rPr>
          <w:rFonts w:ascii="Arial" w:hAnsi="Arial" w:cs="Arial"/>
          <w:sz w:val="24"/>
          <w:szCs w:val="24"/>
        </w:rPr>
        <w:t xml:space="preserve"> </w:t>
      </w:r>
      <w:r w:rsidR="00836E98">
        <w:rPr>
          <w:rFonts w:ascii="Arial" w:hAnsi="Arial" w:cs="Arial"/>
          <w:sz w:val="24"/>
          <w:szCs w:val="24"/>
        </w:rPr>
        <w:t>desde el año 2014 hasta el 2025.</w:t>
      </w:r>
    </w:p>
    <w:p w14:paraId="768F9D5D" w14:textId="77777777" w:rsidR="00A70763" w:rsidRPr="000B61AA" w:rsidRDefault="00A70763" w:rsidP="00AD3C56">
      <w:pPr>
        <w:spacing w:line="360" w:lineRule="auto"/>
        <w:contextualSpacing/>
        <w:jc w:val="both"/>
        <w:rPr>
          <w:rFonts w:ascii="Arial" w:hAnsi="Arial" w:cs="Arial"/>
          <w:sz w:val="24"/>
          <w:szCs w:val="24"/>
        </w:rPr>
      </w:pPr>
    </w:p>
    <w:p w14:paraId="7E94EAD3" w14:textId="1FC1D45C" w:rsidR="008A09E2" w:rsidRPr="000B61AA" w:rsidRDefault="007B4126" w:rsidP="003F0F00">
      <w:pPr>
        <w:spacing w:line="360" w:lineRule="auto"/>
        <w:contextualSpacing/>
        <w:jc w:val="center"/>
        <w:rPr>
          <w:rFonts w:ascii="Arial" w:hAnsi="Arial" w:cs="Arial"/>
          <w:sz w:val="24"/>
          <w:szCs w:val="24"/>
        </w:rPr>
      </w:pPr>
      <w:r>
        <w:rPr>
          <w:noProof/>
          <w14:ligatures w14:val="standardContextual"/>
        </w:rPr>
        <w:drawing>
          <wp:inline distT="0" distB="0" distL="0" distR="0" wp14:anchorId="69FC85D7" wp14:editId="17A780B2">
            <wp:extent cx="4572000" cy="2743200"/>
            <wp:effectExtent l="0" t="0" r="0" b="0"/>
            <wp:docPr id="1758143706" name="Gráfico 1">
              <a:extLst xmlns:a="http://schemas.openxmlformats.org/drawingml/2006/main">
                <a:ext uri="{FF2B5EF4-FFF2-40B4-BE49-F238E27FC236}">
                  <a16:creationId xmlns:a16="http://schemas.microsoft.com/office/drawing/2014/main" id="{C9185C4D-76CB-AC09-FBE9-ED140D2E29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AA62E2" w14:textId="6DA3E9DD" w:rsidR="00DB74AE" w:rsidRDefault="00DB74AE" w:rsidP="008722E3">
      <w:pPr>
        <w:spacing w:line="360" w:lineRule="auto"/>
        <w:contextualSpacing/>
        <w:jc w:val="both"/>
        <w:rPr>
          <w:rFonts w:ascii="Arial" w:hAnsi="Arial" w:cs="Arial"/>
          <w:sz w:val="24"/>
          <w:szCs w:val="24"/>
        </w:rPr>
      </w:pPr>
    </w:p>
    <w:p w14:paraId="006B6701" w14:textId="04DAC24F" w:rsidR="008722E3" w:rsidRPr="000B61AA" w:rsidRDefault="008722E3" w:rsidP="008722E3">
      <w:pPr>
        <w:spacing w:line="360" w:lineRule="auto"/>
        <w:contextualSpacing/>
        <w:jc w:val="both"/>
        <w:rPr>
          <w:rFonts w:ascii="Arial" w:hAnsi="Arial" w:cs="Arial"/>
          <w:sz w:val="24"/>
          <w:szCs w:val="24"/>
        </w:rPr>
      </w:pPr>
      <w:r w:rsidRPr="000B61AA">
        <w:rPr>
          <w:rFonts w:ascii="Arial" w:hAnsi="Arial" w:cs="Arial"/>
          <w:sz w:val="24"/>
          <w:szCs w:val="24"/>
        </w:rPr>
        <w:t>Al finalizar el periodo 202</w:t>
      </w:r>
      <w:r w:rsidR="00DB74AE">
        <w:rPr>
          <w:rFonts w:ascii="Arial" w:hAnsi="Arial" w:cs="Arial"/>
          <w:sz w:val="24"/>
          <w:szCs w:val="24"/>
        </w:rPr>
        <w:t>5</w:t>
      </w:r>
      <w:r w:rsidRPr="000B61AA">
        <w:rPr>
          <w:rFonts w:ascii="Arial" w:hAnsi="Arial" w:cs="Arial"/>
          <w:sz w:val="24"/>
          <w:szCs w:val="24"/>
        </w:rPr>
        <w:t xml:space="preserve"> se obtuvo los siguientes resultados en el trámite de las Decisiones Iniciales:</w:t>
      </w:r>
    </w:p>
    <w:p w14:paraId="335B3DDF" w14:textId="77777777" w:rsidR="008722E3" w:rsidRPr="000B61AA" w:rsidRDefault="008722E3" w:rsidP="008722E3">
      <w:pPr>
        <w:spacing w:line="360" w:lineRule="auto"/>
        <w:contextualSpacing/>
        <w:jc w:val="both"/>
        <w:rPr>
          <w:rFonts w:ascii="Arial" w:hAnsi="Arial" w:cs="Arial"/>
          <w:sz w:val="24"/>
          <w:szCs w:val="24"/>
        </w:rPr>
      </w:pPr>
    </w:p>
    <w:tbl>
      <w:tblPr>
        <w:tblW w:w="5003" w:type="dxa"/>
        <w:jc w:val="center"/>
        <w:tblCellMar>
          <w:left w:w="70" w:type="dxa"/>
          <w:right w:w="70" w:type="dxa"/>
        </w:tblCellMar>
        <w:tblLook w:val="04A0" w:firstRow="1" w:lastRow="0" w:firstColumn="1" w:lastColumn="0" w:noHBand="0" w:noVBand="1"/>
      </w:tblPr>
      <w:tblGrid>
        <w:gridCol w:w="3539"/>
        <w:gridCol w:w="634"/>
        <w:gridCol w:w="830"/>
      </w:tblGrid>
      <w:tr w:rsidR="003C2171" w:rsidRPr="003C2171" w14:paraId="74E8F521" w14:textId="77777777" w:rsidTr="00EE3A31">
        <w:trPr>
          <w:trHeight w:val="263"/>
          <w:jc w:val="center"/>
        </w:trPr>
        <w:tc>
          <w:tcPr>
            <w:tcW w:w="3539"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282E3A6D" w14:textId="77777777" w:rsidR="003C2171" w:rsidRPr="003C2171" w:rsidRDefault="003C2171" w:rsidP="003C2171">
            <w:pPr>
              <w:spacing w:after="0" w:line="240" w:lineRule="auto"/>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DECISIONES INICIALES AÑO 2025</w:t>
            </w:r>
          </w:p>
        </w:tc>
        <w:tc>
          <w:tcPr>
            <w:tcW w:w="634" w:type="dxa"/>
            <w:tcBorders>
              <w:top w:val="single" w:sz="4" w:space="0" w:color="auto"/>
              <w:left w:val="nil"/>
              <w:bottom w:val="single" w:sz="4" w:space="0" w:color="auto"/>
              <w:right w:val="single" w:sz="4" w:space="0" w:color="auto"/>
            </w:tcBorders>
            <w:shd w:val="clear" w:color="000000" w:fill="FCD5B4"/>
            <w:noWrap/>
            <w:vAlign w:val="bottom"/>
            <w:hideMark/>
          </w:tcPr>
          <w:p w14:paraId="108432D4"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CANT</w:t>
            </w:r>
          </w:p>
        </w:tc>
        <w:tc>
          <w:tcPr>
            <w:tcW w:w="830" w:type="dxa"/>
            <w:tcBorders>
              <w:top w:val="single" w:sz="4" w:space="0" w:color="auto"/>
              <w:left w:val="nil"/>
              <w:bottom w:val="single" w:sz="4" w:space="0" w:color="auto"/>
              <w:right w:val="single" w:sz="4" w:space="0" w:color="auto"/>
            </w:tcBorders>
            <w:shd w:val="clear" w:color="000000" w:fill="FCD5B4"/>
            <w:noWrap/>
            <w:vAlign w:val="bottom"/>
            <w:hideMark/>
          </w:tcPr>
          <w:p w14:paraId="3A9EB094"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w:t>
            </w:r>
          </w:p>
        </w:tc>
      </w:tr>
      <w:tr w:rsidR="003C2171" w:rsidRPr="003C2171" w14:paraId="2A9077F5" w14:textId="77777777" w:rsidTr="00EE3A31">
        <w:trPr>
          <w:trHeight w:val="263"/>
          <w:jc w:val="center"/>
        </w:trPr>
        <w:tc>
          <w:tcPr>
            <w:tcW w:w="3539" w:type="dxa"/>
            <w:tcBorders>
              <w:top w:val="nil"/>
              <w:left w:val="single" w:sz="4" w:space="0" w:color="auto"/>
              <w:bottom w:val="single" w:sz="4" w:space="0" w:color="auto"/>
              <w:right w:val="single" w:sz="4" w:space="0" w:color="auto"/>
            </w:tcBorders>
            <w:noWrap/>
            <w:vAlign w:val="bottom"/>
            <w:hideMark/>
          </w:tcPr>
          <w:p w14:paraId="2810EB40" w14:textId="77777777" w:rsidR="003C2171" w:rsidRPr="003C2171" w:rsidRDefault="003C2171" w:rsidP="003C2171">
            <w:pPr>
              <w:spacing w:after="0" w:line="240" w:lineRule="auto"/>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EJECUTADO PAGADO</w:t>
            </w:r>
          </w:p>
        </w:tc>
        <w:tc>
          <w:tcPr>
            <w:tcW w:w="634" w:type="dxa"/>
            <w:tcBorders>
              <w:top w:val="nil"/>
              <w:left w:val="nil"/>
              <w:bottom w:val="single" w:sz="4" w:space="0" w:color="auto"/>
              <w:right w:val="single" w:sz="4" w:space="0" w:color="auto"/>
            </w:tcBorders>
            <w:noWrap/>
            <w:vAlign w:val="bottom"/>
            <w:hideMark/>
          </w:tcPr>
          <w:p w14:paraId="2C1DBE42"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144</w:t>
            </w:r>
          </w:p>
        </w:tc>
        <w:tc>
          <w:tcPr>
            <w:tcW w:w="830" w:type="dxa"/>
            <w:tcBorders>
              <w:top w:val="nil"/>
              <w:left w:val="nil"/>
              <w:bottom w:val="single" w:sz="4" w:space="0" w:color="auto"/>
              <w:right w:val="single" w:sz="4" w:space="0" w:color="auto"/>
            </w:tcBorders>
            <w:noWrap/>
            <w:vAlign w:val="bottom"/>
            <w:hideMark/>
          </w:tcPr>
          <w:p w14:paraId="0C18B2CF"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58%</w:t>
            </w:r>
          </w:p>
        </w:tc>
      </w:tr>
      <w:tr w:rsidR="003C2171" w:rsidRPr="003C2171" w14:paraId="367765BB" w14:textId="77777777" w:rsidTr="00EE3A31">
        <w:trPr>
          <w:trHeight w:val="263"/>
          <w:jc w:val="center"/>
        </w:trPr>
        <w:tc>
          <w:tcPr>
            <w:tcW w:w="3539" w:type="dxa"/>
            <w:tcBorders>
              <w:top w:val="nil"/>
              <w:left w:val="single" w:sz="4" w:space="0" w:color="auto"/>
              <w:bottom w:val="single" w:sz="4" w:space="0" w:color="auto"/>
              <w:right w:val="single" w:sz="4" w:space="0" w:color="auto"/>
            </w:tcBorders>
            <w:noWrap/>
            <w:vAlign w:val="bottom"/>
            <w:hideMark/>
          </w:tcPr>
          <w:p w14:paraId="0356B3CC" w14:textId="77777777" w:rsidR="003C2171" w:rsidRPr="003C2171" w:rsidRDefault="003C2171" w:rsidP="003C2171">
            <w:pPr>
              <w:spacing w:after="0" w:line="240" w:lineRule="auto"/>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EJECUTADO</w:t>
            </w:r>
          </w:p>
        </w:tc>
        <w:tc>
          <w:tcPr>
            <w:tcW w:w="634" w:type="dxa"/>
            <w:tcBorders>
              <w:top w:val="nil"/>
              <w:left w:val="nil"/>
              <w:bottom w:val="single" w:sz="4" w:space="0" w:color="auto"/>
              <w:right w:val="single" w:sz="4" w:space="0" w:color="auto"/>
            </w:tcBorders>
            <w:noWrap/>
            <w:vAlign w:val="bottom"/>
            <w:hideMark/>
          </w:tcPr>
          <w:p w14:paraId="303C38A8"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1</w:t>
            </w:r>
          </w:p>
        </w:tc>
        <w:tc>
          <w:tcPr>
            <w:tcW w:w="830" w:type="dxa"/>
            <w:tcBorders>
              <w:top w:val="nil"/>
              <w:left w:val="nil"/>
              <w:bottom w:val="single" w:sz="4" w:space="0" w:color="auto"/>
              <w:right w:val="single" w:sz="4" w:space="0" w:color="auto"/>
            </w:tcBorders>
            <w:noWrap/>
            <w:vAlign w:val="bottom"/>
            <w:hideMark/>
          </w:tcPr>
          <w:p w14:paraId="11564A91"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0%</w:t>
            </w:r>
          </w:p>
        </w:tc>
      </w:tr>
      <w:tr w:rsidR="003C2171" w:rsidRPr="003C2171" w14:paraId="4E4EB9CF" w14:textId="77777777" w:rsidTr="00EE3A31">
        <w:trPr>
          <w:trHeight w:val="263"/>
          <w:jc w:val="center"/>
        </w:trPr>
        <w:tc>
          <w:tcPr>
            <w:tcW w:w="3539" w:type="dxa"/>
            <w:tcBorders>
              <w:top w:val="nil"/>
              <w:left w:val="single" w:sz="4" w:space="0" w:color="auto"/>
              <w:bottom w:val="single" w:sz="4" w:space="0" w:color="auto"/>
              <w:right w:val="single" w:sz="4" w:space="0" w:color="auto"/>
            </w:tcBorders>
            <w:noWrap/>
            <w:vAlign w:val="bottom"/>
            <w:hideMark/>
          </w:tcPr>
          <w:p w14:paraId="1D869499" w14:textId="77777777" w:rsidR="003C2171" w:rsidRPr="003C2171" w:rsidRDefault="003C2171" w:rsidP="003C2171">
            <w:pPr>
              <w:spacing w:after="0" w:line="240" w:lineRule="auto"/>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ADJUDICADA</w:t>
            </w:r>
          </w:p>
        </w:tc>
        <w:tc>
          <w:tcPr>
            <w:tcW w:w="634" w:type="dxa"/>
            <w:tcBorders>
              <w:top w:val="nil"/>
              <w:left w:val="nil"/>
              <w:bottom w:val="single" w:sz="4" w:space="0" w:color="auto"/>
              <w:right w:val="single" w:sz="4" w:space="0" w:color="auto"/>
            </w:tcBorders>
            <w:noWrap/>
            <w:vAlign w:val="bottom"/>
            <w:hideMark/>
          </w:tcPr>
          <w:p w14:paraId="4EFF6701"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1</w:t>
            </w:r>
          </w:p>
        </w:tc>
        <w:tc>
          <w:tcPr>
            <w:tcW w:w="830" w:type="dxa"/>
            <w:tcBorders>
              <w:top w:val="nil"/>
              <w:left w:val="nil"/>
              <w:bottom w:val="single" w:sz="4" w:space="0" w:color="auto"/>
              <w:right w:val="single" w:sz="4" w:space="0" w:color="auto"/>
            </w:tcBorders>
            <w:noWrap/>
            <w:vAlign w:val="bottom"/>
            <w:hideMark/>
          </w:tcPr>
          <w:p w14:paraId="371F7EC2"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0%</w:t>
            </w:r>
          </w:p>
        </w:tc>
      </w:tr>
      <w:tr w:rsidR="003C2171" w:rsidRPr="003C2171" w14:paraId="59C69ABA" w14:textId="77777777" w:rsidTr="00EE3A31">
        <w:trPr>
          <w:trHeight w:val="263"/>
          <w:jc w:val="center"/>
        </w:trPr>
        <w:tc>
          <w:tcPr>
            <w:tcW w:w="3539" w:type="dxa"/>
            <w:tcBorders>
              <w:top w:val="nil"/>
              <w:left w:val="single" w:sz="4" w:space="0" w:color="auto"/>
              <w:bottom w:val="single" w:sz="4" w:space="0" w:color="auto"/>
              <w:right w:val="single" w:sz="4" w:space="0" w:color="auto"/>
            </w:tcBorders>
            <w:noWrap/>
            <w:vAlign w:val="bottom"/>
            <w:hideMark/>
          </w:tcPr>
          <w:p w14:paraId="3D3B122A" w14:textId="77777777" w:rsidR="003C2171" w:rsidRPr="003C2171" w:rsidRDefault="003C2171" w:rsidP="003C2171">
            <w:pPr>
              <w:spacing w:after="0" w:line="240" w:lineRule="auto"/>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 xml:space="preserve">EN EJECUCIÓN </w:t>
            </w:r>
          </w:p>
        </w:tc>
        <w:tc>
          <w:tcPr>
            <w:tcW w:w="634" w:type="dxa"/>
            <w:tcBorders>
              <w:top w:val="nil"/>
              <w:left w:val="nil"/>
              <w:bottom w:val="single" w:sz="4" w:space="0" w:color="auto"/>
              <w:right w:val="single" w:sz="4" w:space="0" w:color="auto"/>
            </w:tcBorders>
            <w:noWrap/>
            <w:vAlign w:val="bottom"/>
            <w:hideMark/>
          </w:tcPr>
          <w:p w14:paraId="1E34B88A"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3</w:t>
            </w:r>
          </w:p>
        </w:tc>
        <w:tc>
          <w:tcPr>
            <w:tcW w:w="830" w:type="dxa"/>
            <w:tcBorders>
              <w:top w:val="nil"/>
              <w:left w:val="nil"/>
              <w:bottom w:val="single" w:sz="4" w:space="0" w:color="auto"/>
              <w:right w:val="single" w:sz="4" w:space="0" w:color="auto"/>
            </w:tcBorders>
            <w:noWrap/>
            <w:vAlign w:val="bottom"/>
            <w:hideMark/>
          </w:tcPr>
          <w:p w14:paraId="67985375"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1%</w:t>
            </w:r>
          </w:p>
        </w:tc>
      </w:tr>
      <w:tr w:rsidR="003C2171" w:rsidRPr="003C2171" w14:paraId="65700526" w14:textId="77777777" w:rsidTr="00EE3A31">
        <w:trPr>
          <w:trHeight w:val="263"/>
          <w:jc w:val="center"/>
        </w:trPr>
        <w:tc>
          <w:tcPr>
            <w:tcW w:w="3539" w:type="dxa"/>
            <w:tcBorders>
              <w:top w:val="nil"/>
              <w:left w:val="single" w:sz="4" w:space="0" w:color="auto"/>
              <w:bottom w:val="single" w:sz="4" w:space="0" w:color="auto"/>
              <w:right w:val="single" w:sz="4" w:space="0" w:color="auto"/>
            </w:tcBorders>
            <w:noWrap/>
            <w:vAlign w:val="bottom"/>
            <w:hideMark/>
          </w:tcPr>
          <w:p w14:paraId="332AA8A3" w14:textId="77777777" w:rsidR="003C2171" w:rsidRPr="003C2171" w:rsidRDefault="003C2171" w:rsidP="003C2171">
            <w:pPr>
              <w:spacing w:after="0" w:line="240" w:lineRule="auto"/>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EN EJECUCION SERVICIO CONTINUO</w:t>
            </w:r>
          </w:p>
        </w:tc>
        <w:tc>
          <w:tcPr>
            <w:tcW w:w="634" w:type="dxa"/>
            <w:tcBorders>
              <w:top w:val="nil"/>
              <w:left w:val="nil"/>
              <w:bottom w:val="single" w:sz="4" w:space="0" w:color="auto"/>
              <w:right w:val="single" w:sz="4" w:space="0" w:color="auto"/>
            </w:tcBorders>
            <w:noWrap/>
            <w:vAlign w:val="bottom"/>
            <w:hideMark/>
          </w:tcPr>
          <w:p w14:paraId="0694519B"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22</w:t>
            </w:r>
          </w:p>
        </w:tc>
        <w:tc>
          <w:tcPr>
            <w:tcW w:w="830" w:type="dxa"/>
            <w:tcBorders>
              <w:top w:val="nil"/>
              <w:left w:val="nil"/>
              <w:bottom w:val="single" w:sz="4" w:space="0" w:color="auto"/>
              <w:right w:val="single" w:sz="4" w:space="0" w:color="auto"/>
            </w:tcBorders>
            <w:noWrap/>
            <w:vAlign w:val="bottom"/>
            <w:hideMark/>
          </w:tcPr>
          <w:p w14:paraId="030B595D"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9%</w:t>
            </w:r>
          </w:p>
        </w:tc>
      </w:tr>
      <w:tr w:rsidR="003C2171" w:rsidRPr="003C2171" w14:paraId="2202A24D" w14:textId="77777777" w:rsidTr="00EE3A31">
        <w:trPr>
          <w:trHeight w:val="263"/>
          <w:jc w:val="center"/>
        </w:trPr>
        <w:tc>
          <w:tcPr>
            <w:tcW w:w="3539" w:type="dxa"/>
            <w:tcBorders>
              <w:top w:val="nil"/>
              <w:left w:val="single" w:sz="4" w:space="0" w:color="auto"/>
              <w:bottom w:val="single" w:sz="4" w:space="0" w:color="auto"/>
              <w:right w:val="single" w:sz="4" w:space="0" w:color="auto"/>
            </w:tcBorders>
            <w:noWrap/>
            <w:vAlign w:val="bottom"/>
            <w:hideMark/>
          </w:tcPr>
          <w:p w14:paraId="15825DC6" w14:textId="77777777" w:rsidR="003C2171" w:rsidRPr="003C2171" w:rsidRDefault="003C2171" w:rsidP="003C2171">
            <w:pPr>
              <w:spacing w:after="0" w:line="240" w:lineRule="auto"/>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RENOVACIONES EFECTUADAS</w:t>
            </w:r>
          </w:p>
        </w:tc>
        <w:tc>
          <w:tcPr>
            <w:tcW w:w="634" w:type="dxa"/>
            <w:tcBorders>
              <w:top w:val="nil"/>
              <w:left w:val="nil"/>
              <w:bottom w:val="single" w:sz="4" w:space="0" w:color="auto"/>
              <w:right w:val="single" w:sz="4" w:space="0" w:color="auto"/>
            </w:tcBorders>
            <w:noWrap/>
            <w:vAlign w:val="bottom"/>
            <w:hideMark/>
          </w:tcPr>
          <w:p w14:paraId="45542CAD"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55</w:t>
            </w:r>
          </w:p>
        </w:tc>
        <w:tc>
          <w:tcPr>
            <w:tcW w:w="830" w:type="dxa"/>
            <w:tcBorders>
              <w:top w:val="nil"/>
              <w:left w:val="nil"/>
              <w:bottom w:val="single" w:sz="4" w:space="0" w:color="auto"/>
              <w:right w:val="single" w:sz="4" w:space="0" w:color="auto"/>
            </w:tcBorders>
            <w:noWrap/>
            <w:vAlign w:val="bottom"/>
            <w:hideMark/>
          </w:tcPr>
          <w:p w14:paraId="4942C815"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22%</w:t>
            </w:r>
          </w:p>
        </w:tc>
      </w:tr>
      <w:tr w:rsidR="003C2171" w:rsidRPr="003C2171" w14:paraId="17864335" w14:textId="77777777" w:rsidTr="00EE3A31">
        <w:trPr>
          <w:trHeight w:val="263"/>
          <w:jc w:val="center"/>
        </w:trPr>
        <w:tc>
          <w:tcPr>
            <w:tcW w:w="3539" w:type="dxa"/>
            <w:tcBorders>
              <w:top w:val="nil"/>
              <w:left w:val="single" w:sz="4" w:space="0" w:color="auto"/>
              <w:bottom w:val="single" w:sz="4" w:space="0" w:color="auto"/>
              <w:right w:val="single" w:sz="4" w:space="0" w:color="auto"/>
            </w:tcBorders>
            <w:noWrap/>
            <w:vAlign w:val="bottom"/>
            <w:hideMark/>
          </w:tcPr>
          <w:p w14:paraId="5A192130" w14:textId="77777777" w:rsidR="003C2171" w:rsidRPr="003C2171" w:rsidRDefault="003C2171" w:rsidP="003C2171">
            <w:pPr>
              <w:spacing w:after="0" w:line="240" w:lineRule="auto"/>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EN TRÁMITE</w:t>
            </w:r>
          </w:p>
        </w:tc>
        <w:tc>
          <w:tcPr>
            <w:tcW w:w="634" w:type="dxa"/>
            <w:tcBorders>
              <w:top w:val="nil"/>
              <w:left w:val="nil"/>
              <w:bottom w:val="single" w:sz="4" w:space="0" w:color="auto"/>
              <w:right w:val="single" w:sz="4" w:space="0" w:color="auto"/>
            </w:tcBorders>
            <w:noWrap/>
            <w:vAlign w:val="bottom"/>
            <w:hideMark/>
          </w:tcPr>
          <w:p w14:paraId="111B17A4"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16</w:t>
            </w:r>
          </w:p>
        </w:tc>
        <w:tc>
          <w:tcPr>
            <w:tcW w:w="830" w:type="dxa"/>
            <w:tcBorders>
              <w:top w:val="nil"/>
              <w:left w:val="nil"/>
              <w:bottom w:val="single" w:sz="4" w:space="0" w:color="auto"/>
              <w:right w:val="single" w:sz="4" w:space="0" w:color="auto"/>
            </w:tcBorders>
            <w:noWrap/>
            <w:vAlign w:val="bottom"/>
            <w:hideMark/>
          </w:tcPr>
          <w:p w14:paraId="5766A2F4"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6%</w:t>
            </w:r>
          </w:p>
        </w:tc>
      </w:tr>
      <w:tr w:rsidR="003C2171" w:rsidRPr="003C2171" w14:paraId="3EB166D8" w14:textId="77777777" w:rsidTr="00EE3A31">
        <w:trPr>
          <w:trHeight w:val="263"/>
          <w:jc w:val="center"/>
        </w:trPr>
        <w:tc>
          <w:tcPr>
            <w:tcW w:w="3539" w:type="dxa"/>
            <w:tcBorders>
              <w:top w:val="nil"/>
              <w:left w:val="single" w:sz="4" w:space="0" w:color="auto"/>
              <w:bottom w:val="single" w:sz="4" w:space="0" w:color="auto"/>
              <w:right w:val="single" w:sz="4" w:space="0" w:color="auto"/>
            </w:tcBorders>
            <w:noWrap/>
            <w:vAlign w:val="bottom"/>
            <w:hideMark/>
          </w:tcPr>
          <w:p w14:paraId="14CD168F" w14:textId="77777777" w:rsidR="003C2171" w:rsidRPr="003C2171" w:rsidRDefault="003C2171" w:rsidP="003C2171">
            <w:pPr>
              <w:spacing w:after="0" w:line="240" w:lineRule="auto"/>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INFRUCTUOSAS</w:t>
            </w:r>
          </w:p>
        </w:tc>
        <w:tc>
          <w:tcPr>
            <w:tcW w:w="634" w:type="dxa"/>
            <w:tcBorders>
              <w:top w:val="nil"/>
              <w:left w:val="nil"/>
              <w:bottom w:val="single" w:sz="4" w:space="0" w:color="auto"/>
              <w:right w:val="single" w:sz="4" w:space="0" w:color="auto"/>
            </w:tcBorders>
            <w:noWrap/>
            <w:vAlign w:val="bottom"/>
            <w:hideMark/>
          </w:tcPr>
          <w:p w14:paraId="1AE7184F"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6</w:t>
            </w:r>
          </w:p>
        </w:tc>
        <w:tc>
          <w:tcPr>
            <w:tcW w:w="830" w:type="dxa"/>
            <w:tcBorders>
              <w:top w:val="nil"/>
              <w:left w:val="nil"/>
              <w:bottom w:val="single" w:sz="4" w:space="0" w:color="auto"/>
              <w:right w:val="single" w:sz="4" w:space="0" w:color="auto"/>
            </w:tcBorders>
            <w:noWrap/>
            <w:vAlign w:val="bottom"/>
            <w:hideMark/>
          </w:tcPr>
          <w:p w14:paraId="2E9C568F"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2%</w:t>
            </w:r>
          </w:p>
        </w:tc>
      </w:tr>
      <w:tr w:rsidR="003C2171" w:rsidRPr="003C2171" w14:paraId="18DB5B4B" w14:textId="77777777" w:rsidTr="00EE3A31">
        <w:trPr>
          <w:trHeight w:val="263"/>
          <w:jc w:val="center"/>
        </w:trPr>
        <w:tc>
          <w:tcPr>
            <w:tcW w:w="3539" w:type="dxa"/>
            <w:tcBorders>
              <w:top w:val="nil"/>
              <w:left w:val="single" w:sz="4" w:space="0" w:color="auto"/>
              <w:bottom w:val="single" w:sz="4" w:space="0" w:color="auto"/>
              <w:right w:val="single" w:sz="4" w:space="0" w:color="auto"/>
            </w:tcBorders>
            <w:shd w:val="clear" w:color="000000" w:fill="FCD5B4"/>
            <w:noWrap/>
            <w:vAlign w:val="bottom"/>
            <w:hideMark/>
          </w:tcPr>
          <w:p w14:paraId="36C33D78" w14:textId="77777777" w:rsidR="003C2171" w:rsidRPr="003C2171" w:rsidRDefault="003C2171" w:rsidP="003C2171">
            <w:pPr>
              <w:spacing w:after="0" w:line="240" w:lineRule="auto"/>
              <w:jc w:val="right"/>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TOTALES</w:t>
            </w:r>
          </w:p>
        </w:tc>
        <w:tc>
          <w:tcPr>
            <w:tcW w:w="634" w:type="dxa"/>
            <w:tcBorders>
              <w:top w:val="nil"/>
              <w:left w:val="nil"/>
              <w:bottom w:val="single" w:sz="4" w:space="0" w:color="auto"/>
              <w:right w:val="single" w:sz="4" w:space="0" w:color="auto"/>
            </w:tcBorders>
            <w:shd w:val="clear" w:color="000000" w:fill="FCD5B4"/>
            <w:noWrap/>
            <w:vAlign w:val="bottom"/>
            <w:hideMark/>
          </w:tcPr>
          <w:p w14:paraId="7B19E5A1"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248</w:t>
            </w:r>
          </w:p>
        </w:tc>
        <w:tc>
          <w:tcPr>
            <w:tcW w:w="830" w:type="dxa"/>
            <w:tcBorders>
              <w:top w:val="nil"/>
              <w:left w:val="nil"/>
              <w:bottom w:val="single" w:sz="4" w:space="0" w:color="auto"/>
              <w:right w:val="single" w:sz="4" w:space="0" w:color="auto"/>
            </w:tcBorders>
            <w:shd w:val="clear" w:color="000000" w:fill="FCD5B4"/>
            <w:noWrap/>
            <w:vAlign w:val="bottom"/>
            <w:hideMark/>
          </w:tcPr>
          <w:p w14:paraId="2B8B44CE" w14:textId="77777777" w:rsidR="003C2171" w:rsidRPr="003C2171" w:rsidRDefault="003C2171" w:rsidP="003C2171">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100%</w:t>
            </w:r>
          </w:p>
        </w:tc>
      </w:tr>
    </w:tbl>
    <w:p w14:paraId="54631F08" w14:textId="77777777" w:rsidR="00483FA0" w:rsidRDefault="00483FA0" w:rsidP="008722E3">
      <w:pPr>
        <w:spacing w:line="360" w:lineRule="auto"/>
        <w:contextualSpacing/>
        <w:jc w:val="both"/>
        <w:rPr>
          <w:rFonts w:ascii="Arial" w:hAnsi="Arial" w:cs="Arial"/>
          <w:sz w:val="24"/>
          <w:szCs w:val="24"/>
        </w:rPr>
      </w:pPr>
    </w:p>
    <w:p w14:paraId="66BAD30D" w14:textId="77777777" w:rsidR="00EA47DA" w:rsidRDefault="00EA47DA" w:rsidP="008722E3">
      <w:pPr>
        <w:spacing w:line="360" w:lineRule="auto"/>
        <w:contextualSpacing/>
        <w:jc w:val="both"/>
        <w:rPr>
          <w:rFonts w:ascii="Arial" w:hAnsi="Arial" w:cs="Arial"/>
          <w:sz w:val="24"/>
          <w:szCs w:val="24"/>
        </w:rPr>
      </w:pPr>
    </w:p>
    <w:p w14:paraId="7538FF54" w14:textId="7648ED0C" w:rsidR="00222B16" w:rsidRPr="00EA47DA" w:rsidRDefault="00222B16" w:rsidP="008722E3">
      <w:pPr>
        <w:spacing w:line="360" w:lineRule="auto"/>
        <w:contextualSpacing/>
        <w:jc w:val="both"/>
        <w:rPr>
          <w:rFonts w:ascii="Arial" w:hAnsi="Arial" w:cs="Arial"/>
          <w:sz w:val="24"/>
          <w:szCs w:val="24"/>
        </w:rPr>
      </w:pPr>
      <w:r w:rsidRPr="00EA47DA">
        <w:rPr>
          <w:rFonts w:ascii="Arial" w:hAnsi="Arial" w:cs="Arial"/>
          <w:sz w:val="24"/>
          <w:szCs w:val="24"/>
        </w:rPr>
        <w:lastRenderedPageBreak/>
        <w:t>Sobre los datos del cuadro anterior se tiene lo siguiente:</w:t>
      </w:r>
    </w:p>
    <w:p w14:paraId="2A8DEFF2" w14:textId="79E2344A" w:rsidR="00EA47DA" w:rsidRDefault="000355E3" w:rsidP="003068DA">
      <w:pPr>
        <w:pStyle w:val="Prrafodelista"/>
        <w:numPr>
          <w:ilvl w:val="0"/>
          <w:numId w:val="25"/>
        </w:numPr>
        <w:spacing w:line="360" w:lineRule="auto"/>
        <w:jc w:val="both"/>
        <w:rPr>
          <w:rFonts w:ascii="Arial" w:hAnsi="Arial" w:cs="Arial"/>
        </w:rPr>
      </w:pPr>
      <w:r w:rsidRPr="00EA47DA">
        <w:rPr>
          <w:rFonts w:ascii="Arial" w:hAnsi="Arial" w:cs="Arial"/>
        </w:rPr>
        <w:t>Todas las Decisiones Iniciales recibidas fueron gestionadas</w:t>
      </w:r>
      <w:r w:rsidR="00F4316D" w:rsidRPr="00EA47DA">
        <w:rPr>
          <w:rFonts w:ascii="Arial" w:hAnsi="Arial" w:cs="Arial"/>
        </w:rPr>
        <w:t xml:space="preserve"> por la Proveeduría Institucional</w:t>
      </w:r>
      <w:r w:rsidR="008A078E" w:rsidRPr="00EA47DA">
        <w:rPr>
          <w:rFonts w:ascii="Arial" w:hAnsi="Arial" w:cs="Arial"/>
        </w:rPr>
        <w:t xml:space="preserve">, es decir un </w:t>
      </w:r>
      <w:r w:rsidR="006C71ED" w:rsidRPr="00EA47DA">
        <w:rPr>
          <w:rFonts w:ascii="Arial" w:hAnsi="Arial" w:cs="Arial"/>
        </w:rPr>
        <w:t>100% fueron recibidas, revisadas, aprobadas e iniciaron su trámite</w:t>
      </w:r>
      <w:r w:rsidR="00141DF0" w:rsidRPr="00EA47DA">
        <w:rPr>
          <w:rFonts w:ascii="Arial" w:hAnsi="Arial" w:cs="Arial"/>
        </w:rPr>
        <w:t xml:space="preserve"> (Ejecutado/Pagado, en ejecución, en ejecución/servicio continuo</w:t>
      </w:r>
      <w:r w:rsidR="00934B82" w:rsidRPr="00EA47DA">
        <w:rPr>
          <w:rFonts w:ascii="Arial" w:hAnsi="Arial" w:cs="Arial"/>
        </w:rPr>
        <w:t>, en adjudicación, renovaciones efectuadas)</w:t>
      </w:r>
      <w:r w:rsidR="00222B16" w:rsidRPr="00EA47DA">
        <w:rPr>
          <w:rFonts w:ascii="Arial" w:hAnsi="Arial" w:cs="Arial"/>
        </w:rPr>
        <w:t>,</w:t>
      </w:r>
      <w:r w:rsidR="0005330F">
        <w:rPr>
          <w:rFonts w:ascii="Arial" w:hAnsi="Arial" w:cs="Arial"/>
        </w:rPr>
        <w:t xml:space="preserve"> es decir ninguna decisión inicial se quedó pendiente de gestionar.</w:t>
      </w:r>
      <w:r w:rsidR="00E545F8">
        <w:rPr>
          <w:rFonts w:ascii="Arial" w:hAnsi="Arial" w:cs="Arial"/>
        </w:rPr>
        <w:t xml:space="preserve"> </w:t>
      </w:r>
    </w:p>
    <w:p w14:paraId="247F2A10" w14:textId="77777777" w:rsidR="003068DA" w:rsidRPr="00EA47DA" w:rsidRDefault="003068DA" w:rsidP="003068DA">
      <w:pPr>
        <w:pStyle w:val="Prrafodelista"/>
        <w:spacing w:line="360" w:lineRule="auto"/>
        <w:jc w:val="both"/>
        <w:rPr>
          <w:rFonts w:ascii="Arial" w:hAnsi="Arial" w:cs="Arial"/>
          <w:lang w:val="es-ES_tradnl"/>
        </w:rPr>
      </w:pPr>
    </w:p>
    <w:p w14:paraId="715C3224" w14:textId="77777777" w:rsidR="00847816" w:rsidRDefault="003068DA" w:rsidP="003068DA">
      <w:pPr>
        <w:pStyle w:val="Prrafodelista"/>
        <w:numPr>
          <w:ilvl w:val="0"/>
          <w:numId w:val="25"/>
        </w:numPr>
        <w:spacing w:line="360" w:lineRule="auto"/>
        <w:jc w:val="both"/>
        <w:rPr>
          <w:rFonts w:ascii="Arial" w:hAnsi="Arial" w:cs="Arial"/>
          <w:lang w:val="es-ES_tradnl"/>
        </w:rPr>
      </w:pPr>
      <w:r w:rsidRPr="00EA47DA">
        <w:rPr>
          <w:rFonts w:ascii="Arial" w:hAnsi="Arial" w:cs="Arial"/>
          <w:lang w:val="es-ES_tradnl"/>
        </w:rPr>
        <w:t xml:space="preserve">Como </w:t>
      </w:r>
      <w:r w:rsidRPr="00EA47DA">
        <w:rPr>
          <w:rFonts w:ascii="Arial" w:hAnsi="Arial" w:cs="Arial"/>
        </w:rPr>
        <w:t>resultado</w:t>
      </w:r>
      <w:r w:rsidRPr="00EA47DA">
        <w:rPr>
          <w:rFonts w:ascii="Arial" w:hAnsi="Arial" w:cs="Arial"/>
          <w:lang w:val="es-ES_tradnl"/>
        </w:rPr>
        <w:t xml:space="preserve">, </w:t>
      </w:r>
      <w:r w:rsidR="00291697" w:rsidRPr="00EA47DA">
        <w:rPr>
          <w:rFonts w:ascii="Arial" w:hAnsi="Arial" w:cs="Arial"/>
          <w:lang w:val="es-ES_tradnl"/>
        </w:rPr>
        <w:t xml:space="preserve">en </w:t>
      </w:r>
      <w:r w:rsidR="0015627E">
        <w:rPr>
          <w:rFonts w:ascii="Arial" w:hAnsi="Arial" w:cs="Arial"/>
          <w:lang w:val="es-ES_tradnl"/>
        </w:rPr>
        <w:t>221</w:t>
      </w:r>
      <w:r w:rsidR="000657E2" w:rsidRPr="00EA47DA">
        <w:rPr>
          <w:rFonts w:ascii="Arial" w:hAnsi="Arial" w:cs="Arial"/>
          <w:lang w:val="es-ES_tradnl"/>
        </w:rPr>
        <w:t xml:space="preserve"> </w:t>
      </w:r>
      <w:r w:rsidR="00291697" w:rsidRPr="00EA47DA">
        <w:rPr>
          <w:rFonts w:ascii="Arial" w:hAnsi="Arial" w:cs="Arial"/>
          <w:lang w:val="es-ES_tradnl"/>
        </w:rPr>
        <w:t xml:space="preserve">Decisiones Iniciales </w:t>
      </w:r>
      <w:r w:rsidR="000657E2" w:rsidRPr="00EA47DA">
        <w:rPr>
          <w:rFonts w:ascii="Arial" w:hAnsi="Arial" w:cs="Arial"/>
          <w:b/>
          <w:bCs/>
          <w:lang w:val="es-ES_tradnl"/>
        </w:rPr>
        <w:t>(8</w:t>
      </w:r>
      <w:r w:rsidR="0015627E">
        <w:rPr>
          <w:rFonts w:ascii="Arial" w:hAnsi="Arial" w:cs="Arial"/>
          <w:b/>
          <w:bCs/>
          <w:lang w:val="es-ES_tradnl"/>
        </w:rPr>
        <w:t>9</w:t>
      </w:r>
      <w:r w:rsidR="000657E2" w:rsidRPr="00EA47DA">
        <w:rPr>
          <w:rFonts w:ascii="Arial" w:hAnsi="Arial" w:cs="Arial"/>
          <w:b/>
          <w:bCs/>
          <w:lang w:val="es-ES_tradnl"/>
        </w:rPr>
        <w:t>,</w:t>
      </w:r>
      <w:r w:rsidR="0015627E">
        <w:rPr>
          <w:rFonts w:ascii="Arial" w:hAnsi="Arial" w:cs="Arial"/>
          <w:b/>
          <w:bCs/>
          <w:lang w:val="es-ES_tradnl"/>
        </w:rPr>
        <w:t>11</w:t>
      </w:r>
      <w:r w:rsidR="000657E2" w:rsidRPr="00EA47DA">
        <w:rPr>
          <w:rFonts w:ascii="Arial" w:hAnsi="Arial" w:cs="Arial"/>
          <w:b/>
          <w:bCs/>
          <w:lang w:val="es-ES_tradnl"/>
        </w:rPr>
        <w:t>%)</w:t>
      </w:r>
      <w:r w:rsidR="000657E2" w:rsidRPr="00EA47DA">
        <w:rPr>
          <w:rFonts w:ascii="Arial" w:hAnsi="Arial" w:cs="Arial"/>
          <w:lang w:val="es-ES_tradnl"/>
        </w:rPr>
        <w:t xml:space="preserve"> se concluyó el trámite</w:t>
      </w:r>
      <w:r w:rsidR="004C716A" w:rsidRPr="00EA47DA">
        <w:rPr>
          <w:rFonts w:ascii="Arial" w:hAnsi="Arial" w:cs="Arial"/>
          <w:lang w:val="es-ES_tradnl"/>
        </w:rPr>
        <w:t xml:space="preserve"> </w:t>
      </w:r>
      <w:r w:rsidR="00DD7867" w:rsidRPr="00EA47DA">
        <w:rPr>
          <w:rFonts w:ascii="Arial" w:hAnsi="Arial" w:cs="Arial"/>
          <w:lang w:val="es-ES_tradnl"/>
        </w:rPr>
        <w:t>de la contratación</w:t>
      </w:r>
      <w:r w:rsidR="000657E2" w:rsidRPr="00EA47DA">
        <w:rPr>
          <w:rFonts w:ascii="Arial" w:hAnsi="Arial" w:cs="Arial"/>
          <w:lang w:val="es-ES_tradnl"/>
        </w:rPr>
        <w:t xml:space="preserve"> </w:t>
      </w:r>
      <w:r w:rsidR="00DB31C7">
        <w:rPr>
          <w:rFonts w:ascii="Arial" w:hAnsi="Arial" w:cs="Arial"/>
          <w:lang w:val="es-ES_tradnl"/>
        </w:rPr>
        <w:t xml:space="preserve">(144 Ejecutadas/pagadas, 22 </w:t>
      </w:r>
      <w:r w:rsidR="00C41650">
        <w:rPr>
          <w:rFonts w:ascii="Arial" w:hAnsi="Arial" w:cs="Arial"/>
          <w:lang w:val="es-ES_tradnl"/>
        </w:rPr>
        <w:t xml:space="preserve">procedimientos de servicio continuo o entrega según demanda y 55 renovaciones).  </w:t>
      </w:r>
      <w:r w:rsidR="00D71EF1">
        <w:rPr>
          <w:rFonts w:ascii="Arial" w:hAnsi="Arial" w:cs="Arial"/>
          <w:lang w:val="es-ES_tradnl"/>
        </w:rPr>
        <w:t>En cinco casos</w:t>
      </w:r>
      <w:r w:rsidR="00FA0B49">
        <w:rPr>
          <w:rFonts w:ascii="Arial" w:hAnsi="Arial" w:cs="Arial"/>
          <w:lang w:val="es-ES_tradnl"/>
        </w:rPr>
        <w:t xml:space="preserve"> </w:t>
      </w:r>
      <w:r w:rsidR="00FA0B49" w:rsidRPr="00601684">
        <w:rPr>
          <w:rFonts w:ascii="Arial" w:hAnsi="Arial" w:cs="Arial"/>
          <w:b/>
          <w:bCs/>
          <w:lang w:val="es-ES_tradnl"/>
        </w:rPr>
        <w:t>(</w:t>
      </w:r>
      <w:r w:rsidR="00601684" w:rsidRPr="00601684">
        <w:rPr>
          <w:rFonts w:ascii="Arial" w:hAnsi="Arial" w:cs="Arial"/>
          <w:b/>
          <w:bCs/>
          <w:lang w:val="es-ES_tradnl"/>
        </w:rPr>
        <w:t>2.016%)</w:t>
      </w:r>
      <w:r w:rsidR="00D71EF1" w:rsidRPr="00601684">
        <w:rPr>
          <w:rFonts w:ascii="Arial" w:hAnsi="Arial" w:cs="Arial"/>
          <w:b/>
          <w:bCs/>
          <w:lang w:val="es-ES_tradnl"/>
        </w:rPr>
        <w:t>,</w:t>
      </w:r>
      <w:r w:rsidR="00D71EF1">
        <w:rPr>
          <w:rFonts w:ascii="Arial" w:hAnsi="Arial" w:cs="Arial"/>
          <w:lang w:val="es-ES_tradnl"/>
        </w:rPr>
        <w:t xml:space="preserve"> </w:t>
      </w:r>
      <w:r w:rsidR="00FA0B49">
        <w:rPr>
          <w:rFonts w:ascii="Arial" w:hAnsi="Arial" w:cs="Arial"/>
          <w:lang w:val="es-ES_tradnl"/>
        </w:rPr>
        <w:t>las Decisiones</w:t>
      </w:r>
      <w:r w:rsidR="00D71EF1">
        <w:rPr>
          <w:rFonts w:ascii="Arial" w:hAnsi="Arial" w:cs="Arial"/>
          <w:lang w:val="es-ES_tradnl"/>
        </w:rPr>
        <w:t xml:space="preserve"> Iniciales quedaron en las etapas finales del trámite </w:t>
      </w:r>
      <w:r w:rsidR="00A837DF">
        <w:rPr>
          <w:rFonts w:ascii="Arial" w:hAnsi="Arial" w:cs="Arial"/>
          <w:lang w:val="es-ES_tradnl"/>
        </w:rPr>
        <w:t>(1 ejecutada, 1 adjudicada y 3 en ejecución)</w:t>
      </w:r>
      <w:r w:rsidR="00C63DBF">
        <w:rPr>
          <w:rFonts w:ascii="Arial" w:hAnsi="Arial" w:cs="Arial"/>
          <w:lang w:val="es-ES_tradnl"/>
        </w:rPr>
        <w:t xml:space="preserve">.  16 de las Decisiones Iniciales </w:t>
      </w:r>
      <w:r w:rsidR="007366E1" w:rsidRPr="007366E1">
        <w:rPr>
          <w:rFonts w:ascii="Arial" w:hAnsi="Arial" w:cs="Arial"/>
          <w:b/>
          <w:bCs/>
          <w:lang w:val="es-ES_tradnl"/>
        </w:rPr>
        <w:t>(6.45%)</w:t>
      </w:r>
      <w:r w:rsidR="007366E1">
        <w:rPr>
          <w:rFonts w:ascii="Arial" w:hAnsi="Arial" w:cs="Arial"/>
          <w:lang w:val="es-ES_tradnl"/>
        </w:rPr>
        <w:t xml:space="preserve"> </w:t>
      </w:r>
      <w:r w:rsidR="00C63DBF">
        <w:rPr>
          <w:rFonts w:ascii="Arial" w:hAnsi="Arial" w:cs="Arial"/>
          <w:lang w:val="es-ES_tradnl"/>
        </w:rPr>
        <w:t>quedaron en la etapa previa a la adjudicación</w:t>
      </w:r>
      <w:r w:rsidR="002324B7">
        <w:rPr>
          <w:rFonts w:ascii="Arial" w:hAnsi="Arial" w:cs="Arial"/>
          <w:lang w:val="es-ES_tradnl"/>
        </w:rPr>
        <w:t xml:space="preserve">. </w:t>
      </w:r>
    </w:p>
    <w:p w14:paraId="69B153B9" w14:textId="77777777" w:rsidR="00847816" w:rsidRDefault="00847816" w:rsidP="00847816">
      <w:pPr>
        <w:pStyle w:val="Prrafodelista"/>
        <w:rPr>
          <w:rFonts w:ascii="Arial" w:hAnsi="Arial" w:cs="Arial"/>
          <w:lang w:val="es-ES_tradnl"/>
        </w:rPr>
      </w:pPr>
    </w:p>
    <w:p w14:paraId="541ED903" w14:textId="77777777" w:rsidR="00847816" w:rsidRPr="00847816" w:rsidRDefault="00847816" w:rsidP="00847816">
      <w:pPr>
        <w:pStyle w:val="Prrafodelista"/>
        <w:rPr>
          <w:rFonts w:ascii="Arial" w:hAnsi="Arial" w:cs="Arial"/>
          <w:lang w:val="es-ES_tradnl"/>
        </w:rPr>
      </w:pPr>
    </w:p>
    <w:p w14:paraId="42DDA025" w14:textId="68943BE4" w:rsidR="00601684" w:rsidRDefault="00847816" w:rsidP="003068DA">
      <w:pPr>
        <w:pStyle w:val="Prrafodelista"/>
        <w:numPr>
          <w:ilvl w:val="0"/>
          <w:numId w:val="25"/>
        </w:numPr>
        <w:spacing w:line="360" w:lineRule="auto"/>
        <w:jc w:val="both"/>
        <w:rPr>
          <w:rFonts w:ascii="Arial" w:hAnsi="Arial" w:cs="Arial"/>
          <w:lang w:val="es-ES_tradnl"/>
        </w:rPr>
      </w:pPr>
      <w:r>
        <w:rPr>
          <w:rFonts w:ascii="Arial" w:hAnsi="Arial" w:cs="Arial"/>
          <w:lang w:val="es-ES_tradnl"/>
        </w:rPr>
        <w:t>E</w:t>
      </w:r>
      <w:r w:rsidR="002324B7">
        <w:rPr>
          <w:rFonts w:ascii="Arial" w:hAnsi="Arial" w:cs="Arial"/>
          <w:lang w:val="es-ES_tradnl"/>
        </w:rPr>
        <w:t xml:space="preserve">n seis casos el trámite de contratación se realizó de manera </w:t>
      </w:r>
      <w:r>
        <w:rPr>
          <w:rFonts w:ascii="Arial" w:hAnsi="Arial" w:cs="Arial"/>
          <w:lang w:val="es-ES_tradnl"/>
        </w:rPr>
        <w:t>completa,</w:t>
      </w:r>
      <w:r w:rsidR="002324B7">
        <w:rPr>
          <w:rFonts w:ascii="Arial" w:hAnsi="Arial" w:cs="Arial"/>
          <w:lang w:val="es-ES_tradnl"/>
        </w:rPr>
        <w:t xml:space="preserve"> pero</w:t>
      </w:r>
      <w:r w:rsidR="00A56F8E">
        <w:rPr>
          <w:rFonts w:ascii="Arial" w:hAnsi="Arial" w:cs="Arial"/>
          <w:lang w:val="es-ES_tradnl"/>
        </w:rPr>
        <w:t xml:space="preserve"> resultó infructuoso por incumplimiento de los oferentes o por ausencia de éstos y no se tramitó nuevamente según criterio de la dependencia solicitante. </w:t>
      </w:r>
    </w:p>
    <w:p w14:paraId="4B5583A2" w14:textId="77777777" w:rsidR="00601684" w:rsidRPr="00601684" w:rsidRDefault="00601684" w:rsidP="00601684">
      <w:pPr>
        <w:pStyle w:val="Prrafodelista"/>
        <w:rPr>
          <w:rFonts w:ascii="Arial" w:hAnsi="Arial" w:cs="Arial"/>
          <w:lang w:val="es-ES_tradnl"/>
        </w:rPr>
      </w:pPr>
    </w:p>
    <w:p w14:paraId="013F01B8" w14:textId="77777777" w:rsidR="000378A3" w:rsidRDefault="00397BA4" w:rsidP="00DD7C72">
      <w:pPr>
        <w:spacing w:line="360" w:lineRule="auto"/>
        <w:contextualSpacing/>
        <w:jc w:val="both"/>
        <w:rPr>
          <w:rFonts w:ascii="Arial" w:hAnsi="Arial" w:cs="Arial"/>
          <w:sz w:val="24"/>
          <w:szCs w:val="24"/>
        </w:rPr>
      </w:pPr>
      <w:r>
        <w:rPr>
          <w:rFonts w:ascii="Arial" w:hAnsi="Arial" w:cs="Arial"/>
          <w:sz w:val="24"/>
          <w:szCs w:val="24"/>
        </w:rPr>
        <w:t>De l</w:t>
      </w:r>
      <w:r w:rsidR="003579A8">
        <w:rPr>
          <w:rFonts w:ascii="Arial" w:hAnsi="Arial" w:cs="Arial"/>
          <w:sz w:val="24"/>
          <w:szCs w:val="24"/>
        </w:rPr>
        <w:t>os resultados expuestos</w:t>
      </w:r>
      <w:r>
        <w:rPr>
          <w:rFonts w:ascii="Arial" w:hAnsi="Arial" w:cs="Arial"/>
          <w:sz w:val="24"/>
          <w:szCs w:val="24"/>
        </w:rPr>
        <w:t xml:space="preserve"> se tiene</w:t>
      </w:r>
      <w:r w:rsidR="000378A3">
        <w:rPr>
          <w:rFonts w:ascii="Arial" w:hAnsi="Arial" w:cs="Arial"/>
          <w:sz w:val="24"/>
          <w:szCs w:val="24"/>
        </w:rPr>
        <w:t>:</w:t>
      </w:r>
    </w:p>
    <w:p w14:paraId="6038323E" w14:textId="77777777" w:rsidR="000378A3" w:rsidRDefault="000378A3" w:rsidP="00DD7C72">
      <w:pPr>
        <w:spacing w:line="360" w:lineRule="auto"/>
        <w:contextualSpacing/>
        <w:jc w:val="both"/>
        <w:rPr>
          <w:rFonts w:ascii="Arial" w:hAnsi="Arial" w:cs="Arial"/>
          <w:sz w:val="24"/>
          <w:szCs w:val="24"/>
        </w:rPr>
      </w:pPr>
    </w:p>
    <w:p w14:paraId="10AEEC97" w14:textId="77777777" w:rsidR="000B2689" w:rsidRDefault="001829E6" w:rsidP="00DD7C72">
      <w:pPr>
        <w:spacing w:line="360" w:lineRule="auto"/>
        <w:contextualSpacing/>
        <w:jc w:val="both"/>
        <w:rPr>
          <w:rFonts w:ascii="Arial" w:hAnsi="Arial" w:cs="Arial"/>
          <w:sz w:val="24"/>
          <w:szCs w:val="24"/>
        </w:rPr>
      </w:pPr>
      <w:r w:rsidRPr="000B61AA">
        <w:rPr>
          <w:rFonts w:ascii="Arial" w:hAnsi="Arial" w:cs="Arial"/>
          <w:sz w:val="24"/>
          <w:szCs w:val="24"/>
        </w:rPr>
        <w:t xml:space="preserve">Decisiones Iniciales </w:t>
      </w:r>
      <w:r w:rsidR="000378A3">
        <w:rPr>
          <w:rFonts w:ascii="Arial" w:hAnsi="Arial" w:cs="Arial"/>
          <w:sz w:val="24"/>
          <w:szCs w:val="24"/>
        </w:rPr>
        <w:t xml:space="preserve">para las cuales </w:t>
      </w:r>
      <w:r w:rsidRPr="000B61AA">
        <w:rPr>
          <w:rFonts w:ascii="Arial" w:hAnsi="Arial" w:cs="Arial"/>
          <w:sz w:val="24"/>
          <w:szCs w:val="24"/>
        </w:rPr>
        <w:t>se obtuvo el objetivo</w:t>
      </w:r>
      <w:r w:rsidR="00397BA4">
        <w:rPr>
          <w:rFonts w:ascii="Arial" w:hAnsi="Arial" w:cs="Arial"/>
          <w:sz w:val="24"/>
          <w:szCs w:val="24"/>
        </w:rPr>
        <w:t xml:space="preserve"> fue</w:t>
      </w:r>
      <w:r w:rsidR="000B2689">
        <w:rPr>
          <w:rFonts w:ascii="Arial" w:hAnsi="Arial" w:cs="Arial"/>
          <w:sz w:val="24"/>
          <w:szCs w:val="24"/>
        </w:rPr>
        <w:t>:</w:t>
      </w:r>
    </w:p>
    <w:p w14:paraId="1544EB68" w14:textId="77777777" w:rsidR="001863C8" w:rsidRDefault="001863C8" w:rsidP="00DD7C72">
      <w:pPr>
        <w:spacing w:line="360" w:lineRule="auto"/>
        <w:contextualSpacing/>
        <w:jc w:val="both"/>
        <w:rPr>
          <w:rFonts w:ascii="Arial" w:hAnsi="Arial" w:cs="Arial"/>
          <w:sz w:val="24"/>
          <w:szCs w:val="24"/>
        </w:rPr>
      </w:pPr>
    </w:p>
    <w:p w14:paraId="7B833181" w14:textId="77777777" w:rsidR="00C57C43" w:rsidRDefault="00C57C43" w:rsidP="00DD7C72">
      <w:pPr>
        <w:spacing w:line="360" w:lineRule="auto"/>
        <w:contextualSpacing/>
        <w:jc w:val="both"/>
        <w:rPr>
          <w:rFonts w:ascii="Arial" w:hAnsi="Arial" w:cs="Arial"/>
          <w:sz w:val="24"/>
          <w:szCs w:val="24"/>
        </w:rPr>
      </w:pPr>
      <w:r>
        <w:rPr>
          <w:rFonts w:ascii="Arial" w:hAnsi="Arial" w:cs="Arial"/>
          <w:sz w:val="24"/>
          <w:szCs w:val="24"/>
        </w:rPr>
        <w:t>-</w:t>
      </w:r>
      <w:r w:rsidR="00A65D5A">
        <w:rPr>
          <w:rFonts w:ascii="Arial" w:hAnsi="Arial" w:cs="Arial"/>
          <w:sz w:val="24"/>
          <w:szCs w:val="24"/>
        </w:rPr>
        <w:t xml:space="preserve"> </w:t>
      </w:r>
      <w:r w:rsidR="00397BA4">
        <w:rPr>
          <w:rFonts w:ascii="Arial" w:hAnsi="Arial" w:cs="Arial"/>
          <w:sz w:val="24"/>
          <w:szCs w:val="24"/>
        </w:rPr>
        <w:t xml:space="preserve"> </w:t>
      </w:r>
      <w:r w:rsidR="001829E6" w:rsidRPr="000B61AA">
        <w:rPr>
          <w:rFonts w:ascii="Arial" w:hAnsi="Arial" w:cs="Arial"/>
          <w:sz w:val="24"/>
          <w:szCs w:val="24"/>
        </w:rPr>
        <w:t xml:space="preserve"> </w:t>
      </w:r>
      <w:r>
        <w:rPr>
          <w:rFonts w:ascii="Arial" w:hAnsi="Arial" w:cs="Arial"/>
          <w:sz w:val="24"/>
          <w:szCs w:val="24"/>
        </w:rPr>
        <w:t>S</w:t>
      </w:r>
      <w:r w:rsidR="00A65D5A">
        <w:rPr>
          <w:rFonts w:ascii="Arial" w:hAnsi="Arial" w:cs="Arial"/>
          <w:sz w:val="24"/>
          <w:szCs w:val="24"/>
        </w:rPr>
        <w:t xml:space="preserve">e obtuvo </w:t>
      </w:r>
      <w:r w:rsidR="00D13015">
        <w:rPr>
          <w:rFonts w:ascii="Arial" w:hAnsi="Arial" w:cs="Arial"/>
          <w:sz w:val="24"/>
          <w:szCs w:val="24"/>
        </w:rPr>
        <w:t>obtener el bien y servicio requerido, ejecutado y pagado</w:t>
      </w:r>
      <w:r w:rsidR="00B15CF2">
        <w:rPr>
          <w:rFonts w:ascii="Arial" w:hAnsi="Arial" w:cs="Arial"/>
          <w:sz w:val="24"/>
          <w:szCs w:val="24"/>
        </w:rPr>
        <w:t xml:space="preserve"> </w:t>
      </w:r>
      <w:r>
        <w:rPr>
          <w:rFonts w:ascii="Arial" w:hAnsi="Arial" w:cs="Arial"/>
          <w:sz w:val="24"/>
          <w:szCs w:val="24"/>
        </w:rPr>
        <w:t>(</w:t>
      </w:r>
      <w:r w:rsidR="00B15CF2">
        <w:rPr>
          <w:rFonts w:ascii="Arial" w:hAnsi="Arial" w:cs="Arial"/>
          <w:sz w:val="24"/>
          <w:szCs w:val="24"/>
        </w:rPr>
        <w:t>144</w:t>
      </w:r>
      <w:r w:rsidR="00D13015">
        <w:rPr>
          <w:rFonts w:ascii="Arial" w:hAnsi="Arial" w:cs="Arial"/>
          <w:sz w:val="24"/>
          <w:szCs w:val="24"/>
        </w:rPr>
        <w:t>)</w:t>
      </w:r>
    </w:p>
    <w:p w14:paraId="21B47F97" w14:textId="77777777" w:rsidR="00C57C43" w:rsidRDefault="00C57C43" w:rsidP="00DD7C72">
      <w:pPr>
        <w:spacing w:line="360" w:lineRule="auto"/>
        <w:contextualSpacing/>
        <w:jc w:val="both"/>
        <w:rPr>
          <w:rFonts w:ascii="Arial" w:hAnsi="Arial" w:cs="Arial"/>
          <w:sz w:val="24"/>
          <w:szCs w:val="24"/>
        </w:rPr>
      </w:pPr>
      <w:r>
        <w:rPr>
          <w:rFonts w:ascii="Arial" w:hAnsi="Arial" w:cs="Arial"/>
          <w:sz w:val="24"/>
          <w:szCs w:val="24"/>
        </w:rPr>
        <w:t xml:space="preserve">-  Se puso </w:t>
      </w:r>
      <w:r w:rsidR="00395D17" w:rsidRPr="000B61AA">
        <w:rPr>
          <w:rFonts w:ascii="Arial" w:hAnsi="Arial" w:cs="Arial"/>
          <w:sz w:val="24"/>
          <w:szCs w:val="24"/>
        </w:rPr>
        <w:t>en ejecución los servicios continuos</w:t>
      </w:r>
      <w:r w:rsidR="008D2550" w:rsidRPr="000B61AA">
        <w:rPr>
          <w:rFonts w:ascii="Arial" w:hAnsi="Arial" w:cs="Arial"/>
          <w:sz w:val="24"/>
          <w:szCs w:val="24"/>
        </w:rPr>
        <w:t xml:space="preserve"> (</w:t>
      </w:r>
      <w:r w:rsidR="000B2689">
        <w:rPr>
          <w:rFonts w:ascii="Arial" w:hAnsi="Arial" w:cs="Arial"/>
          <w:sz w:val="24"/>
          <w:szCs w:val="24"/>
        </w:rPr>
        <w:t>22</w:t>
      </w:r>
      <w:r w:rsidR="008D2550" w:rsidRPr="000B61AA">
        <w:rPr>
          <w:rFonts w:ascii="Arial" w:hAnsi="Arial" w:cs="Arial"/>
          <w:sz w:val="24"/>
          <w:szCs w:val="24"/>
        </w:rPr>
        <w:t>)</w:t>
      </w:r>
    </w:p>
    <w:p w14:paraId="10800988" w14:textId="181C6A4A" w:rsidR="003977AE" w:rsidRDefault="003977AE" w:rsidP="00DD7C72">
      <w:pPr>
        <w:spacing w:line="360" w:lineRule="auto"/>
        <w:contextualSpacing/>
        <w:jc w:val="both"/>
        <w:rPr>
          <w:rFonts w:ascii="Arial" w:hAnsi="Arial" w:cs="Arial"/>
          <w:sz w:val="24"/>
          <w:szCs w:val="24"/>
        </w:rPr>
      </w:pPr>
      <w:r>
        <w:rPr>
          <w:rFonts w:ascii="Arial" w:hAnsi="Arial" w:cs="Arial"/>
          <w:sz w:val="24"/>
          <w:szCs w:val="24"/>
        </w:rPr>
        <w:t xml:space="preserve">-  Se concluyó </w:t>
      </w:r>
      <w:r w:rsidR="00395D17" w:rsidRPr="000B61AA">
        <w:rPr>
          <w:rFonts w:ascii="Arial" w:hAnsi="Arial" w:cs="Arial"/>
          <w:sz w:val="24"/>
          <w:szCs w:val="24"/>
        </w:rPr>
        <w:t>las renovaciones requeridas</w:t>
      </w:r>
      <w:r w:rsidR="008D2550" w:rsidRPr="000B61AA">
        <w:rPr>
          <w:rFonts w:ascii="Arial" w:hAnsi="Arial" w:cs="Arial"/>
          <w:sz w:val="24"/>
          <w:szCs w:val="24"/>
        </w:rPr>
        <w:t xml:space="preserve"> (</w:t>
      </w:r>
      <w:r w:rsidR="000B2689">
        <w:rPr>
          <w:rFonts w:ascii="Arial" w:hAnsi="Arial" w:cs="Arial"/>
          <w:sz w:val="24"/>
          <w:szCs w:val="24"/>
        </w:rPr>
        <w:t>55</w:t>
      </w:r>
      <w:r w:rsidR="008D2550" w:rsidRPr="000B61AA">
        <w:rPr>
          <w:rFonts w:ascii="Arial" w:hAnsi="Arial" w:cs="Arial"/>
          <w:sz w:val="24"/>
          <w:szCs w:val="24"/>
        </w:rPr>
        <w:t>)</w:t>
      </w:r>
    </w:p>
    <w:p w14:paraId="1079AEBC" w14:textId="77777777" w:rsidR="003977AE" w:rsidRDefault="003977AE" w:rsidP="00DD7C72">
      <w:pPr>
        <w:spacing w:line="360" w:lineRule="auto"/>
        <w:contextualSpacing/>
        <w:jc w:val="both"/>
        <w:rPr>
          <w:rFonts w:ascii="Arial" w:hAnsi="Arial" w:cs="Arial"/>
          <w:sz w:val="24"/>
          <w:szCs w:val="24"/>
        </w:rPr>
      </w:pPr>
    </w:p>
    <w:p w14:paraId="33ABA743" w14:textId="0BE158D9" w:rsidR="00025422" w:rsidRDefault="003977AE" w:rsidP="00DD7C72">
      <w:pPr>
        <w:spacing w:line="360" w:lineRule="auto"/>
        <w:contextualSpacing/>
        <w:jc w:val="both"/>
        <w:rPr>
          <w:rFonts w:ascii="Arial" w:hAnsi="Arial" w:cs="Arial"/>
          <w:b/>
          <w:bCs/>
          <w:sz w:val="24"/>
          <w:szCs w:val="24"/>
        </w:rPr>
      </w:pPr>
      <w:r>
        <w:rPr>
          <w:rFonts w:ascii="Arial" w:hAnsi="Arial" w:cs="Arial"/>
          <w:sz w:val="24"/>
          <w:szCs w:val="24"/>
        </w:rPr>
        <w:lastRenderedPageBreak/>
        <w:t xml:space="preserve">Es decir, de </w:t>
      </w:r>
      <w:r w:rsidR="00395D17" w:rsidRPr="000B61AA">
        <w:rPr>
          <w:rFonts w:ascii="Arial" w:hAnsi="Arial" w:cs="Arial"/>
          <w:sz w:val="24"/>
          <w:szCs w:val="24"/>
        </w:rPr>
        <w:t>las 2</w:t>
      </w:r>
      <w:r>
        <w:rPr>
          <w:rFonts w:ascii="Arial" w:hAnsi="Arial" w:cs="Arial"/>
          <w:sz w:val="24"/>
          <w:szCs w:val="24"/>
        </w:rPr>
        <w:t>48</w:t>
      </w:r>
      <w:r w:rsidR="00395D17" w:rsidRPr="000B61AA">
        <w:rPr>
          <w:rFonts w:ascii="Arial" w:hAnsi="Arial" w:cs="Arial"/>
          <w:sz w:val="24"/>
          <w:szCs w:val="24"/>
        </w:rPr>
        <w:t xml:space="preserve"> Decisiones Iniciales recibidas</w:t>
      </w:r>
      <w:r w:rsidR="008D2550" w:rsidRPr="000B61AA">
        <w:rPr>
          <w:rFonts w:ascii="Arial" w:hAnsi="Arial" w:cs="Arial"/>
          <w:sz w:val="24"/>
          <w:szCs w:val="24"/>
        </w:rPr>
        <w:t>,</w:t>
      </w:r>
      <w:r w:rsidR="00395D17" w:rsidRPr="000B61AA">
        <w:rPr>
          <w:rFonts w:ascii="Arial" w:hAnsi="Arial" w:cs="Arial"/>
          <w:sz w:val="24"/>
          <w:szCs w:val="24"/>
        </w:rPr>
        <w:t xml:space="preserve"> </w:t>
      </w:r>
      <w:r w:rsidR="0041602B" w:rsidRPr="000B61AA">
        <w:rPr>
          <w:rFonts w:ascii="Arial" w:hAnsi="Arial" w:cs="Arial"/>
          <w:sz w:val="24"/>
          <w:szCs w:val="24"/>
        </w:rPr>
        <w:t xml:space="preserve">un total de </w:t>
      </w:r>
      <w:r w:rsidR="00F03F6F">
        <w:rPr>
          <w:rFonts w:ascii="Arial" w:hAnsi="Arial" w:cs="Arial"/>
          <w:sz w:val="24"/>
          <w:szCs w:val="24"/>
        </w:rPr>
        <w:t>221</w:t>
      </w:r>
      <w:r w:rsidR="0041602B" w:rsidRPr="000B61AA">
        <w:rPr>
          <w:rFonts w:ascii="Arial" w:hAnsi="Arial" w:cs="Arial"/>
          <w:sz w:val="24"/>
          <w:szCs w:val="24"/>
        </w:rPr>
        <w:t xml:space="preserve"> </w:t>
      </w:r>
      <w:r w:rsidR="00D91ADB" w:rsidRPr="000B61AA">
        <w:rPr>
          <w:rFonts w:ascii="Arial" w:hAnsi="Arial" w:cs="Arial"/>
          <w:sz w:val="24"/>
          <w:szCs w:val="24"/>
        </w:rPr>
        <w:t>se finalizaron y se alcanzó el objetivo</w:t>
      </w:r>
      <w:r w:rsidR="005878B1">
        <w:rPr>
          <w:rFonts w:ascii="Arial" w:hAnsi="Arial" w:cs="Arial"/>
          <w:sz w:val="24"/>
          <w:szCs w:val="24"/>
        </w:rPr>
        <w:t xml:space="preserve">, dentro del </w:t>
      </w:r>
      <w:r w:rsidR="00866136">
        <w:rPr>
          <w:rFonts w:ascii="Arial" w:hAnsi="Arial" w:cs="Arial"/>
          <w:sz w:val="24"/>
          <w:szCs w:val="24"/>
        </w:rPr>
        <w:t>periodo 2025</w:t>
      </w:r>
      <w:r w:rsidR="00D91ADB" w:rsidRPr="000B61AA">
        <w:rPr>
          <w:rFonts w:ascii="Arial" w:hAnsi="Arial" w:cs="Arial"/>
          <w:sz w:val="24"/>
          <w:szCs w:val="24"/>
        </w:rPr>
        <w:t xml:space="preserve">. </w:t>
      </w:r>
      <w:r w:rsidR="00D91ADB" w:rsidRPr="000B61AA">
        <w:rPr>
          <w:rFonts w:ascii="Arial" w:hAnsi="Arial" w:cs="Arial"/>
          <w:b/>
          <w:bCs/>
          <w:sz w:val="24"/>
          <w:szCs w:val="24"/>
        </w:rPr>
        <w:t xml:space="preserve">Indicador de Eficacia </w:t>
      </w:r>
      <w:r w:rsidR="00BC55F0" w:rsidRPr="000B61AA">
        <w:rPr>
          <w:rFonts w:ascii="Arial" w:hAnsi="Arial" w:cs="Arial"/>
          <w:b/>
          <w:bCs/>
          <w:sz w:val="24"/>
          <w:szCs w:val="24"/>
        </w:rPr>
        <w:t>8</w:t>
      </w:r>
      <w:r w:rsidR="00F03F6F">
        <w:rPr>
          <w:rFonts w:ascii="Arial" w:hAnsi="Arial" w:cs="Arial"/>
          <w:b/>
          <w:bCs/>
          <w:sz w:val="24"/>
          <w:szCs w:val="24"/>
        </w:rPr>
        <w:t>9</w:t>
      </w:r>
      <w:r w:rsidR="00BC55F0" w:rsidRPr="000B61AA">
        <w:rPr>
          <w:rFonts w:ascii="Arial" w:hAnsi="Arial" w:cs="Arial"/>
          <w:b/>
          <w:bCs/>
          <w:sz w:val="24"/>
          <w:szCs w:val="24"/>
        </w:rPr>
        <w:t>.</w:t>
      </w:r>
      <w:r w:rsidR="00F03F6F">
        <w:rPr>
          <w:rFonts w:ascii="Arial" w:hAnsi="Arial" w:cs="Arial"/>
          <w:b/>
          <w:bCs/>
          <w:sz w:val="24"/>
          <w:szCs w:val="24"/>
        </w:rPr>
        <w:t>11</w:t>
      </w:r>
      <w:r w:rsidR="00BC55F0" w:rsidRPr="000B61AA">
        <w:rPr>
          <w:rFonts w:ascii="Arial" w:hAnsi="Arial" w:cs="Arial"/>
          <w:b/>
          <w:bCs/>
          <w:sz w:val="24"/>
          <w:szCs w:val="24"/>
        </w:rPr>
        <w:t>%</w:t>
      </w:r>
      <w:r w:rsidR="00970575" w:rsidRPr="000B61AA">
        <w:rPr>
          <w:rFonts w:ascii="Arial" w:hAnsi="Arial" w:cs="Arial"/>
          <w:b/>
          <w:bCs/>
          <w:sz w:val="24"/>
          <w:szCs w:val="24"/>
        </w:rPr>
        <w:t xml:space="preserve">. </w:t>
      </w:r>
    </w:p>
    <w:p w14:paraId="4E0711B7" w14:textId="77777777" w:rsidR="004B4F21" w:rsidRPr="004B4F21" w:rsidRDefault="004B4F21" w:rsidP="00DD7C72">
      <w:pPr>
        <w:spacing w:line="360" w:lineRule="auto"/>
        <w:contextualSpacing/>
        <w:jc w:val="both"/>
        <w:rPr>
          <w:rFonts w:ascii="Arial" w:hAnsi="Arial" w:cs="Arial"/>
          <w:sz w:val="24"/>
          <w:szCs w:val="24"/>
        </w:rPr>
      </w:pPr>
    </w:p>
    <w:p w14:paraId="1E99728E" w14:textId="4C48BF55" w:rsidR="004B4F21" w:rsidRDefault="004B4F21" w:rsidP="00DD7C72">
      <w:pPr>
        <w:spacing w:line="360" w:lineRule="auto"/>
        <w:contextualSpacing/>
        <w:jc w:val="both"/>
        <w:rPr>
          <w:rFonts w:ascii="Arial" w:hAnsi="Arial" w:cs="Arial"/>
          <w:sz w:val="24"/>
          <w:szCs w:val="24"/>
        </w:rPr>
      </w:pPr>
      <w:r w:rsidRPr="004B4F21">
        <w:rPr>
          <w:rFonts w:ascii="Arial" w:hAnsi="Arial" w:cs="Arial"/>
          <w:sz w:val="24"/>
          <w:szCs w:val="24"/>
        </w:rPr>
        <w:t>Un asp</w:t>
      </w:r>
      <w:r>
        <w:rPr>
          <w:rFonts w:ascii="Arial" w:hAnsi="Arial" w:cs="Arial"/>
          <w:sz w:val="24"/>
          <w:szCs w:val="24"/>
        </w:rPr>
        <w:t xml:space="preserve">ecto a destacar es que </w:t>
      </w:r>
      <w:r w:rsidR="00E04167">
        <w:rPr>
          <w:rFonts w:ascii="Arial" w:hAnsi="Arial" w:cs="Arial"/>
          <w:sz w:val="24"/>
          <w:szCs w:val="24"/>
        </w:rPr>
        <w:t>al recibirse 2</w:t>
      </w:r>
      <w:r w:rsidR="00890B58">
        <w:rPr>
          <w:rFonts w:ascii="Arial" w:hAnsi="Arial" w:cs="Arial"/>
          <w:sz w:val="24"/>
          <w:szCs w:val="24"/>
        </w:rPr>
        <w:t>52</w:t>
      </w:r>
      <w:r w:rsidR="00E04167">
        <w:rPr>
          <w:rFonts w:ascii="Arial" w:hAnsi="Arial" w:cs="Arial"/>
          <w:sz w:val="24"/>
          <w:szCs w:val="24"/>
        </w:rPr>
        <w:t xml:space="preserve"> Decisiones Iniciales</w:t>
      </w:r>
      <w:r w:rsidR="002A75BE">
        <w:rPr>
          <w:rFonts w:ascii="Arial" w:hAnsi="Arial" w:cs="Arial"/>
          <w:sz w:val="24"/>
          <w:szCs w:val="24"/>
        </w:rPr>
        <w:t xml:space="preserve"> (incluidas 4 que posteriormente quedaron sin efecto) </w:t>
      </w:r>
      <w:r w:rsidR="00E04167">
        <w:rPr>
          <w:rFonts w:ascii="Arial" w:hAnsi="Arial" w:cs="Arial"/>
          <w:sz w:val="24"/>
          <w:szCs w:val="24"/>
        </w:rPr>
        <w:t>exist</w:t>
      </w:r>
      <w:r w:rsidR="002A75BE">
        <w:rPr>
          <w:rFonts w:ascii="Arial" w:hAnsi="Arial" w:cs="Arial"/>
          <w:sz w:val="24"/>
          <w:szCs w:val="24"/>
        </w:rPr>
        <w:t>ió</w:t>
      </w:r>
      <w:r w:rsidR="00E04167">
        <w:rPr>
          <w:rFonts w:ascii="Arial" w:hAnsi="Arial" w:cs="Arial"/>
          <w:sz w:val="24"/>
          <w:szCs w:val="24"/>
        </w:rPr>
        <w:t xml:space="preserve"> un número igual de sondeos y/o estudios de mercado que la Proveeduría Institucional revis</w:t>
      </w:r>
      <w:r w:rsidR="00F861AF">
        <w:rPr>
          <w:rFonts w:ascii="Arial" w:hAnsi="Arial" w:cs="Arial"/>
          <w:sz w:val="24"/>
          <w:szCs w:val="24"/>
        </w:rPr>
        <w:t>ó a efecto de procurar el cumplimiento de lo siguiente:</w:t>
      </w:r>
    </w:p>
    <w:p w14:paraId="3347EC53" w14:textId="77777777" w:rsidR="00F861AF" w:rsidRDefault="00F861AF" w:rsidP="004B3C47">
      <w:pPr>
        <w:spacing w:line="240" w:lineRule="auto"/>
        <w:contextualSpacing/>
        <w:jc w:val="both"/>
        <w:rPr>
          <w:rFonts w:ascii="Arial" w:hAnsi="Arial" w:cs="Arial"/>
          <w:sz w:val="24"/>
          <w:szCs w:val="24"/>
        </w:rPr>
      </w:pPr>
    </w:p>
    <w:p w14:paraId="21325DE2" w14:textId="2C3C4884" w:rsidR="00F861AF" w:rsidRDefault="00F861AF" w:rsidP="00F861AF">
      <w:pPr>
        <w:pStyle w:val="Prrafodelista"/>
        <w:numPr>
          <w:ilvl w:val="0"/>
          <w:numId w:val="26"/>
        </w:numPr>
        <w:spacing w:line="360" w:lineRule="auto"/>
        <w:jc w:val="both"/>
        <w:rPr>
          <w:rFonts w:ascii="Arial" w:hAnsi="Arial" w:cs="Arial"/>
        </w:rPr>
      </w:pPr>
      <w:r>
        <w:rPr>
          <w:rFonts w:ascii="Arial" w:hAnsi="Arial" w:cs="Arial"/>
        </w:rPr>
        <w:t xml:space="preserve">Que los sondeos y/o estudios de mercado </w:t>
      </w:r>
      <w:r w:rsidR="00F36F28">
        <w:rPr>
          <w:rFonts w:ascii="Arial" w:hAnsi="Arial" w:cs="Arial"/>
        </w:rPr>
        <w:t xml:space="preserve">se prepararon </w:t>
      </w:r>
      <w:r>
        <w:rPr>
          <w:rFonts w:ascii="Arial" w:hAnsi="Arial" w:cs="Arial"/>
        </w:rPr>
        <w:t xml:space="preserve">teniendo una misma base </w:t>
      </w:r>
      <w:r w:rsidR="00905864">
        <w:rPr>
          <w:rFonts w:ascii="Arial" w:hAnsi="Arial" w:cs="Arial"/>
        </w:rPr>
        <w:t>en cuanto a especificaciones técnicas y condiciones</w:t>
      </w:r>
      <w:r w:rsidR="000124EE">
        <w:rPr>
          <w:rFonts w:ascii="Arial" w:hAnsi="Arial" w:cs="Arial"/>
        </w:rPr>
        <w:t xml:space="preserve">, </w:t>
      </w:r>
      <w:r w:rsidR="004B3C47">
        <w:rPr>
          <w:rFonts w:ascii="Arial" w:hAnsi="Arial" w:cs="Arial"/>
        </w:rPr>
        <w:t>en concordancia con el principio de igualdad de trato.</w:t>
      </w:r>
    </w:p>
    <w:p w14:paraId="34D93F76" w14:textId="77777777" w:rsidR="00DC1C94" w:rsidRDefault="00DC1C94" w:rsidP="00DC1C94">
      <w:pPr>
        <w:pStyle w:val="Prrafodelista"/>
        <w:spacing w:line="360" w:lineRule="auto"/>
        <w:jc w:val="both"/>
        <w:rPr>
          <w:rFonts w:ascii="Arial" w:hAnsi="Arial" w:cs="Arial"/>
        </w:rPr>
      </w:pPr>
    </w:p>
    <w:p w14:paraId="7847E76D" w14:textId="7820A7F1" w:rsidR="00905864" w:rsidRDefault="00DC1C94" w:rsidP="00F861AF">
      <w:pPr>
        <w:pStyle w:val="Prrafodelista"/>
        <w:numPr>
          <w:ilvl w:val="0"/>
          <w:numId w:val="26"/>
        </w:numPr>
        <w:spacing w:line="360" w:lineRule="auto"/>
        <w:jc w:val="both"/>
        <w:rPr>
          <w:rFonts w:ascii="Arial" w:hAnsi="Arial" w:cs="Arial"/>
        </w:rPr>
      </w:pPr>
      <w:r>
        <w:rPr>
          <w:rFonts w:ascii="Arial" w:hAnsi="Arial" w:cs="Arial"/>
        </w:rPr>
        <w:t xml:space="preserve">Que el formato definido esté provisto de la información necesaria para que el lector (sea éste un potencial oferente, oferente o cualquier interesado) disponga de los datos suficientes para </w:t>
      </w:r>
      <w:r w:rsidR="007812CE">
        <w:rPr>
          <w:rFonts w:ascii="Arial" w:hAnsi="Arial" w:cs="Arial"/>
        </w:rPr>
        <w:t>su comprensión.</w:t>
      </w:r>
    </w:p>
    <w:p w14:paraId="3966E7E9" w14:textId="77777777" w:rsidR="007812CE" w:rsidRPr="007812CE" w:rsidRDefault="007812CE" w:rsidP="007812CE">
      <w:pPr>
        <w:pStyle w:val="Prrafodelista"/>
        <w:rPr>
          <w:rFonts w:ascii="Arial" w:hAnsi="Arial" w:cs="Arial"/>
        </w:rPr>
      </w:pPr>
    </w:p>
    <w:p w14:paraId="4B41E123" w14:textId="2DA20B59" w:rsidR="007812CE" w:rsidRDefault="007812CE" w:rsidP="00F861AF">
      <w:pPr>
        <w:pStyle w:val="Prrafodelista"/>
        <w:numPr>
          <w:ilvl w:val="0"/>
          <w:numId w:val="26"/>
        </w:numPr>
        <w:spacing w:line="360" w:lineRule="auto"/>
        <w:jc w:val="both"/>
        <w:rPr>
          <w:rFonts w:ascii="Arial" w:hAnsi="Arial" w:cs="Arial"/>
        </w:rPr>
      </w:pPr>
      <w:r>
        <w:rPr>
          <w:rFonts w:ascii="Arial" w:hAnsi="Arial" w:cs="Arial"/>
        </w:rPr>
        <w:t xml:space="preserve">Que el sondeo </w:t>
      </w:r>
      <w:r w:rsidR="000124EE">
        <w:rPr>
          <w:rFonts w:ascii="Arial" w:hAnsi="Arial" w:cs="Arial"/>
        </w:rPr>
        <w:t>pueda cumplir su función para estimar la contratación</w:t>
      </w:r>
      <w:r w:rsidR="00F36F28">
        <w:rPr>
          <w:rFonts w:ascii="Arial" w:hAnsi="Arial" w:cs="Arial"/>
        </w:rPr>
        <w:t xml:space="preserve"> </w:t>
      </w:r>
      <w:r w:rsidR="0001037E">
        <w:rPr>
          <w:rFonts w:ascii="Arial" w:hAnsi="Arial" w:cs="Arial"/>
        </w:rPr>
        <w:t>y efectuar</w:t>
      </w:r>
      <w:r w:rsidR="00F36F28">
        <w:rPr>
          <w:rFonts w:ascii="Arial" w:hAnsi="Arial" w:cs="Arial"/>
        </w:rPr>
        <w:t xml:space="preserve"> la razonabilidad del precio</w:t>
      </w:r>
      <w:r w:rsidR="00D12E8F">
        <w:rPr>
          <w:rFonts w:ascii="Arial" w:hAnsi="Arial" w:cs="Arial"/>
        </w:rPr>
        <w:t>.</w:t>
      </w:r>
      <w:r w:rsidR="00F36F28">
        <w:rPr>
          <w:rFonts w:ascii="Arial" w:hAnsi="Arial" w:cs="Arial"/>
        </w:rPr>
        <w:t xml:space="preserve"> </w:t>
      </w:r>
    </w:p>
    <w:p w14:paraId="196DB4BA" w14:textId="77777777" w:rsidR="00F36F28" w:rsidRPr="00F36F28" w:rsidRDefault="00F36F28" w:rsidP="00F36F28">
      <w:pPr>
        <w:pStyle w:val="Prrafodelista"/>
        <w:rPr>
          <w:rFonts w:ascii="Arial" w:hAnsi="Arial" w:cs="Arial"/>
        </w:rPr>
      </w:pPr>
    </w:p>
    <w:p w14:paraId="41209129" w14:textId="77777777" w:rsidR="00F36F28" w:rsidRPr="00F861AF" w:rsidRDefault="00F36F28" w:rsidP="00F36F28">
      <w:pPr>
        <w:pStyle w:val="Prrafodelista"/>
        <w:spacing w:line="360" w:lineRule="auto"/>
        <w:jc w:val="both"/>
        <w:rPr>
          <w:rFonts w:ascii="Arial" w:hAnsi="Arial" w:cs="Arial"/>
        </w:rPr>
      </w:pPr>
    </w:p>
    <w:p w14:paraId="1F5BA90A" w14:textId="77777777" w:rsidR="00A96FAD" w:rsidRPr="000B61AA" w:rsidRDefault="00A96FAD" w:rsidP="00A96FAD">
      <w:pPr>
        <w:numPr>
          <w:ilvl w:val="0"/>
          <w:numId w:val="16"/>
        </w:numPr>
        <w:spacing w:line="360" w:lineRule="auto"/>
        <w:ind w:left="426" w:hanging="284"/>
        <w:jc w:val="both"/>
        <w:rPr>
          <w:rFonts w:ascii="Arial" w:hAnsi="Arial" w:cs="Arial"/>
          <w:b/>
          <w:sz w:val="24"/>
          <w:szCs w:val="24"/>
        </w:rPr>
      </w:pPr>
      <w:r w:rsidRPr="000B61AA">
        <w:rPr>
          <w:rFonts w:ascii="Arial" w:hAnsi="Arial" w:cs="Arial"/>
          <w:b/>
          <w:sz w:val="24"/>
          <w:szCs w:val="24"/>
        </w:rPr>
        <w:t>GESTIÓN DE CONTRATACIONES</w:t>
      </w:r>
    </w:p>
    <w:p w14:paraId="1A70B928" w14:textId="6C31A484" w:rsidR="00A70763" w:rsidRPr="000B61AA" w:rsidRDefault="00264E8E" w:rsidP="00AD3C56">
      <w:pPr>
        <w:spacing w:line="360" w:lineRule="auto"/>
        <w:contextualSpacing/>
        <w:jc w:val="both"/>
        <w:rPr>
          <w:rFonts w:ascii="Arial" w:hAnsi="Arial" w:cs="Arial"/>
          <w:sz w:val="24"/>
          <w:szCs w:val="24"/>
        </w:rPr>
      </w:pPr>
      <w:r>
        <w:rPr>
          <w:rFonts w:ascii="Arial" w:hAnsi="Arial" w:cs="Arial"/>
          <w:sz w:val="24"/>
          <w:szCs w:val="24"/>
        </w:rPr>
        <w:t>L</w:t>
      </w:r>
      <w:r w:rsidR="00A70763" w:rsidRPr="000B61AA">
        <w:rPr>
          <w:rFonts w:ascii="Arial" w:hAnsi="Arial" w:cs="Arial"/>
          <w:sz w:val="24"/>
          <w:szCs w:val="24"/>
        </w:rPr>
        <w:t>a Unidad de Proveeduría y Servicios Generales revisa</w:t>
      </w:r>
      <w:r w:rsidR="005C3507" w:rsidRPr="000B61AA">
        <w:rPr>
          <w:rFonts w:ascii="Arial" w:hAnsi="Arial" w:cs="Arial"/>
          <w:sz w:val="24"/>
          <w:szCs w:val="24"/>
        </w:rPr>
        <w:t xml:space="preserve">, </w:t>
      </w:r>
      <w:r w:rsidR="00A70763" w:rsidRPr="000B61AA">
        <w:rPr>
          <w:rFonts w:ascii="Arial" w:hAnsi="Arial" w:cs="Arial"/>
          <w:sz w:val="24"/>
          <w:szCs w:val="24"/>
        </w:rPr>
        <w:t xml:space="preserve">aprueba las Decisiones Iniciales y procede a realizar la agrupación de éstas, tomando en cuenta el objeto contractual (similitud, tipo de proveedores, características de los bienes) o la naturaleza de la contratación (procesos ordinarios o por excepción). </w:t>
      </w:r>
    </w:p>
    <w:p w14:paraId="717BE2CF" w14:textId="77777777" w:rsidR="00502315" w:rsidRPr="000B61AA" w:rsidRDefault="00502315" w:rsidP="00AD3C56">
      <w:pPr>
        <w:spacing w:line="360" w:lineRule="auto"/>
        <w:contextualSpacing/>
        <w:jc w:val="both"/>
        <w:rPr>
          <w:rFonts w:ascii="Arial" w:hAnsi="Arial" w:cs="Arial"/>
          <w:sz w:val="24"/>
          <w:szCs w:val="24"/>
        </w:rPr>
      </w:pPr>
    </w:p>
    <w:p w14:paraId="200C8307" w14:textId="32ABF5CD" w:rsidR="00A27DD9" w:rsidRDefault="00A27DD9" w:rsidP="00AD3C56">
      <w:pPr>
        <w:spacing w:line="360" w:lineRule="auto"/>
        <w:contextualSpacing/>
        <w:jc w:val="both"/>
        <w:rPr>
          <w:rFonts w:ascii="Arial" w:hAnsi="Arial" w:cs="Arial"/>
          <w:sz w:val="24"/>
          <w:szCs w:val="24"/>
        </w:rPr>
      </w:pPr>
      <w:r w:rsidRPr="000B61AA">
        <w:rPr>
          <w:rFonts w:ascii="Arial" w:hAnsi="Arial" w:cs="Arial"/>
          <w:sz w:val="24"/>
          <w:szCs w:val="24"/>
        </w:rPr>
        <w:lastRenderedPageBreak/>
        <w:t xml:space="preserve">Lo anterior </w:t>
      </w:r>
      <w:r w:rsidR="00D55B53">
        <w:rPr>
          <w:rFonts w:ascii="Arial" w:hAnsi="Arial" w:cs="Arial"/>
          <w:sz w:val="24"/>
          <w:szCs w:val="24"/>
        </w:rPr>
        <w:t xml:space="preserve">se realiza </w:t>
      </w:r>
      <w:r w:rsidRPr="000B61AA">
        <w:rPr>
          <w:rFonts w:ascii="Arial" w:hAnsi="Arial" w:cs="Arial"/>
          <w:sz w:val="24"/>
          <w:szCs w:val="24"/>
        </w:rPr>
        <w:t>con un propósito de lograr la prevalencia de la economía de escala</w:t>
      </w:r>
      <w:r w:rsidR="00DD0F8A">
        <w:rPr>
          <w:rFonts w:ascii="Arial" w:hAnsi="Arial" w:cs="Arial"/>
          <w:sz w:val="24"/>
          <w:szCs w:val="24"/>
        </w:rPr>
        <w:t xml:space="preserve">, </w:t>
      </w:r>
      <w:r w:rsidR="00DD45F7">
        <w:rPr>
          <w:rFonts w:ascii="Arial" w:hAnsi="Arial" w:cs="Arial"/>
          <w:sz w:val="24"/>
          <w:szCs w:val="24"/>
        </w:rPr>
        <w:t>según lo contempla el artículo 82 del Reglamento a la Ley General de Contratación Pública.</w:t>
      </w:r>
    </w:p>
    <w:p w14:paraId="2061DB7C" w14:textId="77777777" w:rsidR="00FF2D81" w:rsidRDefault="00FF2D81" w:rsidP="00AD3C56">
      <w:pPr>
        <w:spacing w:line="360" w:lineRule="auto"/>
        <w:contextualSpacing/>
        <w:jc w:val="both"/>
        <w:rPr>
          <w:rFonts w:ascii="Arial" w:hAnsi="Arial" w:cs="Arial"/>
          <w:sz w:val="24"/>
          <w:szCs w:val="24"/>
        </w:rPr>
      </w:pPr>
    </w:p>
    <w:p w14:paraId="2F1E8E66" w14:textId="33ECAA75" w:rsidR="00FF2D81" w:rsidRPr="0001037E" w:rsidRDefault="00FF2D81" w:rsidP="004B4F21">
      <w:pPr>
        <w:spacing w:line="360" w:lineRule="auto"/>
        <w:ind w:left="1021"/>
        <w:jc w:val="both"/>
        <w:rPr>
          <w:rFonts w:ascii="Arial" w:hAnsi="Arial" w:cs="Arial"/>
          <w:b/>
          <w:bCs/>
          <w:i/>
          <w:iCs/>
        </w:rPr>
      </w:pPr>
      <w:r w:rsidRPr="0001037E">
        <w:rPr>
          <w:rFonts w:ascii="Arial" w:hAnsi="Arial" w:cs="Arial"/>
          <w:b/>
          <w:bCs/>
          <w:i/>
          <w:iCs/>
        </w:rPr>
        <w:t>“Artículo 82. Prevalencia de la economía de escala. En cada institución pública la proveeduría deberá consolidar los requerimientos institucionales de bienes y servicios comunes, con el fin de obtener los mejores precios al adquirir una mayor cantidad de bienes o servicios. Cuando exista desconcentración, dicha unidad debe consolidar también los requerimientos de bienes y servicios comunes de las unidades desconcentradas de la institución. Esta misma regla le aplicará a las Instituciones que cuenten con sociedades o empresas subsidiarias.</w:t>
      </w:r>
    </w:p>
    <w:p w14:paraId="77945B8D" w14:textId="77777777" w:rsidR="0001037E" w:rsidRDefault="0001037E" w:rsidP="00AD3C56">
      <w:pPr>
        <w:spacing w:line="360" w:lineRule="auto"/>
        <w:contextualSpacing/>
        <w:jc w:val="both"/>
        <w:rPr>
          <w:rFonts w:ascii="Arial" w:hAnsi="Arial" w:cs="Arial"/>
          <w:sz w:val="24"/>
          <w:szCs w:val="24"/>
        </w:rPr>
      </w:pPr>
    </w:p>
    <w:p w14:paraId="1B0B6C73" w14:textId="4FF4A615" w:rsidR="00A27DD9" w:rsidRDefault="00A27DD9" w:rsidP="00AD3C56">
      <w:pPr>
        <w:spacing w:line="360" w:lineRule="auto"/>
        <w:contextualSpacing/>
        <w:jc w:val="both"/>
        <w:rPr>
          <w:rFonts w:ascii="Arial" w:hAnsi="Arial" w:cs="Arial"/>
          <w:sz w:val="24"/>
          <w:szCs w:val="24"/>
        </w:rPr>
      </w:pPr>
      <w:r w:rsidRPr="000B61AA">
        <w:rPr>
          <w:rFonts w:ascii="Arial" w:hAnsi="Arial" w:cs="Arial"/>
          <w:sz w:val="24"/>
          <w:szCs w:val="24"/>
        </w:rPr>
        <w:t xml:space="preserve">Otro aspecto importante que se revisa al efectuar la agrupación de </w:t>
      </w:r>
      <w:r w:rsidR="55F0FAA2" w:rsidRPr="000B61AA">
        <w:rPr>
          <w:rFonts w:ascii="Arial" w:hAnsi="Arial" w:cs="Arial"/>
          <w:sz w:val="24"/>
          <w:szCs w:val="24"/>
        </w:rPr>
        <w:t>necesidades</w:t>
      </w:r>
      <w:r w:rsidR="00152ED1" w:rsidRPr="000B61AA">
        <w:rPr>
          <w:rFonts w:ascii="Arial" w:hAnsi="Arial" w:cs="Arial"/>
          <w:sz w:val="24"/>
          <w:szCs w:val="24"/>
        </w:rPr>
        <w:t xml:space="preserve"> es verificar que al tramitar las contrataciones no se incurra en fragmentación de las operaciones, es decir que, teniéndose en un mismo momento con todo el presupuesto, se realice más de una contratación para el mismo objeto, para evadir un procedimiento más complejo</w:t>
      </w:r>
      <w:r w:rsidR="0011133E">
        <w:rPr>
          <w:rFonts w:ascii="Arial" w:hAnsi="Arial" w:cs="Arial"/>
          <w:sz w:val="24"/>
          <w:szCs w:val="24"/>
        </w:rPr>
        <w:t>, según se estipula en el artículo 83, que señala:</w:t>
      </w:r>
    </w:p>
    <w:p w14:paraId="324F7913" w14:textId="77777777" w:rsidR="003A71CD" w:rsidRDefault="003A71CD" w:rsidP="00AD3C56">
      <w:pPr>
        <w:spacing w:line="360" w:lineRule="auto"/>
        <w:contextualSpacing/>
        <w:jc w:val="both"/>
        <w:rPr>
          <w:rFonts w:ascii="Arial" w:hAnsi="Arial" w:cs="Arial"/>
          <w:sz w:val="24"/>
          <w:szCs w:val="24"/>
        </w:rPr>
      </w:pPr>
    </w:p>
    <w:p w14:paraId="05506D7B" w14:textId="79723B6A" w:rsidR="0011133E" w:rsidRDefault="0011133E" w:rsidP="0001037E">
      <w:pPr>
        <w:spacing w:line="360" w:lineRule="auto"/>
        <w:ind w:left="1021"/>
        <w:contextualSpacing/>
        <w:jc w:val="both"/>
        <w:rPr>
          <w:rFonts w:ascii="Arial" w:hAnsi="Arial" w:cs="Arial"/>
          <w:b/>
          <w:bCs/>
          <w:i/>
          <w:iCs/>
          <w:lang w:val="es-419"/>
        </w:rPr>
      </w:pPr>
      <w:r w:rsidRPr="0001037E">
        <w:rPr>
          <w:rFonts w:ascii="Arial" w:hAnsi="Arial" w:cs="Arial"/>
          <w:b/>
          <w:bCs/>
          <w:i/>
          <w:iCs/>
          <w:lang w:val="es-419"/>
        </w:rPr>
        <w:t>“Artículo 83. Prohibición de fragmentación y separación por funcionalidad. La Administración no podrá fragmentar sus operaciones respecto a necesidades previsibles con el propósito de evadir el procedimiento de contratación que corresponde. Todas aquellas contrataciones que pudieran reportar economías de escala deberán efectuarse en forma centralizada, para lo cual deberá existir la planificación de las compras respectivas, si así resulta más conveniente para el interés público.</w:t>
      </w:r>
    </w:p>
    <w:p w14:paraId="6DD1A0E9" w14:textId="77777777" w:rsidR="0001037E" w:rsidRPr="0001037E" w:rsidRDefault="0001037E" w:rsidP="0011133E">
      <w:pPr>
        <w:spacing w:line="360" w:lineRule="auto"/>
        <w:contextualSpacing/>
        <w:jc w:val="both"/>
        <w:rPr>
          <w:rFonts w:ascii="Arial" w:hAnsi="Arial" w:cs="Arial"/>
          <w:b/>
          <w:bCs/>
          <w:i/>
          <w:iCs/>
          <w:lang w:val="es-419"/>
        </w:rPr>
      </w:pPr>
    </w:p>
    <w:p w14:paraId="7984CBA4" w14:textId="39EC80CD" w:rsidR="0011133E" w:rsidRPr="0001037E" w:rsidRDefault="0011133E" w:rsidP="0001037E">
      <w:pPr>
        <w:spacing w:line="360" w:lineRule="auto"/>
        <w:ind w:left="1021"/>
        <w:contextualSpacing/>
        <w:jc w:val="both"/>
        <w:rPr>
          <w:rFonts w:ascii="Arial" w:hAnsi="Arial" w:cs="Arial"/>
          <w:b/>
          <w:bCs/>
          <w:i/>
          <w:iCs/>
          <w:lang w:val="es-419"/>
        </w:rPr>
      </w:pPr>
      <w:r w:rsidRPr="0001037E">
        <w:rPr>
          <w:rFonts w:ascii="Arial" w:hAnsi="Arial" w:cs="Arial"/>
          <w:b/>
          <w:bCs/>
          <w:i/>
          <w:iCs/>
          <w:lang w:val="es-419"/>
        </w:rPr>
        <w:lastRenderedPageBreak/>
        <w:t>La fragmentación se reputa ilícita cuando, contándose en un mismo momento dentro del presupuesto aprobado con los recursos necesarios y habiéndose planificado las necesidades administrativas concretas, se realiza más de una contratación para el mismo objeto, con la finalidad de evadir un procedimiento más complejo…”</w:t>
      </w:r>
    </w:p>
    <w:p w14:paraId="204C4781" w14:textId="77777777" w:rsidR="00A27DD9" w:rsidRPr="0011133E" w:rsidRDefault="00A27DD9" w:rsidP="0011133E">
      <w:pPr>
        <w:spacing w:line="240" w:lineRule="auto"/>
        <w:contextualSpacing/>
        <w:jc w:val="both"/>
        <w:rPr>
          <w:rFonts w:ascii="Arial" w:hAnsi="Arial" w:cs="Arial"/>
          <w:sz w:val="24"/>
          <w:szCs w:val="24"/>
          <w:lang w:val="es-419"/>
        </w:rPr>
      </w:pPr>
    </w:p>
    <w:p w14:paraId="295FDD88" w14:textId="77777777" w:rsidR="00A70763" w:rsidRDefault="00152ED1" w:rsidP="00AD3C56">
      <w:pPr>
        <w:spacing w:line="360" w:lineRule="auto"/>
        <w:contextualSpacing/>
        <w:jc w:val="both"/>
        <w:rPr>
          <w:rFonts w:ascii="Arial" w:hAnsi="Arial" w:cs="Arial"/>
          <w:sz w:val="24"/>
          <w:szCs w:val="24"/>
        </w:rPr>
      </w:pPr>
      <w:r w:rsidRPr="000B61AA">
        <w:rPr>
          <w:rFonts w:ascii="Arial" w:hAnsi="Arial" w:cs="Arial"/>
          <w:sz w:val="24"/>
          <w:szCs w:val="24"/>
        </w:rPr>
        <w:t>E</w:t>
      </w:r>
      <w:r w:rsidR="00A70763" w:rsidRPr="000B61AA">
        <w:rPr>
          <w:rFonts w:ascii="Arial" w:hAnsi="Arial" w:cs="Arial"/>
          <w:sz w:val="24"/>
          <w:szCs w:val="24"/>
        </w:rPr>
        <w:t>fectuada la agrupación de las necesidades se inicia</w:t>
      </w:r>
      <w:r w:rsidR="00944B4F" w:rsidRPr="000B61AA">
        <w:rPr>
          <w:rFonts w:ascii="Arial" w:hAnsi="Arial" w:cs="Arial"/>
          <w:sz w:val="24"/>
          <w:szCs w:val="24"/>
        </w:rPr>
        <w:t>ron</w:t>
      </w:r>
      <w:r w:rsidR="00A70763" w:rsidRPr="000B61AA">
        <w:rPr>
          <w:rFonts w:ascii="Arial" w:hAnsi="Arial" w:cs="Arial"/>
          <w:sz w:val="24"/>
          <w:szCs w:val="24"/>
        </w:rPr>
        <w:t xml:space="preserve"> los procesos de contratación</w:t>
      </w:r>
      <w:r w:rsidR="00A41FCE" w:rsidRPr="000B61AA">
        <w:rPr>
          <w:rFonts w:ascii="Arial" w:hAnsi="Arial" w:cs="Arial"/>
          <w:sz w:val="24"/>
          <w:szCs w:val="24"/>
        </w:rPr>
        <w:t xml:space="preserve"> y los resultados se detallan a continuación:</w:t>
      </w:r>
    </w:p>
    <w:p w14:paraId="07B3D938" w14:textId="77777777" w:rsidR="00C720F8" w:rsidRDefault="00C720F8" w:rsidP="00AD3C56">
      <w:pPr>
        <w:spacing w:line="360" w:lineRule="auto"/>
        <w:contextualSpacing/>
        <w:jc w:val="both"/>
        <w:rPr>
          <w:rFonts w:ascii="Arial" w:hAnsi="Arial" w:cs="Arial"/>
          <w:sz w:val="24"/>
          <w:szCs w:val="24"/>
        </w:rPr>
      </w:pPr>
    </w:p>
    <w:p w14:paraId="50254961" w14:textId="4323D042" w:rsidR="00C720F8" w:rsidRPr="0084011A" w:rsidRDefault="00C720F8" w:rsidP="0084011A">
      <w:pPr>
        <w:pStyle w:val="Prrafodelista"/>
        <w:numPr>
          <w:ilvl w:val="0"/>
          <w:numId w:val="28"/>
        </w:numPr>
        <w:spacing w:line="360" w:lineRule="auto"/>
        <w:jc w:val="both"/>
        <w:rPr>
          <w:rFonts w:ascii="Arial" w:hAnsi="Arial" w:cs="Arial"/>
          <w:b/>
          <w:bCs/>
        </w:rPr>
      </w:pPr>
      <w:bookmarkStart w:id="0" w:name="_Hlk221950110"/>
      <w:r w:rsidRPr="0084011A">
        <w:rPr>
          <w:rFonts w:ascii="Arial" w:hAnsi="Arial" w:cs="Arial"/>
          <w:b/>
          <w:bCs/>
        </w:rPr>
        <w:t>Contrataciones con recursos de presupuesto ordinario Fonafifo:</w:t>
      </w:r>
    </w:p>
    <w:bookmarkEnd w:id="0"/>
    <w:p w14:paraId="20B3AFD9" w14:textId="77777777" w:rsidR="00767570" w:rsidRDefault="00767570" w:rsidP="00AD3C56">
      <w:pPr>
        <w:spacing w:line="360" w:lineRule="auto"/>
        <w:contextualSpacing/>
        <w:jc w:val="both"/>
        <w:rPr>
          <w:rFonts w:ascii="Arial" w:hAnsi="Arial" w:cs="Arial"/>
          <w:sz w:val="24"/>
          <w:szCs w:val="24"/>
        </w:rPr>
      </w:pPr>
    </w:p>
    <w:p w14:paraId="4A57E1D2" w14:textId="2EE1E89A" w:rsidR="00A41FCE" w:rsidRDefault="00767570" w:rsidP="00AD3C56">
      <w:pPr>
        <w:spacing w:line="360" w:lineRule="auto"/>
        <w:contextualSpacing/>
        <w:jc w:val="both"/>
        <w:rPr>
          <w:rFonts w:ascii="Arial" w:hAnsi="Arial" w:cs="Arial"/>
          <w:sz w:val="24"/>
          <w:szCs w:val="24"/>
        </w:rPr>
      </w:pPr>
      <w:r w:rsidRPr="00EE4DF5">
        <w:rPr>
          <w:rFonts w:ascii="Arial" w:hAnsi="Arial" w:cs="Arial"/>
          <w:noProof/>
          <w:sz w:val="24"/>
          <w:szCs w:val="24"/>
        </w:rPr>
        <w:drawing>
          <wp:inline distT="0" distB="0" distL="0" distR="0" wp14:anchorId="18A1254D" wp14:editId="77F12106">
            <wp:extent cx="5581015" cy="1774825"/>
            <wp:effectExtent l="0" t="0" r="635" b="0"/>
            <wp:docPr id="62" name="Imagen 61" descr="Tabla&#10;&#10;El contenido generado por IA puede ser incorrecto.">
              <a:extLst xmlns:a="http://schemas.openxmlformats.org/drawingml/2006/main">
                <a:ext uri="{FF2B5EF4-FFF2-40B4-BE49-F238E27FC236}">
                  <a16:creationId xmlns:a16="http://schemas.microsoft.com/office/drawing/2014/main" id="{0F76B9EB-D779-A368-25A9-B2D066C1B7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n 61" descr="Tabla&#10;&#10;El contenido generado por IA puede ser incorrecto.">
                      <a:extLst>
                        <a:ext uri="{FF2B5EF4-FFF2-40B4-BE49-F238E27FC236}">
                          <a16:creationId xmlns:a16="http://schemas.microsoft.com/office/drawing/2014/main" id="{0F76B9EB-D779-A368-25A9-B2D066C1B79B}"/>
                        </a:ext>
                      </a:extLst>
                    </pic:cNvPr>
                    <pic:cNvPicPr>
                      <a:picLocks noChangeAspect="1"/>
                    </pic:cNvPicPr>
                  </pic:nvPicPr>
                  <pic:blipFill>
                    <a:blip r:embed="rId9"/>
                    <a:stretch>
                      <a:fillRect/>
                    </a:stretch>
                  </pic:blipFill>
                  <pic:spPr>
                    <a:xfrm>
                      <a:off x="0" y="0"/>
                      <a:ext cx="5581015" cy="1774825"/>
                    </a:xfrm>
                    <a:prstGeom prst="rect">
                      <a:avLst/>
                    </a:prstGeom>
                    <a:effectLst/>
                  </pic:spPr>
                </pic:pic>
              </a:graphicData>
            </a:graphic>
          </wp:inline>
        </w:drawing>
      </w:r>
    </w:p>
    <w:p w14:paraId="0553A98D" w14:textId="2BA51A5D" w:rsidR="0011133E" w:rsidRDefault="0019366A" w:rsidP="00AD3C56">
      <w:pPr>
        <w:spacing w:line="360" w:lineRule="auto"/>
        <w:contextualSpacing/>
        <w:jc w:val="both"/>
        <w:rPr>
          <w:rFonts w:ascii="Arial" w:hAnsi="Arial" w:cs="Arial"/>
          <w:sz w:val="24"/>
          <w:szCs w:val="24"/>
        </w:rPr>
      </w:pPr>
      <w:r w:rsidRPr="0019366A">
        <w:rPr>
          <w:rFonts w:ascii="Arial" w:hAnsi="Arial" w:cs="Arial"/>
          <w:noProof/>
          <w:sz w:val="24"/>
          <w:szCs w:val="24"/>
        </w:rPr>
        <mc:AlternateContent>
          <mc:Choice Requires="wps">
            <w:drawing>
              <wp:anchor distT="0" distB="0" distL="114300" distR="114300" simplePos="0" relativeHeight="251659264" behindDoc="0" locked="0" layoutInCell="1" allowOverlap="1" wp14:anchorId="51EC842B" wp14:editId="02730BDA">
                <wp:simplePos x="0" y="0"/>
                <wp:positionH relativeFrom="column">
                  <wp:posOffset>1242</wp:posOffset>
                </wp:positionH>
                <wp:positionV relativeFrom="paragraph">
                  <wp:posOffset>21783</wp:posOffset>
                </wp:positionV>
                <wp:extent cx="5819775" cy="747423"/>
                <wp:effectExtent l="0" t="0" r="0" b="0"/>
                <wp:wrapNone/>
                <wp:docPr id="65" name="CuadroTexto 64">
                  <a:extLst xmlns:a="http://schemas.openxmlformats.org/drawingml/2006/main">
                    <a:ext uri="{FF2B5EF4-FFF2-40B4-BE49-F238E27FC236}">
                      <a16:creationId xmlns:a16="http://schemas.microsoft.com/office/drawing/2014/main" id="{6F1ADFCE-02E5-CECC-51BC-65AA4B373CA6}"/>
                    </a:ext>
                  </a:extLst>
                </wp:docPr>
                <wp:cNvGraphicFramePr/>
                <a:graphic xmlns:a="http://schemas.openxmlformats.org/drawingml/2006/main">
                  <a:graphicData uri="http://schemas.microsoft.com/office/word/2010/wordprocessingShape">
                    <wps:wsp>
                      <wps:cNvSpPr txBox="1"/>
                      <wps:spPr>
                        <a:xfrm>
                          <a:off x="0" y="0"/>
                          <a:ext cx="5819775" cy="747423"/>
                        </a:xfrm>
                        <a:prstGeom prst="rect">
                          <a:avLst/>
                        </a:prstGeom>
                        <a:noFill/>
                      </wps:spPr>
                      <wps:txbx>
                        <w:txbxContent>
                          <w:p w14:paraId="5B0A1B97" w14:textId="77777777" w:rsidR="0019366A" w:rsidRPr="0019366A" w:rsidRDefault="0019366A" w:rsidP="0019366A">
                            <w:pPr>
                              <w:pStyle w:val="Prrafodelista"/>
                              <w:numPr>
                                <w:ilvl w:val="0"/>
                                <w:numId w:val="27"/>
                              </w:numPr>
                              <w:rPr>
                                <w:rFonts w:asciiTheme="minorHAnsi" w:hAnsi="Calibri" w:cstheme="minorBidi"/>
                                <w:color w:val="000000" w:themeColor="text1"/>
                                <w:kern w:val="24"/>
                                <w:sz w:val="20"/>
                                <w:szCs w:val="20"/>
                                <w:lang w:val="es-CR"/>
                              </w:rPr>
                            </w:pPr>
                            <w:r w:rsidRPr="0019366A">
                              <w:rPr>
                                <w:rFonts w:asciiTheme="minorHAnsi" w:hAnsi="Calibri" w:cstheme="minorBidi"/>
                                <w:color w:val="000000" w:themeColor="text1"/>
                                <w:kern w:val="24"/>
                                <w:sz w:val="20"/>
                                <w:szCs w:val="20"/>
                                <w:lang w:val="es-CR"/>
                              </w:rPr>
                              <w:t xml:space="preserve">En el periodo 2025 se adjudicaron 2 contrataciones que se iniciaron en el 2024. </w:t>
                            </w:r>
                          </w:p>
                          <w:p w14:paraId="2DD146C6" w14:textId="77777777" w:rsidR="0019366A" w:rsidRPr="0019366A" w:rsidRDefault="0019366A" w:rsidP="0019366A">
                            <w:pPr>
                              <w:pStyle w:val="Prrafodelista"/>
                              <w:numPr>
                                <w:ilvl w:val="0"/>
                                <w:numId w:val="27"/>
                              </w:numPr>
                              <w:rPr>
                                <w:rFonts w:asciiTheme="minorHAnsi" w:hAnsi="Calibri" w:cstheme="minorBidi"/>
                                <w:color w:val="000000" w:themeColor="text1"/>
                                <w:kern w:val="24"/>
                                <w:sz w:val="20"/>
                                <w:szCs w:val="20"/>
                                <w:lang w:val="es-CR"/>
                              </w:rPr>
                            </w:pPr>
                            <w:r w:rsidRPr="0019366A">
                              <w:rPr>
                                <w:rFonts w:asciiTheme="minorHAnsi" w:hAnsi="Calibri" w:cstheme="minorBidi"/>
                                <w:color w:val="000000" w:themeColor="text1"/>
                                <w:kern w:val="24"/>
                                <w:sz w:val="20"/>
                                <w:szCs w:val="20"/>
                                <w:lang w:val="es-CR"/>
                              </w:rPr>
                              <w:t>Todas las contrataciones de Fonafifo y sus fideicomisos se realizan en la plataforma de compras públicas Sicop</w:t>
                            </w:r>
                          </w:p>
                          <w:p w14:paraId="5094E861" w14:textId="77777777" w:rsidR="0019366A" w:rsidRPr="0019366A" w:rsidRDefault="0019366A" w:rsidP="005622B2">
                            <w:pPr>
                              <w:pStyle w:val="Prrafodelista"/>
                              <w:numPr>
                                <w:ilvl w:val="0"/>
                                <w:numId w:val="27"/>
                              </w:numPr>
                              <w:rPr>
                                <w:rFonts w:asciiTheme="minorHAnsi" w:hAnsi="Calibri" w:cstheme="minorBidi"/>
                                <w:color w:val="000000" w:themeColor="text1"/>
                                <w:kern w:val="24"/>
                                <w:sz w:val="20"/>
                                <w:szCs w:val="20"/>
                                <w:lang w:val="es-CR"/>
                              </w:rPr>
                            </w:pPr>
                            <w:r w:rsidRPr="00DB6A03">
                              <w:rPr>
                                <w:rFonts w:asciiTheme="minorHAnsi" w:hAnsi="Calibri" w:cstheme="minorBidi"/>
                                <w:color w:val="000000" w:themeColor="text1"/>
                                <w:kern w:val="24"/>
                                <w:sz w:val="20"/>
                                <w:szCs w:val="20"/>
                                <w:lang w:val="es-CR"/>
                              </w:rPr>
                              <w:t>Fuente:  Cuadro obtenido de la página de la CGR (cgrweb.cgr.go.cr)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1EC842B" id="_x0000_t202" coordsize="21600,21600" o:spt="202" path="m,l,21600r21600,l21600,xe">
                <v:stroke joinstyle="miter"/>
                <v:path gradientshapeok="t" o:connecttype="rect"/>
              </v:shapetype>
              <v:shape id="CuadroTexto 64" o:spid="_x0000_s1026" type="#_x0000_t202" style="position:absolute;left:0;text-align:left;margin-left:.1pt;margin-top:1.7pt;width:458.25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" filled="f" stroked="f">
                <v:textbox>
                  <w:txbxContent>
                    <w:p w14:paraId="5B0A1B97" w14:textId="77777777" w:rsidR="0019366A" w:rsidRPr="0019366A" w:rsidRDefault="0019366A" w:rsidP="0019366A">
                      <w:pPr>
                        <w:pStyle w:val="Prrafodelista"/>
                        <w:numPr>
                          <w:ilvl w:val="0"/>
                          <w:numId w:val="27"/>
                        </w:numPr>
                        <w:rPr>
                          <w:rFonts w:asciiTheme="minorHAnsi" w:hAnsi="Calibri" w:cstheme="minorBidi"/>
                          <w:color w:val="000000" w:themeColor="text1"/>
                          <w:kern w:val="24"/>
                          <w:sz w:val="20"/>
                          <w:szCs w:val="20"/>
                          <w:lang w:val="es-CR"/>
                        </w:rPr>
                      </w:pPr>
                      <w:r w:rsidRPr="0019366A">
                        <w:rPr>
                          <w:rFonts w:asciiTheme="minorHAnsi" w:hAnsi="Calibri" w:cstheme="minorBidi"/>
                          <w:color w:val="000000" w:themeColor="text1"/>
                          <w:kern w:val="24"/>
                          <w:sz w:val="20"/>
                          <w:szCs w:val="20"/>
                          <w:lang w:val="es-CR"/>
                        </w:rPr>
                        <w:t xml:space="preserve">En el periodo 2025 se adjudicaron 2 contrataciones que se iniciaron en el 2024. </w:t>
                      </w:r>
                    </w:p>
                    <w:p w14:paraId="2DD146C6" w14:textId="77777777" w:rsidR="0019366A" w:rsidRPr="0019366A" w:rsidRDefault="0019366A" w:rsidP="0019366A">
                      <w:pPr>
                        <w:pStyle w:val="Prrafodelista"/>
                        <w:numPr>
                          <w:ilvl w:val="0"/>
                          <w:numId w:val="27"/>
                        </w:numPr>
                        <w:rPr>
                          <w:rFonts w:asciiTheme="minorHAnsi" w:hAnsi="Calibri" w:cstheme="minorBidi"/>
                          <w:color w:val="000000" w:themeColor="text1"/>
                          <w:kern w:val="24"/>
                          <w:sz w:val="20"/>
                          <w:szCs w:val="20"/>
                          <w:lang w:val="es-CR"/>
                        </w:rPr>
                      </w:pPr>
                      <w:r w:rsidRPr="0019366A">
                        <w:rPr>
                          <w:rFonts w:asciiTheme="minorHAnsi" w:hAnsi="Calibri" w:cstheme="minorBidi"/>
                          <w:color w:val="000000" w:themeColor="text1"/>
                          <w:kern w:val="24"/>
                          <w:sz w:val="20"/>
                          <w:szCs w:val="20"/>
                          <w:lang w:val="es-CR"/>
                        </w:rPr>
                        <w:t>Todas las contrataciones de Fonafifo y sus fideicomisos se realizan en la plataforma de compras públicas Sicop</w:t>
                      </w:r>
                    </w:p>
                    <w:p w14:paraId="5094E861" w14:textId="77777777" w:rsidR="0019366A" w:rsidRPr="0019366A" w:rsidRDefault="0019366A" w:rsidP="005622B2">
                      <w:pPr>
                        <w:pStyle w:val="Prrafodelista"/>
                        <w:numPr>
                          <w:ilvl w:val="0"/>
                          <w:numId w:val="27"/>
                        </w:numPr>
                        <w:rPr>
                          <w:rFonts w:asciiTheme="minorHAnsi" w:hAnsi="Calibri" w:cstheme="minorBidi"/>
                          <w:color w:val="000000" w:themeColor="text1"/>
                          <w:kern w:val="24"/>
                          <w:sz w:val="20"/>
                          <w:szCs w:val="20"/>
                          <w:lang w:val="es-CR"/>
                        </w:rPr>
                      </w:pPr>
                      <w:r w:rsidRPr="00DB6A03">
                        <w:rPr>
                          <w:rFonts w:asciiTheme="minorHAnsi" w:hAnsi="Calibri" w:cstheme="minorBidi"/>
                          <w:color w:val="000000" w:themeColor="text1"/>
                          <w:kern w:val="24"/>
                          <w:sz w:val="20"/>
                          <w:szCs w:val="20"/>
                          <w:lang w:val="es-CR"/>
                        </w:rPr>
                        <w:t>Fuente:  Cuadro obtenido de la página de la CGR (cgrweb.cgr.go.cr)</w:t>
                      </w:r>
                    </w:p>
                  </w:txbxContent>
                </v:textbox>
              </v:shape>
            </w:pict>
          </mc:Fallback>
        </mc:AlternateContent>
      </w:r>
    </w:p>
    <w:p w14:paraId="726BF08E" w14:textId="686029D9" w:rsidR="0019366A" w:rsidRDefault="0019366A" w:rsidP="00AD3C56">
      <w:pPr>
        <w:spacing w:line="360" w:lineRule="auto"/>
        <w:contextualSpacing/>
        <w:jc w:val="both"/>
        <w:rPr>
          <w:rFonts w:ascii="Arial" w:hAnsi="Arial" w:cs="Arial"/>
          <w:sz w:val="24"/>
          <w:szCs w:val="24"/>
        </w:rPr>
      </w:pPr>
    </w:p>
    <w:p w14:paraId="05195CCF" w14:textId="77777777" w:rsidR="0011133E" w:rsidRDefault="0011133E" w:rsidP="00AD3C56">
      <w:pPr>
        <w:spacing w:line="360" w:lineRule="auto"/>
        <w:contextualSpacing/>
        <w:jc w:val="both"/>
        <w:rPr>
          <w:rFonts w:ascii="Arial" w:hAnsi="Arial" w:cs="Arial"/>
          <w:sz w:val="24"/>
          <w:szCs w:val="24"/>
        </w:rPr>
      </w:pPr>
    </w:p>
    <w:p w14:paraId="35134890" w14:textId="77777777" w:rsidR="00767570" w:rsidRDefault="00767570" w:rsidP="00AD3C56">
      <w:pPr>
        <w:spacing w:line="360" w:lineRule="auto"/>
        <w:contextualSpacing/>
        <w:jc w:val="both"/>
        <w:rPr>
          <w:rFonts w:ascii="Arial" w:hAnsi="Arial" w:cs="Arial"/>
          <w:sz w:val="24"/>
          <w:szCs w:val="24"/>
        </w:rPr>
      </w:pPr>
    </w:p>
    <w:p w14:paraId="7E288120" w14:textId="23E65324" w:rsidR="00FC02A7" w:rsidRDefault="00E242A8" w:rsidP="00AD3C56">
      <w:pPr>
        <w:spacing w:line="360" w:lineRule="auto"/>
        <w:contextualSpacing/>
        <w:jc w:val="both"/>
        <w:rPr>
          <w:rFonts w:ascii="Arial" w:hAnsi="Arial" w:cs="Arial"/>
          <w:sz w:val="24"/>
          <w:szCs w:val="24"/>
        </w:rPr>
      </w:pPr>
      <w:r>
        <w:rPr>
          <w:rFonts w:ascii="Arial" w:hAnsi="Arial" w:cs="Arial"/>
          <w:sz w:val="24"/>
          <w:szCs w:val="24"/>
        </w:rPr>
        <w:t xml:space="preserve">Se tomaron los datos de contrataciones con recursos de presupuesto ordinario desde la página web de la Contraloría General de la República puesto que son los datos oficiales </w:t>
      </w:r>
      <w:r w:rsidR="00012E74">
        <w:rPr>
          <w:rFonts w:ascii="Arial" w:hAnsi="Arial" w:cs="Arial"/>
          <w:sz w:val="24"/>
          <w:szCs w:val="24"/>
        </w:rPr>
        <w:t>y extraídos por dicha entidad directamente de</w:t>
      </w:r>
      <w:r w:rsidR="00CA7793">
        <w:rPr>
          <w:rFonts w:ascii="Arial" w:hAnsi="Arial" w:cs="Arial"/>
          <w:sz w:val="24"/>
          <w:szCs w:val="24"/>
        </w:rPr>
        <w:t xml:space="preserve"> la plataforma de compras públicas Sicop</w:t>
      </w:r>
      <w:r w:rsidR="00F35535">
        <w:rPr>
          <w:rFonts w:ascii="Arial" w:hAnsi="Arial" w:cs="Arial"/>
          <w:sz w:val="24"/>
          <w:szCs w:val="24"/>
        </w:rPr>
        <w:t>, para el caso de las instituciones</w:t>
      </w:r>
      <w:r w:rsidR="00CA7793">
        <w:rPr>
          <w:rFonts w:ascii="Arial" w:hAnsi="Arial" w:cs="Arial"/>
          <w:sz w:val="24"/>
          <w:szCs w:val="24"/>
        </w:rPr>
        <w:t>.</w:t>
      </w:r>
    </w:p>
    <w:p w14:paraId="0CA2E949" w14:textId="77777777" w:rsidR="00CA7793" w:rsidRDefault="00CA7793" w:rsidP="00AD3C56">
      <w:pPr>
        <w:spacing w:line="360" w:lineRule="auto"/>
        <w:contextualSpacing/>
        <w:jc w:val="both"/>
        <w:rPr>
          <w:rFonts w:ascii="Arial" w:hAnsi="Arial" w:cs="Arial"/>
          <w:sz w:val="24"/>
          <w:szCs w:val="24"/>
        </w:rPr>
      </w:pPr>
    </w:p>
    <w:p w14:paraId="29849AD2" w14:textId="52D71133" w:rsidR="0084011A" w:rsidRPr="0084011A" w:rsidRDefault="0084011A" w:rsidP="00FC02A7">
      <w:pPr>
        <w:pStyle w:val="Prrafodelista"/>
        <w:numPr>
          <w:ilvl w:val="0"/>
          <w:numId w:val="28"/>
        </w:numPr>
        <w:spacing w:line="360" w:lineRule="auto"/>
        <w:jc w:val="both"/>
        <w:rPr>
          <w:rFonts w:ascii="Arial" w:hAnsi="Arial" w:cs="Arial"/>
          <w:b/>
          <w:bCs/>
        </w:rPr>
      </w:pPr>
      <w:r w:rsidRPr="0084011A">
        <w:rPr>
          <w:rFonts w:ascii="Arial" w:hAnsi="Arial" w:cs="Arial"/>
          <w:b/>
          <w:bCs/>
        </w:rPr>
        <w:lastRenderedPageBreak/>
        <w:t>Contrataciones con recursos de</w:t>
      </w:r>
      <w:r w:rsidR="00FC02A7">
        <w:rPr>
          <w:rFonts w:ascii="Arial" w:hAnsi="Arial" w:cs="Arial"/>
          <w:b/>
          <w:bCs/>
        </w:rPr>
        <w:t>l Fideicomiso 544 Fonafifo/BNCR</w:t>
      </w:r>
      <w:r w:rsidRPr="0084011A">
        <w:rPr>
          <w:rFonts w:ascii="Arial" w:hAnsi="Arial" w:cs="Arial"/>
          <w:b/>
          <w:bCs/>
        </w:rPr>
        <w:t>:</w:t>
      </w:r>
    </w:p>
    <w:p w14:paraId="6378BA01" w14:textId="77777777" w:rsidR="0084011A" w:rsidRPr="0084011A" w:rsidRDefault="0084011A" w:rsidP="00F35535">
      <w:pPr>
        <w:spacing w:line="240" w:lineRule="auto"/>
        <w:contextualSpacing/>
        <w:jc w:val="both"/>
        <w:rPr>
          <w:rFonts w:ascii="Arial" w:hAnsi="Arial" w:cs="Arial"/>
          <w:sz w:val="24"/>
          <w:szCs w:val="24"/>
          <w:lang w:val="es-ES"/>
        </w:rPr>
      </w:pPr>
    </w:p>
    <w:p w14:paraId="129A5EA6" w14:textId="6CA3B7E6" w:rsidR="00DB6A03" w:rsidRDefault="00DB6A03" w:rsidP="00FB5544">
      <w:pPr>
        <w:ind w:left="360"/>
        <w:jc w:val="both"/>
        <w:rPr>
          <w:rFonts w:ascii="Arial" w:hAnsi="Arial" w:cs="Arial"/>
          <w:sz w:val="24"/>
          <w:szCs w:val="24"/>
        </w:rPr>
      </w:pPr>
      <w:r w:rsidRPr="00DB6A03">
        <w:rPr>
          <w:rFonts w:ascii="Arial" w:hAnsi="Arial" w:cs="Arial"/>
          <w:sz w:val="24"/>
          <w:szCs w:val="24"/>
        </w:rPr>
        <w:t>A partir de junio 2025, las contrataciones con recursos de Fideicomiso se tramitan de forma separada en Sicop, por tanto, se incluyen en el cuadro siguiente</w:t>
      </w:r>
      <w:r w:rsidR="002843CC">
        <w:rPr>
          <w:rFonts w:ascii="Arial" w:hAnsi="Arial" w:cs="Arial"/>
          <w:sz w:val="24"/>
          <w:szCs w:val="24"/>
        </w:rPr>
        <w:t xml:space="preserve"> los procedimientos de compra tramitados con recursos del Fideicomiso 544</w:t>
      </w:r>
      <w:r w:rsidR="00FB5544">
        <w:rPr>
          <w:rFonts w:ascii="Arial" w:hAnsi="Arial" w:cs="Arial"/>
          <w:sz w:val="24"/>
          <w:szCs w:val="24"/>
        </w:rPr>
        <w:t xml:space="preserve"> Fonafifo/BNCR.</w:t>
      </w:r>
      <w:r w:rsidR="00CA7793">
        <w:rPr>
          <w:rFonts w:ascii="Arial" w:hAnsi="Arial" w:cs="Arial"/>
          <w:sz w:val="24"/>
          <w:szCs w:val="24"/>
        </w:rPr>
        <w:t xml:space="preserve"> </w:t>
      </w:r>
    </w:p>
    <w:p w14:paraId="4DD1164E" w14:textId="77777777" w:rsidR="00861747" w:rsidRDefault="00861747" w:rsidP="00861747">
      <w:pPr>
        <w:spacing w:line="240" w:lineRule="auto"/>
        <w:ind w:left="357"/>
        <w:contextualSpacing/>
        <w:jc w:val="both"/>
        <w:rPr>
          <w:rFonts w:ascii="Arial" w:hAnsi="Arial" w:cs="Arial"/>
          <w:sz w:val="24"/>
          <w:szCs w:val="24"/>
        </w:rPr>
      </w:pPr>
    </w:p>
    <w:tbl>
      <w:tblPr>
        <w:tblW w:w="5428" w:type="dxa"/>
        <w:jc w:val="center"/>
        <w:tblCellMar>
          <w:left w:w="70" w:type="dxa"/>
          <w:right w:w="70" w:type="dxa"/>
        </w:tblCellMar>
        <w:tblLook w:val="04A0" w:firstRow="1" w:lastRow="0" w:firstColumn="1" w:lastColumn="0" w:noHBand="0" w:noVBand="1"/>
      </w:tblPr>
      <w:tblGrid>
        <w:gridCol w:w="3964"/>
        <w:gridCol w:w="634"/>
        <w:gridCol w:w="830"/>
      </w:tblGrid>
      <w:tr w:rsidR="00A64E6F" w:rsidRPr="003C2171" w14:paraId="23BDBEB9" w14:textId="77777777" w:rsidTr="00E019F6">
        <w:trPr>
          <w:trHeight w:val="263"/>
          <w:jc w:val="center"/>
        </w:trPr>
        <w:tc>
          <w:tcPr>
            <w:tcW w:w="3964"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547BB176" w14:textId="3669A1F6" w:rsidR="00A64E6F" w:rsidRPr="003C2171" w:rsidRDefault="00E019F6" w:rsidP="00EA1274">
            <w:pPr>
              <w:spacing w:after="0" w:line="240" w:lineRule="auto"/>
              <w:rPr>
                <w:rFonts w:ascii="Calibri" w:eastAsia="Times New Roman" w:hAnsi="Calibri" w:cs="Calibri"/>
                <w:color w:val="000000"/>
                <w:lang w:val="es-419" w:eastAsia="es-419"/>
              </w:rPr>
            </w:pPr>
            <w:r>
              <w:rPr>
                <w:rFonts w:ascii="Calibri" w:eastAsia="Times New Roman" w:hAnsi="Calibri" w:cs="Calibri"/>
                <w:color w:val="000000"/>
                <w:lang w:val="es-419" w:eastAsia="es-419"/>
              </w:rPr>
              <w:t xml:space="preserve">CONTRATACIONES FIDEICOMISO </w:t>
            </w:r>
            <w:r w:rsidR="00A64E6F" w:rsidRPr="003C2171">
              <w:rPr>
                <w:rFonts w:ascii="Calibri" w:eastAsia="Times New Roman" w:hAnsi="Calibri" w:cs="Calibri"/>
                <w:color w:val="000000"/>
                <w:lang w:val="es-419" w:eastAsia="es-419"/>
              </w:rPr>
              <w:t>2025</w:t>
            </w:r>
          </w:p>
        </w:tc>
        <w:tc>
          <w:tcPr>
            <w:tcW w:w="634" w:type="dxa"/>
            <w:tcBorders>
              <w:top w:val="single" w:sz="4" w:space="0" w:color="auto"/>
              <w:left w:val="nil"/>
              <w:bottom w:val="single" w:sz="4" w:space="0" w:color="auto"/>
              <w:right w:val="single" w:sz="4" w:space="0" w:color="auto"/>
            </w:tcBorders>
            <w:shd w:val="clear" w:color="000000" w:fill="FCD5B4"/>
            <w:noWrap/>
            <w:vAlign w:val="bottom"/>
            <w:hideMark/>
          </w:tcPr>
          <w:p w14:paraId="2853EFEF" w14:textId="77777777" w:rsidR="00A64E6F" w:rsidRPr="003C2171" w:rsidRDefault="00A64E6F" w:rsidP="00EA1274">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CANT</w:t>
            </w:r>
          </w:p>
        </w:tc>
        <w:tc>
          <w:tcPr>
            <w:tcW w:w="830" w:type="dxa"/>
            <w:tcBorders>
              <w:top w:val="single" w:sz="4" w:space="0" w:color="auto"/>
              <w:left w:val="nil"/>
              <w:bottom w:val="single" w:sz="4" w:space="0" w:color="auto"/>
              <w:right w:val="single" w:sz="4" w:space="0" w:color="auto"/>
            </w:tcBorders>
            <w:shd w:val="clear" w:color="000000" w:fill="FCD5B4"/>
            <w:noWrap/>
            <w:vAlign w:val="bottom"/>
            <w:hideMark/>
          </w:tcPr>
          <w:p w14:paraId="3728652A" w14:textId="77777777" w:rsidR="00A64E6F" w:rsidRPr="003C2171" w:rsidRDefault="00A64E6F" w:rsidP="00EA1274">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w:t>
            </w:r>
          </w:p>
        </w:tc>
      </w:tr>
      <w:tr w:rsidR="00A64E6F" w:rsidRPr="003C2171" w14:paraId="430DACFB" w14:textId="77777777" w:rsidTr="00E019F6">
        <w:trPr>
          <w:trHeight w:val="263"/>
          <w:jc w:val="center"/>
        </w:trPr>
        <w:tc>
          <w:tcPr>
            <w:tcW w:w="3964" w:type="dxa"/>
            <w:tcBorders>
              <w:top w:val="nil"/>
              <w:left w:val="single" w:sz="4" w:space="0" w:color="auto"/>
              <w:bottom w:val="single" w:sz="4" w:space="0" w:color="auto"/>
              <w:right w:val="single" w:sz="4" w:space="0" w:color="auto"/>
            </w:tcBorders>
            <w:noWrap/>
            <w:vAlign w:val="bottom"/>
            <w:hideMark/>
          </w:tcPr>
          <w:p w14:paraId="414A771B" w14:textId="43756720" w:rsidR="00A64E6F" w:rsidRPr="003C2171" w:rsidRDefault="00E019F6" w:rsidP="00EA1274">
            <w:pPr>
              <w:spacing w:after="0" w:line="240" w:lineRule="auto"/>
              <w:rPr>
                <w:rFonts w:ascii="Calibri" w:eastAsia="Times New Roman" w:hAnsi="Calibri" w:cs="Calibri"/>
                <w:color w:val="000000"/>
                <w:lang w:val="es-419" w:eastAsia="es-419"/>
              </w:rPr>
            </w:pPr>
            <w:r>
              <w:rPr>
                <w:rFonts w:ascii="Calibri" w:eastAsia="Times New Roman" w:hAnsi="Calibri" w:cs="Calibri"/>
                <w:color w:val="000000"/>
                <w:lang w:val="es-419" w:eastAsia="es-419"/>
              </w:rPr>
              <w:t>LICITACIONES MAYORES</w:t>
            </w:r>
          </w:p>
        </w:tc>
        <w:tc>
          <w:tcPr>
            <w:tcW w:w="634" w:type="dxa"/>
            <w:tcBorders>
              <w:top w:val="nil"/>
              <w:left w:val="nil"/>
              <w:bottom w:val="single" w:sz="4" w:space="0" w:color="auto"/>
              <w:right w:val="single" w:sz="4" w:space="0" w:color="auto"/>
            </w:tcBorders>
            <w:noWrap/>
            <w:vAlign w:val="bottom"/>
            <w:hideMark/>
          </w:tcPr>
          <w:p w14:paraId="60C80D9D" w14:textId="6EFBF8E8" w:rsidR="00A64E6F" w:rsidRPr="003C2171" w:rsidRDefault="00E019F6" w:rsidP="00EA1274">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p>
        </w:tc>
        <w:tc>
          <w:tcPr>
            <w:tcW w:w="830" w:type="dxa"/>
            <w:tcBorders>
              <w:top w:val="nil"/>
              <w:left w:val="nil"/>
              <w:bottom w:val="single" w:sz="4" w:space="0" w:color="auto"/>
              <w:right w:val="single" w:sz="4" w:space="0" w:color="auto"/>
            </w:tcBorders>
            <w:noWrap/>
            <w:vAlign w:val="bottom"/>
            <w:hideMark/>
          </w:tcPr>
          <w:p w14:paraId="75BF32D3" w14:textId="793E9172" w:rsidR="00A64E6F" w:rsidRPr="003C2171" w:rsidRDefault="00E019F6" w:rsidP="00EA1274">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0</w:t>
            </w:r>
            <w:r w:rsidR="00A64E6F" w:rsidRPr="003C2171">
              <w:rPr>
                <w:rFonts w:ascii="Calibri" w:eastAsia="Times New Roman" w:hAnsi="Calibri" w:cs="Calibri"/>
                <w:color w:val="000000"/>
                <w:lang w:val="es-419" w:eastAsia="es-419"/>
              </w:rPr>
              <w:t>%</w:t>
            </w:r>
          </w:p>
        </w:tc>
      </w:tr>
      <w:tr w:rsidR="00A64E6F" w:rsidRPr="003C2171" w14:paraId="5CDE812B" w14:textId="77777777" w:rsidTr="00E019F6">
        <w:trPr>
          <w:trHeight w:val="263"/>
          <w:jc w:val="center"/>
        </w:trPr>
        <w:tc>
          <w:tcPr>
            <w:tcW w:w="3964" w:type="dxa"/>
            <w:tcBorders>
              <w:top w:val="nil"/>
              <w:left w:val="single" w:sz="4" w:space="0" w:color="auto"/>
              <w:bottom w:val="single" w:sz="4" w:space="0" w:color="auto"/>
              <w:right w:val="single" w:sz="4" w:space="0" w:color="auto"/>
            </w:tcBorders>
            <w:noWrap/>
            <w:vAlign w:val="bottom"/>
            <w:hideMark/>
          </w:tcPr>
          <w:p w14:paraId="7EB1FB69" w14:textId="19E70581" w:rsidR="00A64E6F" w:rsidRPr="003C2171" w:rsidRDefault="009C1360" w:rsidP="00EA1274">
            <w:pPr>
              <w:spacing w:after="0" w:line="240" w:lineRule="auto"/>
              <w:rPr>
                <w:rFonts w:ascii="Calibri" w:eastAsia="Times New Roman" w:hAnsi="Calibri" w:cs="Calibri"/>
                <w:color w:val="000000"/>
                <w:lang w:val="es-419" w:eastAsia="es-419"/>
              </w:rPr>
            </w:pPr>
            <w:r>
              <w:rPr>
                <w:rFonts w:ascii="Calibri" w:eastAsia="Times New Roman" w:hAnsi="Calibri" w:cs="Calibri"/>
                <w:color w:val="000000"/>
                <w:lang w:val="es-419" w:eastAsia="es-419"/>
              </w:rPr>
              <w:t>LICITACIONES MENORES</w:t>
            </w:r>
          </w:p>
        </w:tc>
        <w:tc>
          <w:tcPr>
            <w:tcW w:w="634" w:type="dxa"/>
            <w:tcBorders>
              <w:top w:val="nil"/>
              <w:left w:val="nil"/>
              <w:bottom w:val="single" w:sz="4" w:space="0" w:color="auto"/>
              <w:right w:val="single" w:sz="4" w:space="0" w:color="auto"/>
            </w:tcBorders>
            <w:noWrap/>
            <w:vAlign w:val="bottom"/>
            <w:hideMark/>
          </w:tcPr>
          <w:p w14:paraId="0D06F05F" w14:textId="57CCC718" w:rsidR="00A64E6F" w:rsidRPr="003C2171" w:rsidRDefault="009C1360" w:rsidP="00EA1274">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2</w:t>
            </w:r>
          </w:p>
        </w:tc>
        <w:tc>
          <w:tcPr>
            <w:tcW w:w="830" w:type="dxa"/>
            <w:tcBorders>
              <w:top w:val="nil"/>
              <w:left w:val="nil"/>
              <w:bottom w:val="single" w:sz="4" w:space="0" w:color="auto"/>
              <w:right w:val="single" w:sz="4" w:space="0" w:color="auto"/>
            </w:tcBorders>
            <w:noWrap/>
            <w:vAlign w:val="bottom"/>
            <w:hideMark/>
          </w:tcPr>
          <w:p w14:paraId="5E401E7D" w14:textId="48373057" w:rsidR="00A64E6F" w:rsidRPr="003C2171" w:rsidRDefault="000A2F68" w:rsidP="00EA1274">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10</w:t>
            </w:r>
            <w:r w:rsidR="00A64E6F" w:rsidRPr="003C2171">
              <w:rPr>
                <w:rFonts w:ascii="Calibri" w:eastAsia="Times New Roman" w:hAnsi="Calibri" w:cs="Calibri"/>
                <w:color w:val="000000"/>
                <w:lang w:val="es-419" w:eastAsia="es-419"/>
              </w:rPr>
              <w:t>%</w:t>
            </w:r>
          </w:p>
        </w:tc>
      </w:tr>
      <w:tr w:rsidR="00A64E6F" w:rsidRPr="003C2171" w14:paraId="0930241A" w14:textId="77777777" w:rsidTr="00E019F6">
        <w:trPr>
          <w:trHeight w:val="263"/>
          <w:jc w:val="center"/>
        </w:trPr>
        <w:tc>
          <w:tcPr>
            <w:tcW w:w="3964" w:type="dxa"/>
            <w:tcBorders>
              <w:top w:val="nil"/>
              <w:left w:val="single" w:sz="4" w:space="0" w:color="auto"/>
              <w:bottom w:val="single" w:sz="4" w:space="0" w:color="auto"/>
              <w:right w:val="single" w:sz="4" w:space="0" w:color="auto"/>
            </w:tcBorders>
            <w:noWrap/>
            <w:vAlign w:val="bottom"/>
            <w:hideMark/>
          </w:tcPr>
          <w:p w14:paraId="5F0E2DB4" w14:textId="7A76483A" w:rsidR="00A64E6F" w:rsidRPr="003C2171" w:rsidRDefault="009C1360" w:rsidP="00EA1274">
            <w:pPr>
              <w:spacing w:after="0" w:line="240" w:lineRule="auto"/>
              <w:rPr>
                <w:rFonts w:ascii="Calibri" w:eastAsia="Times New Roman" w:hAnsi="Calibri" w:cs="Calibri"/>
                <w:color w:val="000000"/>
                <w:lang w:val="es-419" w:eastAsia="es-419"/>
              </w:rPr>
            </w:pPr>
            <w:r>
              <w:rPr>
                <w:rFonts w:ascii="Calibri" w:eastAsia="Times New Roman" w:hAnsi="Calibri" w:cs="Calibri"/>
                <w:color w:val="000000"/>
                <w:lang w:val="es-419" w:eastAsia="es-419"/>
              </w:rPr>
              <w:t>LICITACIONES REDUCIDAS</w:t>
            </w:r>
          </w:p>
        </w:tc>
        <w:tc>
          <w:tcPr>
            <w:tcW w:w="634" w:type="dxa"/>
            <w:tcBorders>
              <w:top w:val="nil"/>
              <w:left w:val="nil"/>
              <w:bottom w:val="single" w:sz="4" w:space="0" w:color="auto"/>
              <w:right w:val="single" w:sz="4" w:space="0" w:color="auto"/>
            </w:tcBorders>
            <w:noWrap/>
            <w:vAlign w:val="bottom"/>
            <w:hideMark/>
          </w:tcPr>
          <w:p w14:paraId="3DFC3F7D" w14:textId="21D398D4" w:rsidR="00A64E6F" w:rsidRPr="003C2171" w:rsidRDefault="00FE7F09" w:rsidP="00EA1274">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1</w:t>
            </w:r>
            <w:r w:rsidR="009F54E9">
              <w:rPr>
                <w:rFonts w:ascii="Calibri" w:eastAsia="Times New Roman" w:hAnsi="Calibri" w:cs="Calibri"/>
                <w:color w:val="000000"/>
                <w:lang w:val="es-419" w:eastAsia="es-419"/>
              </w:rPr>
              <w:t>6</w:t>
            </w:r>
          </w:p>
        </w:tc>
        <w:tc>
          <w:tcPr>
            <w:tcW w:w="830" w:type="dxa"/>
            <w:tcBorders>
              <w:top w:val="nil"/>
              <w:left w:val="nil"/>
              <w:bottom w:val="single" w:sz="4" w:space="0" w:color="auto"/>
              <w:right w:val="single" w:sz="4" w:space="0" w:color="auto"/>
            </w:tcBorders>
            <w:noWrap/>
            <w:vAlign w:val="bottom"/>
            <w:hideMark/>
          </w:tcPr>
          <w:p w14:paraId="111C63DF" w14:textId="11E4199B" w:rsidR="00A64E6F" w:rsidRPr="003C2171" w:rsidRDefault="00B07011" w:rsidP="00EA1274">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8</w:t>
            </w:r>
            <w:r w:rsidR="00A64E6F" w:rsidRPr="003C2171">
              <w:rPr>
                <w:rFonts w:ascii="Calibri" w:eastAsia="Times New Roman" w:hAnsi="Calibri" w:cs="Calibri"/>
                <w:color w:val="000000"/>
                <w:lang w:val="es-419" w:eastAsia="es-419"/>
              </w:rPr>
              <w:t>0%</w:t>
            </w:r>
          </w:p>
        </w:tc>
      </w:tr>
      <w:tr w:rsidR="00A64E6F" w:rsidRPr="003C2171" w14:paraId="2BDF31B4" w14:textId="77777777" w:rsidTr="00E019F6">
        <w:trPr>
          <w:trHeight w:val="263"/>
          <w:jc w:val="center"/>
        </w:trPr>
        <w:tc>
          <w:tcPr>
            <w:tcW w:w="3964" w:type="dxa"/>
            <w:tcBorders>
              <w:top w:val="nil"/>
              <w:left w:val="single" w:sz="4" w:space="0" w:color="auto"/>
              <w:bottom w:val="single" w:sz="4" w:space="0" w:color="auto"/>
              <w:right w:val="single" w:sz="4" w:space="0" w:color="auto"/>
            </w:tcBorders>
            <w:noWrap/>
            <w:vAlign w:val="bottom"/>
            <w:hideMark/>
          </w:tcPr>
          <w:p w14:paraId="16E5B4DE" w14:textId="4C132CC2" w:rsidR="00A64E6F" w:rsidRPr="003C2171" w:rsidRDefault="003F75D7" w:rsidP="00EA1274">
            <w:pPr>
              <w:spacing w:after="0" w:line="240" w:lineRule="auto"/>
              <w:rPr>
                <w:rFonts w:ascii="Calibri" w:eastAsia="Times New Roman" w:hAnsi="Calibri" w:cs="Calibri"/>
                <w:color w:val="000000"/>
                <w:lang w:val="es-419" w:eastAsia="es-419"/>
              </w:rPr>
            </w:pPr>
            <w:r>
              <w:rPr>
                <w:rFonts w:ascii="Calibri" w:eastAsia="Times New Roman" w:hAnsi="Calibri" w:cs="Calibri"/>
                <w:color w:val="000000"/>
                <w:lang w:val="es-419" w:eastAsia="es-419"/>
              </w:rPr>
              <w:t>PROCEDIMIENTOS POR EXCEPCIÓN</w:t>
            </w:r>
          </w:p>
        </w:tc>
        <w:tc>
          <w:tcPr>
            <w:tcW w:w="634" w:type="dxa"/>
            <w:tcBorders>
              <w:top w:val="nil"/>
              <w:left w:val="nil"/>
              <w:bottom w:val="single" w:sz="4" w:space="0" w:color="auto"/>
              <w:right w:val="single" w:sz="4" w:space="0" w:color="auto"/>
            </w:tcBorders>
            <w:noWrap/>
            <w:vAlign w:val="bottom"/>
            <w:hideMark/>
          </w:tcPr>
          <w:p w14:paraId="05585DB4" w14:textId="78213A1D" w:rsidR="00A64E6F" w:rsidRPr="003C2171" w:rsidRDefault="009F54E9" w:rsidP="00EA1274">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2</w:t>
            </w:r>
          </w:p>
        </w:tc>
        <w:tc>
          <w:tcPr>
            <w:tcW w:w="830" w:type="dxa"/>
            <w:tcBorders>
              <w:top w:val="nil"/>
              <w:left w:val="nil"/>
              <w:bottom w:val="single" w:sz="4" w:space="0" w:color="auto"/>
              <w:right w:val="single" w:sz="4" w:space="0" w:color="auto"/>
            </w:tcBorders>
            <w:noWrap/>
            <w:vAlign w:val="bottom"/>
            <w:hideMark/>
          </w:tcPr>
          <w:p w14:paraId="2A0F6695" w14:textId="76B71178" w:rsidR="00A64E6F" w:rsidRPr="003C2171" w:rsidRDefault="00A64E6F" w:rsidP="00EA1274">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1</w:t>
            </w:r>
            <w:r w:rsidR="00B07011">
              <w:rPr>
                <w:rFonts w:ascii="Calibri" w:eastAsia="Times New Roman" w:hAnsi="Calibri" w:cs="Calibri"/>
                <w:color w:val="000000"/>
                <w:lang w:val="es-419" w:eastAsia="es-419"/>
              </w:rPr>
              <w:t>0</w:t>
            </w:r>
            <w:r w:rsidRPr="003C2171">
              <w:rPr>
                <w:rFonts w:ascii="Calibri" w:eastAsia="Times New Roman" w:hAnsi="Calibri" w:cs="Calibri"/>
                <w:color w:val="000000"/>
                <w:lang w:val="es-419" w:eastAsia="es-419"/>
              </w:rPr>
              <w:t>%</w:t>
            </w:r>
          </w:p>
        </w:tc>
      </w:tr>
      <w:tr w:rsidR="00A64E6F" w:rsidRPr="003C2171" w14:paraId="2D904B17" w14:textId="77777777" w:rsidTr="00E019F6">
        <w:trPr>
          <w:trHeight w:val="263"/>
          <w:jc w:val="center"/>
        </w:trPr>
        <w:tc>
          <w:tcPr>
            <w:tcW w:w="3964" w:type="dxa"/>
            <w:tcBorders>
              <w:top w:val="nil"/>
              <w:left w:val="single" w:sz="4" w:space="0" w:color="auto"/>
              <w:bottom w:val="single" w:sz="4" w:space="0" w:color="auto"/>
              <w:right w:val="single" w:sz="4" w:space="0" w:color="auto"/>
            </w:tcBorders>
            <w:shd w:val="clear" w:color="000000" w:fill="FCD5B4"/>
            <w:noWrap/>
            <w:vAlign w:val="bottom"/>
            <w:hideMark/>
          </w:tcPr>
          <w:p w14:paraId="3EE4E0CD" w14:textId="77777777" w:rsidR="00A64E6F" w:rsidRPr="003C2171" w:rsidRDefault="00A64E6F" w:rsidP="00EA1274">
            <w:pPr>
              <w:spacing w:after="0" w:line="240" w:lineRule="auto"/>
              <w:jc w:val="right"/>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TOTALES</w:t>
            </w:r>
          </w:p>
        </w:tc>
        <w:tc>
          <w:tcPr>
            <w:tcW w:w="634" w:type="dxa"/>
            <w:tcBorders>
              <w:top w:val="nil"/>
              <w:left w:val="nil"/>
              <w:bottom w:val="single" w:sz="4" w:space="0" w:color="auto"/>
              <w:right w:val="single" w:sz="4" w:space="0" w:color="auto"/>
            </w:tcBorders>
            <w:shd w:val="clear" w:color="000000" w:fill="FCD5B4"/>
            <w:noWrap/>
            <w:vAlign w:val="bottom"/>
            <w:hideMark/>
          </w:tcPr>
          <w:p w14:paraId="6D90EBDE" w14:textId="60FA77F0" w:rsidR="00A64E6F" w:rsidRPr="003C2171" w:rsidRDefault="000A2F68" w:rsidP="000A2F68">
            <w:pPr>
              <w:spacing w:after="0" w:line="240" w:lineRule="auto"/>
              <w:jc w:val="center"/>
              <w:rPr>
                <w:rFonts w:ascii="Calibri" w:eastAsia="Times New Roman" w:hAnsi="Calibri" w:cs="Calibri"/>
                <w:color w:val="000000"/>
                <w:lang w:val="es-419" w:eastAsia="es-419"/>
              </w:rPr>
            </w:pPr>
            <w:r>
              <w:rPr>
                <w:rFonts w:ascii="Calibri" w:eastAsia="Times New Roman" w:hAnsi="Calibri" w:cs="Calibri"/>
                <w:color w:val="000000"/>
                <w:lang w:val="es-419" w:eastAsia="es-419"/>
              </w:rPr>
              <w:t>20</w:t>
            </w:r>
          </w:p>
        </w:tc>
        <w:tc>
          <w:tcPr>
            <w:tcW w:w="830" w:type="dxa"/>
            <w:tcBorders>
              <w:top w:val="nil"/>
              <w:left w:val="nil"/>
              <w:bottom w:val="single" w:sz="4" w:space="0" w:color="auto"/>
              <w:right w:val="single" w:sz="4" w:space="0" w:color="auto"/>
            </w:tcBorders>
            <w:shd w:val="clear" w:color="000000" w:fill="FCD5B4"/>
            <w:noWrap/>
            <w:vAlign w:val="bottom"/>
            <w:hideMark/>
          </w:tcPr>
          <w:p w14:paraId="6BB583DB" w14:textId="77777777" w:rsidR="00A64E6F" w:rsidRPr="003C2171" w:rsidRDefault="00A64E6F" w:rsidP="00EA1274">
            <w:pPr>
              <w:spacing w:after="0" w:line="240" w:lineRule="auto"/>
              <w:jc w:val="center"/>
              <w:rPr>
                <w:rFonts w:ascii="Calibri" w:eastAsia="Times New Roman" w:hAnsi="Calibri" w:cs="Calibri"/>
                <w:color w:val="000000"/>
                <w:lang w:val="es-419" w:eastAsia="es-419"/>
              </w:rPr>
            </w:pPr>
            <w:r w:rsidRPr="003C2171">
              <w:rPr>
                <w:rFonts w:ascii="Calibri" w:eastAsia="Times New Roman" w:hAnsi="Calibri" w:cs="Calibri"/>
                <w:color w:val="000000"/>
                <w:lang w:val="es-419" w:eastAsia="es-419"/>
              </w:rPr>
              <w:t>100%</w:t>
            </w:r>
          </w:p>
        </w:tc>
      </w:tr>
    </w:tbl>
    <w:p w14:paraId="1D36C88B" w14:textId="4BD206C9" w:rsidR="00AD3C56" w:rsidRDefault="00AD3C56" w:rsidP="00AD3C56">
      <w:pPr>
        <w:spacing w:line="360" w:lineRule="auto"/>
        <w:contextualSpacing/>
        <w:jc w:val="both"/>
        <w:rPr>
          <w:rFonts w:ascii="Arial" w:hAnsi="Arial" w:cs="Arial"/>
          <w:sz w:val="24"/>
          <w:szCs w:val="24"/>
        </w:rPr>
      </w:pPr>
      <w:r w:rsidRPr="000B61AA">
        <w:rPr>
          <w:rFonts w:ascii="Arial" w:hAnsi="Arial" w:cs="Arial"/>
          <w:sz w:val="24"/>
          <w:szCs w:val="24"/>
        </w:rPr>
        <w:t xml:space="preserve"> </w:t>
      </w:r>
    </w:p>
    <w:p w14:paraId="55BFF411" w14:textId="77777777" w:rsidR="00F35535" w:rsidRPr="000B61AA" w:rsidRDefault="00F35535" w:rsidP="00861747">
      <w:pPr>
        <w:spacing w:line="240" w:lineRule="auto"/>
        <w:ind w:left="357"/>
        <w:contextualSpacing/>
        <w:jc w:val="both"/>
        <w:rPr>
          <w:rFonts w:ascii="Arial" w:hAnsi="Arial" w:cs="Arial"/>
          <w:sz w:val="24"/>
          <w:szCs w:val="24"/>
        </w:rPr>
      </w:pPr>
    </w:p>
    <w:p w14:paraId="59B82F72" w14:textId="77777777" w:rsidR="00AD3C56" w:rsidRPr="000B61AA" w:rsidRDefault="00AD3C56" w:rsidP="00AD3C56">
      <w:pPr>
        <w:numPr>
          <w:ilvl w:val="0"/>
          <w:numId w:val="16"/>
        </w:numPr>
        <w:spacing w:line="360" w:lineRule="auto"/>
        <w:ind w:left="426" w:hanging="284"/>
        <w:jc w:val="both"/>
        <w:rPr>
          <w:rFonts w:ascii="Arial" w:hAnsi="Arial" w:cs="Arial"/>
          <w:b/>
          <w:sz w:val="24"/>
          <w:szCs w:val="24"/>
        </w:rPr>
      </w:pPr>
      <w:r w:rsidRPr="000B61AA">
        <w:rPr>
          <w:rFonts w:ascii="Arial" w:hAnsi="Arial" w:cs="Arial"/>
          <w:b/>
          <w:sz w:val="24"/>
          <w:szCs w:val="24"/>
        </w:rPr>
        <w:t>CONTRIBUCIÓN AL LOGRO DE LA ESTRATEGIA INSTITUCIONAL</w:t>
      </w:r>
    </w:p>
    <w:p w14:paraId="0059B42A" w14:textId="07824436" w:rsidR="0053594A" w:rsidRDefault="00AD3C56" w:rsidP="00AD3C56">
      <w:pPr>
        <w:spacing w:line="360" w:lineRule="auto"/>
        <w:ind w:left="426"/>
        <w:jc w:val="both"/>
        <w:rPr>
          <w:rFonts w:ascii="Arial" w:hAnsi="Arial" w:cs="Arial"/>
          <w:sz w:val="24"/>
          <w:szCs w:val="24"/>
        </w:rPr>
      </w:pPr>
      <w:r w:rsidRPr="000B61AA">
        <w:rPr>
          <w:rFonts w:ascii="Arial" w:hAnsi="Arial" w:cs="Arial"/>
          <w:sz w:val="24"/>
          <w:szCs w:val="24"/>
        </w:rPr>
        <w:t xml:space="preserve">A fin de establecer la relación entre la gestión contractual y el logro de la estrategia institucional (relación con el Plan Estratégico), se requiere </w:t>
      </w:r>
      <w:r w:rsidR="003A54F6" w:rsidRPr="000B61AA">
        <w:rPr>
          <w:rFonts w:ascii="Arial" w:hAnsi="Arial" w:cs="Arial"/>
          <w:sz w:val="24"/>
          <w:szCs w:val="24"/>
        </w:rPr>
        <w:t xml:space="preserve">determinar de cuál Dependencia proceden </w:t>
      </w:r>
      <w:r w:rsidRPr="000B61AA">
        <w:rPr>
          <w:rFonts w:ascii="Arial" w:hAnsi="Arial" w:cs="Arial"/>
          <w:sz w:val="24"/>
          <w:szCs w:val="24"/>
        </w:rPr>
        <w:t xml:space="preserve">(Dirección solicitante) las </w:t>
      </w:r>
      <w:r w:rsidR="00A41FCE" w:rsidRPr="000B61AA">
        <w:rPr>
          <w:rFonts w:ascii="Arial" w:hAnsi="Arial" w:cs="Arial"/>
          <w:sz w:val="24"/>
          <w:szCs w:val="24"/>
        </w:rPr>
        <w:t>Decisiones Iniciales</w:t>
      </w:r>
      <w:r w:rsidR="00861747">
        <w:rPr>
          <w:rFonts w:ascii="Arial" w:hAnsi="Arial" w:cs="Arial"/>
          <w:sz w:val="24"/>
          <w:szCs w:val="24"/>
        </w:rPr>
        <w:t>, resultado que se muestra en el cuadro siguiente:</w:t>
      </w:r>
      <w:r w:rsidR="00096AE3">
        <w:rPr>
          <w:rFonts w:ascii="Arial" w:hAnsi="Arial" w:cs="Arial"/>
          <w:sz w:val="24"/>
          <w:szCs w:val="24"/>
        </w:rPr>
        <w:t xml:space="preserve"> </w:t>
      </w:r>
    </w:p>
    <w:tbl>
      <w:tblPr>
        <w:tblW w:w="6720" w:type="dxa"/>
        <w:tblInd w:w="936" w:type="dxa"/>
        <w:tblCellMar>
          <w:left w:w="70" w:type="dxa"/>
          <w:right w:w="70" w:type="dxa"/>
        </w:tblCellMar>
        <w:tblLook w:val="04A0" w:firstRow="1" w:lastRow="0" w:firstColumn="1" w:lastColumn="0" w:noHBand="0" w:noVBand="1"/>
      </w:tblPr>
      <w:tblGrid>
        <w:gridCol w:w="4180"/>
        <w:gridCol w:w="2540"/>
      </w:tblGrid>
      <w:tr w:rsidR="004B579C" w:rsidRPr="004B579C" w14:paraId="1971590B" w14:textId="77777777" w:rsidTr="008443EA">
        <w:trPr>
          <w:trHeight w:val="288"/>
        </w:trPr>
        <w:tc>
          <w:tcPr>
            <w:tcW w:w="4180" w:type="dxa"/>
            <w:tcBorders>
              <w:top w:val="double" w:sz="4" w:space="0" w:color="ED7D31" w:themeColor="accent2"/>
              <w:left w:val="double" w:sz="4" w:space="0" w:color="ED7D31" w:themeColor="accent2"/>
              <w:bottom w:val="single" w:sz="4" w:space="0" w:color="95B3D7"/>
              <w:right w:val="nil"/>
            </w:tcBorders>
            <w:shd w:val="clear" w:color="DCE6F1" w:fill="DCE6F1"/>
            <w:noWrap/>
            <w:vAlign w:val="bottom"/>
            <w:hideMark/>
          </w:tcPr>
          <w:p w14:paraId="707ABBD6" w14:textId="586231FB" w:rsidR="004B579C" w:rsidRPr="004B579C" w:rsidRDefault="0057285C" w:rsidP="004B579C">
            <w:pPr>
              <w:spacing w:after="0" w:line="240" w:lineRule="auto"/>
              <w:rPr>
                <w:rFonts w:ascii="Calibri" w:eastAsia="Times New Roman" w:hAnsi="Calibri" w:cs="Calibri"/>
                <w:b/>
                <w:bCs/>
                <w:color w:val="000000"/>
                <w:lang w:val="es-CR" w:eastAsia="es-CR"/>
              </w:rPr>
            </w:pPr>
            <w:r>
              <w:rPr>
                <w:rFonts w:ascii="Calibri" w:eastAsia="Times New Roman" w:hAnsi="Calibri" w:cs="Calibri"/>
                <w:b/>
                <w:bCs/>
                <w:color w:val="000000"/>
                <w:lang w:val="es-CR" w:eastAsia="es-CR"/>
              </w:rPr>
              <w:t>Dirección o Programa</w:t>
            </w:r>
          </w:p>
        </w:tc>
        <w:tc>
          <w:tcPr>
            <w:tcW w:w="2540" w:type="dxa"/>
            <w:tcBorders>
              <w:top w:val="double" w:sz="4" w:space="0" w:color="ED7D31" w:themeColor="accent2"/>
              <w:left w:val="nil"/>
              <w:bottom w:val="single" w:sz="4" w:space="0" w:color="95B3D7"/>
              <w:right w:val="double" w:sz="4" w:space="0" w:color="ED7D31" w:themeColor="accent2"/>
            </w:tcBorders>
            <w:shd w:val="clear" w:color="DCE6F1" w:fill="DCE6F1"/>
            <w:noWrap/>
            <w:vAlign w:val="bottom"/>
            <w:hideMark/>
          </w:tcPr>
          <w:p w14:paraId="2F84EC7E" w14:textId="48F4A149" w:rsidR="004B579C" w:rsidRPr="004B579C" w:rsidRDefault="004B579C" w:rsidP="0057285C">
            <w:pPr>
              <w:spacing w:after="0" w:line="240" w:lineRule="auto"/>
              <w:ind w:left="1021"/>
              <w:rPr>
                <w:rFonts w:ascii="Calibri" w:eastAsia="Times New Roman" w:hAnsi="Calibri" w:cs="Calibri"/>
                <w:b/>
                <w:bCs/>
                <w:color w:val="000000"/>
                <w:lang w:val="es-CR" w:eastAsia="es-CR"/>
              </w:rPr>
            </w:pPr>
            <w:r w:rsidRPr="004B579C">
              <w:rPr>
                <w:rFonts w:ascii="Calibri" w:eastAsia="Times New Roman" w:hAnsi="Calibri" w:cs="Calibri"/>
                <w:b/>
                <w:bCs/>
                <w:color w:val="000000"/>
                <w:lang w:val="es-CR" w:eastAsia="es-CR"/>
              </w:rPr>
              <w:t>C</w:t>
            </w:r>
            <w:r w:rsidR="0057285C">
              <w:rPr>
                <w:rFonts w:ascii="Calibri" w:eastAsia="Times New Roman" w:hAnsi="Calibri" w:cs="Calibri"/>
                <w:b/>
                <w:bCs/>
                <w:color w:val="000000"/>
                <w:lang w:val="es-CR" w:eastAsia="es-CR"/>
              </w:rPr>
              <w:t>antidad</w:t>
            </w:r>
          </w:p>
        </w:tc>
      </w:tr>
      <w:tr w:rsidR="004B579C" w:rsidRPr="004B579C" w14:paraId="2B9E66F0" w14:textId="77777777" w:rsidTr="008443EA">
        <w:trPr>
          <w:trHeight w:val="288"/>
        </w:trPr>
        <w:tc>
          <w:tcPr>
            <w:tcW w:w="4180" w:type="dxa"/>
            <w:tcBorders>
              <w:top w:val="nil"/>
              <w:left w:val="double" w:sz="4" w:space="0" w:color="ED7D31" w:themeColor="accent2"/>
              <w:bottom w:val="nil"/>
              <w:right w:val="nil"/>
            </w:tcBorders>
            <w:noWrap/>
            <w:vAlign w:val="bottom"/>
            <w:hideMark/>
          </w:tcPr>
          <w:p w14:paraId="2C71C879" w14:textId="77777777" w:rsidR="004B579C" w:rsidRPr="004B579C" w:rsidRDefault="004B579C" w:rsidP="004B579C">
            <w:pPr>
              <w:spacing w:after="0" w:line="240" w:lineRule="auto"/>
              <w:rPr>
                <w:rFonts w:ascii="Calibri" w:eastAsia="Times New Roman" w:hAnsi="Calibri" w:cs="Calibri"/>
                <w:color w:val="000000"/>
                <w:lang w:val="es-CR" w:eastAsia="es-CR"/>
              </w:rPr>
            </w:pPr>
            <w:r w:rsidRPr="004B579C">
              <w:rPr>
                <w:rFonts w:ascii="Calibri" w:eastAsia="Times New Roman" w:hAnsi="Calibri" w:cs="Calibri"/>
                <w:color w:val="000000"/>
                <w:lang w:val="es-CR" w:eastAsia="es-CR"/>
              </w:rPr>
              <w:t>D. Administrativa-Financiera</w:t>
            </w:r>
          </w:p>
        </w:tc>
        <w:tc>
          <w:tcPr>
            <w:tcW w:w="2540" w:type="dxa"/>
            <w:tcBorders>
              <w:top w:val="nil"/>
              <w:left w:val="nil"/>
              <w:bottom w:val="nil"/>
              <w:right w:val="double" w:sz="4" w:space="0" w:color="ED7D31" w:themeColor="accent2"/>
            </w:tcBorders>
            <w:noWrap/>
            <w:vAlign w:val="bottom"/>
            <w:hideMark/>
          </w:tcPr>
          <w:p w14:paraId="24249CC1" w14:textId="77777777" w:rsidR="004B579C" w:rsidRPr="004B579C" w:rsidRDefault="004B579C" w:rsidP="0057285C">
            <w:pPr>
              <w:spacing w:after="0" w:line="240" w:lineRule="auto"/>
              <w:jc w:val="center"/>
              <w:rPr>
                <w:rFonts w:ascii="Calibri" w:eastAsia="Times New Roman" w:hAnsi="Calibri" w:cs="Calibri"/>
                <w:color w:val="000000"/>
                <w:lang w:val="es-CR" w:eastAsia="es-CR"/>
              </w:rPr>
            </w:pPr>
            <w:r w:rsidRPr="004B579C">
              <w:rPr>
                <w:rFonts w:ascii="Calibri" w:eastAsia="Times New Roman" w:hAnsi="Calibri" w:cs="Calibri"/>
                <w:color w:val="000000"/>
                <w:lang w:val="es-CR" w:eastAsia="es-CR"/>
              </w:rPr>
              <w:t>107</w:t>
            </w:r>
          </w:p>
        </w:tc>
      </w:tr>
      <w:tr w:rsidR="004B579C" w:rsidRPr="004B579C" w14:paraId="709607B5" w14:textId="77777777" w:rsidTr="008443EA">
        <w:trPr>
          <w:trHeight w:val="288"/>
        </w:trPr>
        <w:tc>
          <w:tcPr>
            <w:tcW w:w="4180" w:type="dxa"/>
            <w:tcBorders>
              <w:top w:val="nil"/>
              <w:left w:val="double" w:sz="4" w:space="0" w:color="ED7D31" w:themeColor="accent2"/>
              <w:bottom w:val="nil"/>
              <w:right w:val="nil"/>
            </w:tcBorders>
            <w:noWrap/>
            <w:vAlign w:val="bottom"/>
            <w:hideMark/>
          </w:tcPr>
          <w:p w14:paraId="76DFE252" w14:textId="77777777" w:rsidR="004B579C" w:rsidRPr="004B579C" w:rsidRDefault="004B579C" w:rsidP="004B579C">
            <w:pPr>
              <w:spacing w:after="0" w:line="240" w:lineRule="auto"/>
              <w:rPr>
                <w:rFonts w:ascii="Calibri" w:eastAsia="Times New Roman" w:hAnsi="Calibri" w:cs="Calibri"/>
                <w:color w:val="000000"/>
                <w:lang w:val="es-CR" w:eastAsia="es-CR"/>
              </w:rPr>
            </w:pPr>
            <w:r w:rsidRPr="004B579C">
              <w:rPr>
                <w:rFonts w:ascii="Calibri" w:eastAsia="Times New Roman" w:hAnsi="Calibri" w:cs="Calibri"/>
                <w:color w:val="000000"/>
                <w:lang w:val="es-CR" w:eastAsia="es-CR"/>
              </w:rPr>
              <w:t>D. Asuntos Jurídicos</w:t>
            </w:r>
          </w:p>
        </w:tc>
        <w:tc>
          <w:tcPr>
            <w:tcW w:w="2540" w:type="dxa"/>
            <w:tcBorders>
              <w:top w:val="nil"/>
              <w:left w:val="nil"/>
              <w:bottom w:val="nil"/>
              <w:right w:val="double" w:sz="4" w:space="0" w:color="ED7D31" w:themeColor="accent2"/>
            </w:tcBorders>
            <w:noWrap/>
            <w:vAlign w:val="bottom"/>
            <w:hideMark/>
          </w:tcPr>
          <w:p w14:paraId="05FA5B87" w14:textId="77777777" w:rsidR="004B579C" w:rsidRPr="004B579C" w:rsidRDefault="004B579C" w:rsidP="0057285C">
            <w:pPr>
              <w:spacing w:after="0" w:line="240" w:lineRule="auto"/>
              <w:jc w:val="center"/>
              <w:rPr>
                <w:rFonts w:ascii="Calibri" w:eastAsia="Times New Roman" w:hAnsi="Calibri" w:cs="Calibri"/>
                <w:color w:val="000000"/>
                <w:lang w:val="es-CR" w:eastAsia="es-CR"/>
              </w:rPr>
            </w:pPr>
            <w:r w:rsidRPr="004B579C">
              <w:rPr>
                <w:rFonts w:ascii="Calibri" w:eastAsia="Times New Roman" w:hAnsi="Calibri" w:cs="Calibri"/>
                <w:color w:val="000000"/>
                <w:lang w:val="es-CR" w:eastAsia="es-CR"/>
              </w:rPr>
              <w:t>4</w:t>
            </w:r>
          </w:p>
        </w:tc>
      </w:tr>
      <w:tr w:rsidR="004B579C" w:rsidRPr="004B579C" w14:paraId="285A7284" w14:textId="77777777" w:rsidTr="008443EA">
        <w:trPr>
          <w:trHeight w:val="288"/>
        </w:trPr>
        <w:tc>
          <w:tcPr>
            <w:tcW w:w="4180" w:type="dxa"/>
            <w:tcBorders>
              <w:top w:val="nil"/>
              <w:left w:val="double" w:sz="4" w:space="0" w:color="ED7D31" w:themeColor="accent2"/>
              <w:bottom w:val="nil"/>
              <w:right w:val="nil"/>
            </w:tcBorders>
            <w:noWrap/>
            <w:vAlign w:val="bottom"/>
            <w:hideMark/>
          </w:tcPr>
          <w:p w14:paraId="46B29766" w14:textId="77777777" w:rsidR="004B579C" w:rsidRPr="004B579C" w:rsidRDefault="004B579C" w:rsidP="004B579C">
            <w:pPr>
              <w:spacing w:after="0" w:line="240" w:lineRule="auto"/>
              <w:rPr>
                <w:rFonts w:ascii="Calibri" w:eastAsia="Times New Roman" w:hAnsi="Calibri" w:cs="Calibri"/>
                <w:color w:val="000000"/>
                <w:lang w:val="es-CR" w:eastAsia="es-CR"/>
              </w:rPr>
            </w:pPr>
            <w:r w:rsidRPr="004B579C">
              <w:rPr>
                <w:rFonts w:ascii="Calibri" w:eastAsia="Times New Roman" w:hAnsi="Calibri" w:cs="Calibri"/>
                <w:color w:val="000000"/>
                <w:lang w:val="es-CR" w:eastAsia="es-CR"/>
              </w:rPr>
              <w:t>D. Desarrollo y Comercialización</w:t>
            </w:r>
          </w:p>
        </w:tc>
        <w:tc>
          <w:tcPr>
            <w:tcW w:w="2540" w:type="dxa"/>
            <w:tcBorders>
              <w:top w:val="nil"/>
              <w:left w:val="nil"/>
              <w:bottom w:val="nil"/>
              <w:right w:val="double" w:sz="4" w:space="0" w:color="ED7D31" w:themeColor="accent2"/>
            </w:tcBorders>
            <w:noWrap/>
            <w:vAlign w:val="bottom"/>
            <w:hideMark/>
          </w:tcPr>
          <w:p w14:paraId="4C670C94" w14:textId="77777777" w:rsidR="004B579C" w:rsidRPr="004B579C" w:rsidRDefault="004B579C" w:rsidP="0057285C">
            <w:pPr>
              <w:spacing w:after="0" w:line="240" w:lineRule="auto"/>
              <w:jc w:val="center"/>
              <w:rPr>
                <w:rFonts w:ascii="Calibri" w:eastAsia="Times New Roman" w:hAnsi="Calibri" w:cs="Calibri"/>
                <w:color w:val="000000"/>
                <w:lang w:val="es-CR" w:eastAsia="es-CR"/>
              </w:rPr>
            </w:pPr>
            <w:r w:rsidRPr="004B579C">
              <w:rPr>
                <w:rFonts w:ascii="Calibri" w:eastAsia="Times New Roman" w:hAnsi="Calibri" w:cs="Calibri"/>
                <w:color w:val="000000"/>
                <w:lang w:val="es-CR" w:eastAsia="es-CR"/>
              </w:rPr>
              <w:t>10</w:t>
            </w:r>
          </w:p>
        </w:tc>
      </w:tr>
      <w:tr w:rsidR="004B579C" w:rsidRPr="004B579C" w14:paraId="2AD59DFB" w14:textId="77777777" w:rsidTr="008443EA">
        <w:trPr>
          <w:trHeight w:val="288"/>
        </w:trPr>
        <w:tc>
          <w:tcPr>
            <w:tcW w:w="4180" w:type="dxa"/>
            <w:tcBorders>
              <w:top w:val="nil"/>
              <w:left w:val="double" w:sz="4" w:space="0" w:color="ED7D31" w:themeColor="accent2"/>
              <w:bottom w:val="nil"/>
              <w:right w:val="nil"/>
            </w:tcBorders>
            <w:noWrap/>
            <w:vAlign w:val="bottom"/>
            <w:hideMark/>
          </w:tcPr>
          <w:p w14:paraId="30E8093F" w14:textId="77777777" w:rsidR="004B579C" w:rsidRPr="004B579C" w:rsidRDefault="004B579C" w:rsidP="004B579C">
            <w:pPr>
              <w:spacing w:after="0" w:line="240" w:lineRule="auto"/>
              <w:rPr>
                <w:rFonts w:ascii="Calibri" w:eastAsia="Times New Roman" w:hAnsi="Calibri" w:cs="Calibri"/>
                <w:color w:val="000000"/>
                <w:lang w:val="es-CR" w:eastAsia="es-CR"/>
              </w:rPr>
            </w:pPr>
            <w:r w:rsidRPr="004B579C">
              <w:rPr>
                <w:rFonts w:ascii="Calibri" w:eastAsia="Times New Roman" w:hAnsi="Calibri" w:cs="Calibri"/>
                <w:color w:val="000000"/>
                <w:lang w:val="es-CR" w:eastAsia="es-CR"/>
              </w:rPr>
              <w:t>D. Ejecutiva</w:t>
            </w:r>
          </w:p>
        </w:tc>
        <w:tc>
          <w:tcPr>
            <w:tcW w:w="2540" w:type="dxa"/>
            <w:tcBorders>
              <w:top w:val="nil"/>
              <w:left w:val="nil"/>
              <w:bottom w:val="nil"/>
              <w:right w:val="double" w:sz="4" w:space="0" w:color="ED7D31" w:themeColor="accent2"/>
            </w:tcBorders>
            <w:noWrap/>
            <w:vAlign w:val="bottom"/>
            <w:hideMark/>
          </w:tcPr>
          <w:p w14:paraId="50B780D0" w14:textId="77777777" w:rsidR="004B579C" w:rsidRPr="004B579C" w:rsidRDefault="004B579C" w:rsidP="0057285C">
            <w:pPr>
              <w:spacing w:after="0" w:line="240" w:lineRule="auto"/>
              <w:jc w:val="center"/>
              <w:rPr>
                <w:rFonts w:ascii="Calibri" w:eastAsia="Times New Roman" w:hAnsi="Calibri" w:cs="Calibri"/>
                <w:color w:val="000000"/>
                <w:lang w:val="es-CR" w:eastAsia="es-CR"/>
              </w:rPr>
            </w:pPr>
            <w:r w:rsidRPr="004B579C">
              <w:rPr>
                <w:rFonts w:ascii="Calibri" w:eastAsia="Times New Roman" w:hAnsi="Calibri" w:cs="Calibri"/>
                <w:color w:val="000000"/>
                <w:lang w:val="es-CR" w:eastAsia="es-CR"/>
              </w:rPr>
              <w:t>78</w:t>
            </w:r>
          </w:p>
        </w:tc>
      </w:tr>
      <w:tr w:rsidR="004B579C" w:rsidRPr="004B579C" w14:paraId="7E3D111E" w14:textId="77777777" w:rsidTr="008443EA">
        <w:trPr>
          <w:trHeight w:val="288"/>
        </w:trPr>
        <w:tc>
          <w:tcPr>
            <w:tcW w:w="4180" w:type="dxa"/>
            <w:tcBorders>
              <w:top w:val="nil"/>
              <w:left w:val="double" w:sz="4" w:space="0" w:color="ED7D31" w:themeColor="accent2"/>
              <w:bottom w:val="nil"/>
              <w:right w:val="nil"/>
            </w:tcBorders>
            <w:noWrap/>
            <w:vAlign w:val="bottom"/>
            <w:hideMark/>
          </w:tcPr>
          <w:p w14:paraId="601A67AB" w14:textId="77777777" w:rsidR="004B579C" w:rsidRPr="004B579C" w:rsidRDefault="004B579C" w:rsidP="004B579C">
            <w:pPr>
              <w:spacing w:after="0" w:line="240" w:lineRule="auto"/>
              <w:rPr>
                <w:rFonts w:ascii="Calibri" w:eastAsia="Times New Roman" w:hAnsi="Calibri" w:cs="Calibri"/>
                <w:color w:val="000000"/>
                <w:lang w:val="es-CR" w:eastAsia="es-CR"/>
              </w:rPr>
            </w:pPr>
            <w:r w:rsidRPr="004B579C">
              <w:rPr>
                <w:rFonts w:ascii="Calibri" w:eastAsia="Times New Roman" w:hAnsi="Calibri" w:cs="Calibri"/>
                <w:color w:val="000000"/>
                <w:lang w:val="es-CR" w:eastAsia="es-CR"/>
              </w:rPr>
              <w:t>D. Fomento Forestal</w:t>
            </w:r>
          </w:p>
        </w:tc>
        <w:tc>
          <w:tcPr>
            <w:tcW w:w="2540" w:type="dxa"/>
            <w:tcBorders>
              <w:top w:val="nil"/>
              <w:left w:val="nil"/>
              <w:bottom w:val="nil"/>
              <w:right w:val="double" w:sz="4" w:space="0" w:color="ED7D31" w:themeColor="accent2"/>
            </w:tcBorders>
            <w:noWrap/>
            <w:vAlign w:val="bottom"/>
            <w:hideMark/>
          </w:tcPr>
          <w:p w14:paraId="700801E1" w14:textId="77777777" w:rsidR="004B579C" w:rsidRPr="004B579C" w:rsidRDefault="004B579C" w:rsidP="0057285C">
            <w:pPr>
              <w:spacing w:after="0" w:line="240" w:lineRule="auto"/>
              <w:jc w:val="center"/>
              <w:rPr>
                <w:rFonts w:ascii="Calibri" w:eastAsia="Times New Roman" w:hAnsi="Calibri" w:cs="Calibri"/>
                <w:color w:val="000000"/>
                <w:lang w:val="es-CR" w:eastAsia="es-CR"/>
              </w:rPr>
            </w:pPr>
            <w:r w:rsidRPr="004B579C">
              <w:rPr>
                <w:rFonts w:ascii="Calibri" w:eastAsia="Times New Roman" w:hAnsi="Calibri" w:cs="Calibri"/>
                <w:color w:val="000000"/>
                <w:lang w:val="es-CR" w:eastAsia="es-CR"/>
              </w:rPr>
              <w:t>3</w:t>
            </w:r>
          </w:p>
        </w:tc>
      </w:tr>
      <w:tr w:rsidR="004B579C" w:rsidRPr="004B579C" w14:paraId="6C2CD1D6" w14:textId="77777777" w:rsidTr="008443EA">
        <w:trPr>
          <w:trHeight w:val="288"/>
        </w:trPr>
        <w:tc>
          <w:tcPr>
            <w:tcW w:w="4180" w:type="dxa"/>
            <w:tcBorders>
              <w:top w:val="nil"/>
              <w:left w:val="double" w:sz="4" w:space="0" w:color="ED7D31" w:themeColor="accent2"/>
              <w:bottom w:val="nil"/>
              <w:right w:val="nil"/>
            </w:tcBorders>
            <w:noWrap/>
            <w:vAlign w:val="bottom"/>
            <w:hideMark/>
          </w:tcPr>
          <w:p w14:paraId="07C699D2" w14:textId="77777777" w:rsidR="004B579C" w:rsidRPr="004B579C" w:rsidRDefault="004B579C" w:rsidP="004B579C">
            <w:pPr>
              <w:spacing w:after="0" w:line="240" w:lineRule="auto"/>
              <w:rPr>
                <w:rFonts w:ascii="Calibri" w:eastAsia="Times New Roman" w:hAnsi="Calibri" w:cs="Calibri"/>
                <w:color w:val="000000"/>
                <w:lang w:val="es-CR" w:eastAsia="es-CR"/>
              </w:rPr>
            </w:pPr>
            <w:r w:rsidRPr="004B579C">
              <w:rPr>
                <w:rFonts w:ascii="Calibri" w:eastAsia="Times New Roman" w:hAnsi="Calibri" w:cs="Calibri"/>
                <w:color w:val="000000"/>
                <w:lang w:val="es-CR" w:eastAsia="es-CR"/>
              </w:rPr>
              <w:t>D. Servicios Ambientales</w:t>
            </w:r>
          </w:p>
        </w:tc>
        <w:tc>
          <w:tcPr>
            <w:tcW w:w="2540" w:type="dxa"/>
            <w:tcBorders>
              <w:top w:val="nil"/>
              <w:left w:val="nil"/>
              <w:bottom w:val="nil"/>
              <w:right w:val="double" w:sz="4" w:space="0" w:color="ED7D31" w:themeColor="accent2"/>
            </w:tcBorders>
            <w:noWrap/>
            <w:vAlign w:val="bottom"/>
            <w:hideMark/>
          </w:tcPr>
          <w:p w14:paraId="6907D2BF" w14:textId="77777777" w:rsidR="004B579C" w:rsidRPr="004B579C" w:rsidRDefault="004B579C" w:rsidP="0057285C">
            <w:pPr>
              <w:spacing w:after="0" w:line="240" w:lineRule="auto"/>
              <w:jc w:val="center"/>
              <w:rPr>
                <w:rFonts w:ascii="Calibri" w:eastAsia="Times New Roman" w:hAnsi="Calibri" w:cs="Calibri"/>
                <w:color w:val="000000"/>
                <w:lang w:val="es-CR" w:eastAsia="es-CR"/>
              </w:rPr>
            </w:pPr>
            <w:r w:rsidRPr="004B579C">
              <w:rPr>
                <w:rFonts w:ascii="Calibri" w:eastAsia="Times New Roman" w:hAnsi="Calibri" w:cs="Calibri"/>
                <w:color w:val="000000"/>
                <w:lang w:val="es-CR" w:eastAsia="es-CR"/>
              </w:rPr>
              <w:t>20</w:t>
            </w:r>
          </w:p>
        </w:tc>
      </w:tr>
      <w:tr w:rsidR="004B579C" w:rsidRPr="004B579C" w14:paraId="0F845325" w14:textId="77777777" w:rsidTr="008443EA">
        <w:trPr>
          <w:trHeight w:val="288"/>
        </w:trPr>
        <w:tc>
          <w:tcPr>
            <w:tcW w:w="4180" w:type="dxa"/>
            <w:tcBorders>
              <w:top w:val="nil"/>
              <w:left w:val="double" w:sz="4" w:space="0" w:color="ED7D31" w:themeColor="accent2"/>
              <w:bottom w:val="nil"/>
              <w:right w:val="nil"/>
            </w:tcBorders>
            <w:noWrap/>
            <w:vAlign w:val="bottom"/>
            <w:hideMark/>
          </w:tcPr>
          <w:p w14:paraId="0E7AE087" w14:textId="4EC33108" w:rsidR="004B579C" w:rsidRPr="004B579C" w:rsidRDefault="004B579C" w:rsidP="004B579C">
            <w:pPr>
              <w:spacing w:after="0" w:line="240" w:lineRule="auto"/>
              <w:rPr>
                <w:rFonts w:ascii="Calibri" w:eastAsia="Times New Roman" w:hAnsi="Calibri" w:cs="Calibri"/>
                <w:color w:val="000000"/>
                <w:lang w:val="es-CR" w:eastAsia="es-CR"/>
              </w:rPr>
            </w:pPr>
            <w:r w:rsidRPr="004B579C">
              <w:rPr>
                <w:rFonts w:ascii="Calibri" w:eastAsia="Times New Roman" w:hAnsi="Calibri" w:cs="Calibri"/>
                <w:color w:val="000000"/>
                <w:lang w:val="es-CR" w:eastAsia="es-CR"/>
              </w:rPr>
              <w:t xml:space="preserve">SINAC </w:t>
            </w:r>
            <w:proofErr w:type="spellStart"/>
            <w:r w:rsidRPr="004B579C">
              <w:rPr>
                <w:rFonts w:ascii="Calibri" w:eastAsia="Times New Roman" w:hAnsi="Calibri" w:cs="Calibri"/>
                <w:color w:val="000000"/>
                <w:lang w:val="es-CR" w:eastAsia="es-CR"/>
              </w:rPr>
              <w:t>Progr</w:t>
            </w:r>
            <w:proofErr w:type="spellEnd"/>
            <w:r w:rsidRPr="004B579C">
              <w:rPr>
                <w:rFonts w:ascii="Calibri" w:eastAsia="Times New Roman" w:hAnsi="Calibri" w:cs="Calibri"/>
                <w:color w:val="000000"/>
                <w:lang w:val="es-CR" w:eastAsia="es-CR"/>
              </w:rPr>
              <w:t>. “Plan Fortalecimiento SINAC</w:t>
            </w:r>
          </w:p>
        </w:tc>
        <w:tc>
          <w:tcPr>
            <w:tcW w:w="2540" w:type="dxa"/>
            <w:tcBorders>
              <w:top w:val="nil"/>
              <w:left w:val="nil"/>
              <w:bottom w:val="nil"/>
              <w:right w:val="double" w:sz="4" w:space="0" w:color="ED7D31" w:themeColor="accent2"/>
            </w:tcBorders>
            <w:noWrap/>
            <w:vAlign w:val="bottom"/>
            <w:hideMark/>
          </w:tcPr>
          <w:p w14:paraId="1B04502B" w14:textId="77777777" w:rsidR="004B579C" w:rsidRPr="004B579C" w:rsidRDefault="004B579C" w:rsidP="0057285C">
            <w:pPr>
              <w:spacing w:after="0" w:line="240" w:lineRule="auto"/>
              <w:jc w:val="center"/>
              <w:rPr>
                <w:rFonts w:ascii="Calibri" w:eastAsia="Times New Roman" w:hAnsi="Calibri" w:cs="Calibri"/>
                <w:color w:val="000000"/>
                <w:lang w:val="es-CR" w:eastAsia="es-CR"/>
              </w:rPr>
            </w:pPr>
            <w:r w:rsidRPr="004B579C">
              <w:rPr>
                <w:rFonts w:ascii="Calibri" w:eastAsia="Times New Roman" w:hAnsi="Calibri" w:cs="Calibri"/>
                <w:color w:val="000000"/>
                <w:lang w:val="es-CR" w:eastAsia="es-CR"/>
              </w:rPr>
              <w:t>16</w:t>
            </w:r>
          </w:p>
        </w:tc>
      </w:tr>
      <w:tr w:rsidR="004B579C" w:rsidRPr="004B579C" w14:paraId="07626E67" w14:textId="77777777" w:rsidTr="008443EA">
        <w:trPr>
          <w:trHeight w:val="288"/>
        </w:trPr>
        <w:tc>
          <w:tcPr>
            <w:tcW w:w="4180" w:type="dxa"/>
            <w:tcBorders>
              <w:top w:val="nil"/>
              <w:left w:val="double" w:sz="4" w:space="0" w:color="ED7D31" w:themeColor="accent2"/>
              <w:bottom w:val="nil"/>
              <w:right w:val="nil"/>
            </w:tcBorders>
            <w:noWrap/>
            <w:vAlign w:val="bottom"/>
            <w:hideMark/>
          </w:tcPr>
          <w:p w14:paraId="62767DE4" w14:textId="77777777" w:rsidR="004B579C" w:rsidRPr="004B579C" w:rsidRDefault="004B579C" w:rsidP="004B579C">
            <w:pPr>
              <w:spacing w:after="0" w:line="240" w:lineRule="auto"/>
              <w:rPr>
                <w:rFonts w:ascii="Calibri" w:eastAsia="Times New Roman" w:hAnsi="Calibri" w:cs="Calibri"/>
                <w:color w:val="000000"/>
                <w:lang w:val="es-CR" w:eastAsia="es-CR"/>
              </w:rPr>
            </w:pPr>
            <w:r w:rsidRPr="004B579C">
              <w:rPr>
                <w:rFonts w:ascii="Calibri" w:eastAsia="Times New Roman" w:hAnsi="Calibri" w:cs="Calibri"/>
                <w:color w:val="000000"/>
                <w:lang w:val="es-CR" w:eastAsia="es-CR"/>
              </w:rPr>
              <w:t xml:space="preserve">SINAC </w:t>
            </w:r>
            <w:proofErr w:type="spellStart"/>
            <w:r w:rsidRPr="004B579C">
              <w:rPr>
                <w:rFonts w:ascii="Calibri" w:eastAsia="Times New Roman" w:hAnsi="Calibri" w:cs="Calibri"/>
                <w:color w:val="000000"/>
                <w:lang w:val="es-CR" w:eastAsia="es-CR"/>
              </w:rPr>
              <w:t>Progr</w:t>
            </w:r>
            <w:proofErr w:type="spellEnd"/>
            <w:r w:rsidRPr="004B579C">
              <w:rPr>
                <w:rFonts w:ascii="Calibri" w:eastAsia="Times New Roman" w:hAnsi="Calibri" w:cs="Calibri"/>
                <w:color w:val="000000"/>
                <w:lang w:val="es-CR" w:eastAsia="es-CR"/>
              </w:rPr>
              <w:t xml:space="preserve">. </w:t>
            </w:r>
            <w:proofErr w:type="spellStart"/>
            <w:r w:rsidRPr="004B579C">
              <w:rPr>
                <w:rFonts w:ascii="Calibri" w:eastAsia="Times New Roman" w:hAnsi="Calibri" w:cs="Calibri"/>
                <w:color w:val="000000"/>
                <w:lang w:val="es-CR" w:eastAsia="es-CR"/>
              </w:rPr>
              <w:t>Nac</w:t>
            </w:r>
            <w:proofErr w:type="spellEnd"/>
            <w:r w:rsidRPr="004B579C">
              <w:rPr>
                <w:rFonts w:ascii="Calibri" w:eastAsia="Times New Roman" w:hAnsi="Calibri" w:cs="Calibri"/>
                <w:color w:val="000000"/>
                <w:lang w:val="es-CR" w:eastAsia="es-CR"/>
              </w:rPr>
              <w:t>. Manejo del Fuego</w:t>
            </w:r>
          </w:p>
        </w:tc>
        <w:tc>
          <w:tcPr>
            <w:tcW w:w="2540" w:type="dxa"/>
            <w:tcBorders>
              <w:top w:val="nil"/>
              <w:left w:val="nil"/>
              <w:bottom w:val="nil"/>
              <w:right w:val="double" w:sz="4" w:space="0" w:color="ED7D31" w:themeColor="accent2"/>
            </w:tcBorders>
            <w:noWrap/>
            <w:vAlign w:val="bottom"/>
            <w:hideMark/>
          </w:tcPr>
          <w:p w14:paraId="76C890A8" w14:textId="77777777" w:rsidR="004B579C" w:rsidRPr="004B579C" w:rsidRDefault="004B579C" w:rsidP="0057285C">
            <w:pPr>
              <w:spacing w:after="0" w:line="240" w:lineRule="auto"/>
              <w:jc w:val="center"/>
              <w:rPr>
                <w:rFonts w:ascii="Calibri" w:eastAsia="Times New Roman" w:hAnsi="Calibri" w:cs="Calibri"/>
                <w:color w:val="000000"/>
                <w:lang w:val="es-CR" w:eastAsia="es-CR"/>
              </w:rPr>
            </w:pPr>
            <w:r w:rsidRPr="004B579C">
              <w:rPr>
                <w:rFonts w:ascii="Calibri" w:eastAsia="Times New Roman" w:hAnsi="Calibri" w:cs="Calibri"/>
                <w:color w:val="000000"/>
                <w:lang w:val="es-CR" w:eastAsia="es-CR"/>
              </w:rPr>
              <w:t>14</w:t>
            </w:r>
          </w:p>
        </w:tc>
      </w:tr>
      <w:tr w:rsidR="004B579C" w:rsidRPr="004B579C" w14:paraId="56A4EF84" w14:textId="77777777" w:rsidTr="008443EA">
        <w:trPr>
          <w:trHeight w:val="288"/>
        </w:trPr>
        <w:tc>
          <w:tcPr>
            <w:tcW w:w="4180" w:type="dxa"/>
            <w:tcBorders>
              <w:top w:val="single" w:sz="4" w:space="0" w:color="95B3D7"/>
              <w:left w:val="double" w:sz="4" w:space="0" w:color="ED7D31" w:themeColor="accent2"/>
              <w:bottom w:val="double" w:sz="4" w:space="0" w:color="ED7D31" w:themeColor="accent2"/>
              <w:right w:val="nil"/>
            </w:tcBorders>
            <w:shd w:val="clear" w:color="DCE6F1" w:fill="DCE6F1"/>
            <w:noWrap/>
            <w:vAlign w:val="bottom"/>
            <w:hideMark/>
          </w:tcPr>
          <w:p w14:paraId="66321226" w14:textId="77777777" w:rsidR="004B579C" w:rsidRPr="004B579C" w:rsidRDefault="004B579C" w:rsidP="004B579C">
            <w:pPr>
              <w:spacing w:after="0" w:line="240" w:lineRule="auto"/>
              <w:rPr>
                <w:rFonts w:ascii="Calibri" w:eastAsia="Times New Roman" w:hAnsi="Calibri" w:cs="Calibri"/>
                <w:b/>
                <w:bCs/>
                <w:color w:val="000000"/>
                <w:lang w:val="es-CR" w:eastAsia="es-CR"/>
              </w:rPr>
            </w:pPr>
            <w:proofErr w:type="gramStart"/>
            <w:r w:rsidRPr="004B579C">
              <w:rPr>
                <w:rFonts w:ascii="Calibri" w:eastAsia="Times New Roman" w:hAnsi="Calibri" w:cs="Calibri"/>
                <w:b/>
                <w:bCs/>
                <w:color w:val="000000"/>
                <w:lang w:val="es-CR" w:eastAsia="es-CR"/>
              </w:rPr>
              <w:t>Total</w:t>
            </w:r>
            <w:proofErr w:type="gramEnd"/>
            <w:r w:rsidRPr="004B579C">
              <w:rPr>
                <w:rFonts w:ascii="Calibri" w:eastAsia="Times New Roman" w:hAnsi="Calibri" w:cs="Calibri"/>
                <w:b/>
                <w:bCs/>
                <w:color w:val="000000"/>
                <w:lang w:val="es-CR" w:eastAsia="es-CR"/>
              </w:rPr>
              <w:t xml:space="preserve"> general</w:t>
            </w:r>
          </w:p>
        </w:tc>
        <w:tc>
          <w:tcPr>
            <w:tcW w:w="2540" w:type="dxa"/>
            <w:tcBorders>
              <w:top w:val="single" w:sz="4" w:space="0" w:color="95B3D7"/>
              <w:left w:val="nil"/>
              <w:bottom w:val="double" w:sz="4" w:space="0" w:color="ED7D31" w:themeColor="accent2"/>
              <w:right w:val="double" w:sz="4" w:space="0" w:color="ED7D31" w:themeColor="accent2"/>
            </w:tcBorders>
            <w:shd w:val="clear" w:color="DCE6F1" w:fill="DCE6F1"/>
            <w:noWrap/>
            <w:vAlign w:val="bottom"/>
            <w:hideMark/>
          </w:tcPr>
          <w:p w14:paraId="29EF2681" w14:textId="77777777" w:rsidR="004B579C" w:rsidRPr="004B579C" w:rsidRDefault="004B579C" w:rsidP="0057285C">
            <w:pPr>
              <w:spacing w:after="0" w:line="240" w:lineRule="auto"/>
              <w:jc w:val="center"/>
              <w:rPr>
                <w:rFonts w:ascii="Calibri" w:eastAsia="Times New Roman" w:hAnsi="Calibri" w:cs="Calibri"/>
                <w:b/>
                <w:bCs/>
                <w:color w:val="000000"/>
                <w:lang w:val="es-CR" w:eastAsia="es-CR"/>
              </w:rPr>
            </w:pPr>
            <w:r w:rsidRPr="004B579C">
              <w:rPr>
                <w:rFonts w:ascii="Calibri" w:eastAsia="Times New Roman" w:hAnsi="Calibri" w:cs="Calibri"/>
                <w:b/>
                <w:bCs/>
                <w:color w:val="000000"/>
                <w:lang w:val="es-CR" w:eastAsia="es-CR"/>
              </w:rPr>
              <w:t>252</w:t>
            </w:r>
          </w:p>
        </w:tc>
      </w:tr>
    </w:tbl>
    <w:p w14:paraId="105A695C" w14:textId="77777777" w:rsidR="0053594A" w:rsidRDefault="0053594A" w:rsidP="00AD3C56">
      <w:pPr>
        <w:spacing w:line="360" w:lineRule="auto"/>
        <w:ind w:left="426"/>
        <w:jc w:val="both"/>
        <w:rPr>
          <w:rFonts w:ascii="Arial" w:hAnsi="Arial" w:cs="Arial"/>
          <w:sz w:val="24"/>
          <w:szCs w:val="24"/>
          <w:highlight w:val="yellow"/>
        </w:rPr>
      </w:pPr>
    </w:p>
    <w:p w14:paraId="5D479F5C" w14:textId="77777777" w:rsidR="00FB5544" w:rsidRDefault="00FB5544" w:rsidP="00AD3C56">
      <w:pPr>
        <w:spacing w:line="360" w:lineRule="auto"/>
        <w:ind w:left="426"/>
        <w:jc w:val="both"/>
        <w:rPr>
          <w:rFonts w:ascii="Arial" w:hAnsi="Arial" w:cs="Arial"/>
          <w:sz w:val="24"/>
          <w:szCs w:val="24"/>
          <w:highlight w:val="yellow"/>
        </w:rPr>
      </w:pPr>
    </w:p>
    <w:p w14:paraId="72F4E839" w14:textId="2B6E178A" w:rsidR="003607F3" w:rsidRDefault="00675C53" w:rsidP="0001624F">
      <w:pPr>
        <w:spacing w:line="360" w:lineRule="auto"/>
        <w:ind w:left="426" w:hanging="142"/>
        <w:jc w:val="both"/>
        <w:rPr>
          <w:rFonts w:ascii="Arial" w:hAnsi="Arial" w:cs="Arial"/>
          <w:sz w:val="24"/>
          <w:szCs w:val="24"/>
        </w:rPr>
      </w:pPr>
      <w:r>
        <w:rPr>
          <w:rFonts w:ascii="Arial" w:hAnsi="Arial" w:cs="Arial"/>
          <w:sz w:val="24"/>
          <w:szCs w:val="24"/>
        </w:rPr>
        <w:lastRenderedPageBreak/>
        <w:t xml:space="preserve">A </w:t>
      </w:r>
      <w:r w:rsidR="0001624F">
        <w:rPr>
          <w:rFonts w:ascii="Arial" w:hAnsi="Arial" w:cs="Arial"/>
          <w:sz w:val="24"/>
          <w:szCs w:val="24"/>
        </w:rPr>
        <w:t>continuación,</w:t>
      </w:r>
      <w:r w:rsidR="00096AE3" w:rsidRPr="00DF28F5">
        <w:rPr>
          <w:rFonts w:ascii="Arial" w:hAnsi="Arial" w:cs="Arial"/>
          <w:sz w:val="24"/>
          <w:szCs w:val="24"/>
        </w:rPr>
        <w:t xml:space="preserve"> se muestra</w:t>
      </w:r>
      <w:r w:rsidR="003068DA" w:rsidRPr="00DF28F5">
        <w:rPr>
          <w:rFonts w:ascii="Arial" w:hAnsi="Arial" w:cs="Arial"/>
          <w:sz w:val="24"/>
          <w:szCs w:val="24"/>
        </w:rPr>
        <w:t>n</w:t>
      </w:r>
      <w:r w:rsidR="00096AE3" w:rsidRPr="00DF28F5">
        <w:rPr>
          <w:rFonts w:ascii="Arial" w:hAnsi="Arial" w:cs="Arial"/>
          <w:sz w:val="24"/>
          <w:szCs w:val="24"/>
        </w:rPr>
        <w:t xml:space="preserve"> las Decisiones Iniciales en las cuales si se logró el </w:t>
      </w:r>
      <w:r w:rsidR="00020580" w:rsidRPr="00DF28F5">
        <w:rPr>
          <w:rFonts w:ascii="Arial" w:hAnsi="Arial" w:cs="Arial"/>
          <w:sz w:val="24"/>
          <w:szCs w:val="24"/>
        </w:rPr>
        <w:t xml:space="preserve">objetivo </w:t>
      </w:r>
      <w:r w:rsidR="0001624F">
        <w:rPr>
          <w:rFonts w:ascii="Arial" w:hAnsi="Arial" w:cs="Arial"/>
          <w:sz w:val="24"/>
          <w:szCs w:val="24"/>
        </w:rPr>
        <w:t>dentro del periodo 2025</w:t>
      </w:r>
      <w:r w:rsidR="006311D4">
        <w:rPr>
          <w:rFonts w:ascii="Arial" w:hAnsi="Arial" w:cs="Arial"/>
          <w:sz w:val="24"/>
          <w:szCs w:val="24"/>
        </w:rPr>
        <w:t>:</w:t>
      </w:r>
    </w:p>
    <w:tbl>
      <w:tblPr>
        <w:tblW w:w="10774" w:type="dxa"/>
        <w:tblInd w:w="-856" w:type="dxa"/>
        <w:tblCellMar>
          <w:left w:w="70" w:type="dxa"/>
          <w:right w:w="70" w:type="dxa"/>
        </w:tblCellMar>
        <w:tblLook w:val="04A0" w:firstRow="1" w:lastRow="0" w:firstColumn="1" w:lastColumn="0" w:noHBand="0" w:noVBand="1"/>
      </w:tblPr>
      <w:tblGrid>
        <w:gridCol w:w="3300"/>
        <w:gridCol w:w="1460"/>
        <w:gridCol w:w="1200"/>
        <w:gridCol w:w="1240"/>
        <w:gridCol w:w="1320"/>
        <w:gridCol w:w="1300"/>
        <w:gridCol w:w="954"/>
      </w:tblGrid>
      <w:tr w:rsidR="0001624F" w:rsidRPr="0001624F" w14:paraId="2C531A33" w14:textId="77777777" w:rsidTr="0001624F">
        <w:trPr>
          <w:trHeight w:val="288"/>
        </w:trPr>
        <w:tc>
          <w:tcPr>
            <w:tcW w:w="33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F38B0D4" w14:textId="77777777" w:rsid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Dirección/Estado</w:t>
            </w:r>
          </w:p>
          <w:p w14:paraId="2C892219"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p>
        </w:tc>
        <w:tc>
          <w:tcPr>
            <w:tcW w:w="14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57A6E0D" w14:textId="77777777" w:rsid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FID. 544-2</w:t>
            </w:r>
          </w:p>
          <w:p w14:paraId="23EDD819"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p>
        </w:tc>
        <w:tc>
          <w:tcPr>
            <w:tcW w:w="12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C48D1A" w14:textId="77777777" w:rsid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FID. 544-3</w:t>
            </w:r>
          </w:p>
          <w:p w14:paraId="768807B4"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p>
        </w:tc>
        <w:tc>
          <w:tcPr>
            <w:tcW w:w="1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4B34605" w14:textId="77777777" w:rsid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FID-544-19</w:t>
            </w:r>
          </w:p>
          <w:p w14:paraId="5B9C6F50"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p>
        </w:tc>
        <w:tc>
          <w:tcPr>
            <w:tcW w:w="13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4CFFCA9" w14:textId="77777777" w:rsid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FID-544-23</w:t>
            </w:r>
          </w:p>
          <w:p w14:paraId="1B6731B2"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p>
        </w:tc>
        <w:tc>
          <w:tcPr>
            <w:tcW w:w="13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70731FE" w14:textId="77777777" w:rsid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FONAFIFO</w:t>
            </w:r>
          </w:p>
          <w:p w14:paraId="60EA4723"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p>
        </w:tc>
        <w:tc>
          <w:tcPr>
            <w:tcW w:w="95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6B802E0" w14:textId="41F3989A" w:rsidR="0001624F" w:rsidRPr="0001624F" w:rsidRDefault="006311D4"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Total,</w:t>
            </w:r>
            <w:r w:rsidR="0001624F" w:rsidRPr="0001624F">
              <w:rPr>
                <w:rFonts w:ascii="Calibri" w:eastAsia="Times New Roman" w:hAnsi="Calibri" w:cs="Calibri"/>
                <w:b/>
                <w:bCs/>
                <w:color w:val="000000"/>
                <w:lang w:val="es-CR" w:eastAsia="es-CR"/>
              </w:rPr>
              <w:t xml:space="preserve"> general</w:t>
            </w:r>
          </w:p>
        </w:tc>
      </w:tr>
      <w:tr w:rsidR="0001624F" w:rsidRPr="0001624F" w14:paraId="11829FBD" w14:textId="77777777" w:rsidTr="0001624F">
        <w:trPr>
          <w:trHeight w:val="288"/>
        </w:trPr>
        <w:tc>
          <w:tcPr>
            <w:tcW w:w="33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0B20F3AB" w14:textId="77777777" w:rsidR="0001624F" w:rsidRPr="0001624F" w:rsidRDefault="0001624F" w:rsidP="0001624F">
            <w:pPr>
              <w:spacing w:after="0" w:line="240" w:lineRule="auto"/>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D. Administrativa-Financiera</w:t>
            </w:r>
          </w:p>
        </w:tc>
        <w:tc>
          <w:tcPr>
            <w:tcW w:w="146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0A309222"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12</w:t>
            </w:r>
          </w:p>
        </w:tc>
        <w:tc>
          <w:tcPr>
            <w:tcW w:w="12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0462DFDF"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2</w:t>
            </w:r>
          </w:p>
        </w:tc>
        <w:tc>
          <w:tcPr>
            <w:tcW w:w="124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6033265B"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32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255361AE"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3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0AD703EA"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86</w:t>
            </w:r>
          </w:p>
        </w:tc>
        <w:tc>
          <w:tcPr>
            <w:tcW w:w="954"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75BDE838"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100</w:t>
            </w:r>
          </w:p>
        </w:tc>
      </w:tr>
      <w:tr w:rsidR="0001624F" w:rsidRPr="0001624F" w14:paraId="5D6DF48B" w14:textId="77777777" w:rsidTr="0001624F">
        <w:trPr>
          <w:trHeight w:val="288"/>
        </w:trPr>
        <w:tc>
          <w:tcPr>
            <w:tcW w:w="3300" w:type="dxa"/>
            <w:tcBorders>
              <w:top w:val="nil"/>
              <w:left w:val="single" w:sz="4" w:space="0" w:color="auto"/>
              <w:bottom w:val="single" w:sz="4" w:space="0" w:color="auto"/>
              <w:right w:val="single" w:sz="4" w:space="0" w:color="auto"/>
            </w:tcBorders>
            <w:noWrap/>
            <w:vAlign w:val="bottom"/>
            <w:hideMark/>
          </w:tcPr>
          <w:p w14:paraId="5B36BEA5" w14:textId="77777777" w:rsidR="0001624F" w:rsidRPr="0001624F" w:rsidRDefault="0001624F" w:rsidP="0001624F">
            <w:pPr>
              <w:spacing w:after="0" w:line="240" w:lineRule="auto"/>
              <w:ind w:firstLineChars="100" w:firstLine="220"/>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Ejecutado/Pagado</w:t>
            </w:r>
          </w:p>
        </w:tc>
        <w:tc>
          <w:tcPr>
            <w:tcW w:w="1460" w:type="dxa"/>
            <w:tcBorders>
              <w:top w:val="nil"/>
              <w:left w:val="nil"/>
              <w:bottom w:val="single" w:sz="4" w:space="0" w:color="auto"/>
              <w:right w:val="single" w:sz="4" w:space="0" w:color="auto"/>
            </w:tcBorders>
            <w:noWrap/>
            <w:vAlign w:val="bottom"/>
            <w:hideMark/>
          </w:tcPr>
          <w:p w14:paraId="5E3CA77E"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11</w:t>
            </w:r>
          </w:p>
        </w:tc>
        <w:tc>
          <w:tcPr>
            <w:tcW w:w="1200" w:type="dxa"/>
            <w:tcBorders>
              <w:top w:val="nil"/>
              <w:left w:val="nil"/>
              <w:bottom w:val="single" w:sz="4" w:space="0" w:color="auto"/>
              <w:right w:val="single" w:sz="4" w:space="0" w:color="auto"/>
            </w:tcBorders>
            <w:noWrap/>
            <w:vAlign w:val="bottom"/>
            <w:hideMark/>
          </w:tcPr>
          <w:p w14:paraId="57F267A9"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1</w:t>
            </w:r>
          </w:p>
        </w:tc>
        <w:tc>
          <w:tcPr>
            <w:tcW w:w="1240" w:type="dxa"/>
            <w:tcBorders>
              <w:top w:val="nil"/>
              <w:left w:val="nil"/>
              <w:bottom w:val="single" w:sz="4" w:space="0" w:color="auto"/>
              <w:right w:val="single" w:sz="4" w:space="0" w:color="auto"/>
            </w:tcBorders>
            <w:noWrap/>
            <w:vAlign w:val="bottom"/>
            <w:hideMark/>
          </w:tcPr>
          <w:p w14:paraId="097FA4E6"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20" w:type="dxa"/>
            <w:tcBorders>
              <w:top w:val="nil"/>
              <w:left w:val="nil"/>
              <w:bottom w:val="single" w:sz="4" w:space="0" w:color="auto"/>
              <w:right w:val="single" w:sz="4" w:space="0" w:color="auto"/>
            </w:tcBorders>
            <w:noWrap/>
            <w:vAlign w:val="bottom"/>
            <w:hideMark/>
          </w:tcPr>
          <w:p w14:paraId="00E5D19E"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00" w:type="dxa"/>
            <w:tcBorders>
              <w:top w:val="nil"/>
              <w:left w:val="nil"/>
              <w:bottom w:val="single" w:sz="4" w:space="0" w:color="auto"/>
              <w:right w:val="single" w:sz="4" w:space="0" w:color="auto"/>
            </w:tcBorders>
            <w:noWrap/>
            <w:vAlign w:val="bottom"/>
            <w:hideMark/>
          </w:tcPr>
          <w:p w14:paraId="0BA74782"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56</w:t>
            </w:r>
          </w:p>
        </w:tc>
        <w:tc>
          <w:tcPr>
            <w:tcW w:w="954" w:type="dxa"/>
            <w:tcBorders>
              <w:top w:val="nil"/>
              <w:left w:val="nil"/>
              <w:bottom w:val="single" w:sz="4" w:space="0" w:color="auto"/>
              <w:right w:val="single" w:sz="4" w:space="0" w:color="auto"/>
            </w:tcBorders>
            <w:noWrap/>
            <w:vAlign w:val="bottom"/>
            <w:hideMark/>
          </w:tcPr>
          <w:p w14:paraId="2B6F070B"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68</w:t>
            </w:r>
          </w:p>
        </w:tc>
      </w:tr>
      <w:tr w:rsidR="0001624F" w:rsidRPr="0001624F" w14:paraId="56097359" w14:textId="77777777" w:rsidTr="0001624F">
        <w:trPr>
          <w:trHeight w:val="288"/>
        </w:trPr>
        <w:tc>
          <w:tcPr>
            <w:tcW w:w="3300" w:type="dxa"/>
            <w:tcBorders>
              <w:top w:val="nil"/>
              <w:left w:val="single" w:sz="4" w:space="0" w:color="auto"/>
              <w:bottom w:val="single" w:sz="4" w:space="0" w:color="auto"/>
              <w:right w:val="single" w:sz="4" w:space="0" w:color="auto"/>
            </w:tcBorders>
            <w:noWrap/>
            <w:vAlign w:val="bottom"/>
            <w:hideMark/>
          </w:tcPr>
          <w:p w14:paraId="5E4B5BE3" w14:textId="77777777" w:rsidR="0001624F" w:rsidRPr="0001624F" w:rsidRDefault="0001624F" w:rsidP="0001624F">
            <w:pPr>
              <w:spacing w:after="0" w:line="240" w:lineRule="auto"/>
              <w:ind w:firstLineChars="100" w:firstLine="220"/>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En Ejecución Serv. Cont.</w:t>
            </w:r>
          </w:p>
        </w:tc>
        <w:tc>
          <w:tcPr>
            <w:tcW w:w="1460" w:type="dxa"/>
            <w:tcBorders>
              <w:top w:val="nil"/>
              <w:left w:val="nil"/>
              <w:bottom w:val="single" w:sz="4" w:space="0" w:color="auto"/>
              <w:right w:val="single" w:sz="4" w:space="0" w:color="auto"/>
            </w:tcBorders>
            <w:noWrap/>
            <w:vAlign w:val="bottom"/>
            <w:hideMark/>
          </w:tcPr>
          <w:p w14:paraId="0C10FE77"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00" w:type="dxa"/>
            <w:tcBorders>
              <w:top w:val="nil"/>
              <w:left w:val="nil"/>
              <w:bottom w:val="single" w:sz="4" w:space="0" w:color="auto"/>
              <w:right w:val="single" w:sz="4" w:space="0" w:color="auto"/>
            </w:tcBorders>
            <w:noWrap/>
            <w:vAlign w:val="bottom"/>
            <w:hideMark/>
          </w:tcPr>
          <w:p w14:paraId="02FEDD65"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40" w:type="dxa"/>
            <w:tcBorders>
              <w:top w:val="nil"/>
              <w:left w:val="nil"/>
              <w:bottom w:val="single" w:sz="4" w:space="0" w:color="auto"/>
              <w:right w:val="single" w:sz="4" w:space="0" w:color="auto"/>
            </w:tcBorders>
            <w:noWrap/>
            <w:vAlign w:val="bottom"/>
            <w:hideMark/>
          </w:tcPr>
          <w:p w14:paraId="06802E15"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20" w:type="dxa"/>
            <w:tcBorders>
              <w:top w:val="nil"/>
              <w:left w:val="nil"/>
              <w:bottom w:val="single" w:sz="4" w:space="0" w:color="auto"/>
              <w:right w:val="single" w:sz="4" w:space="0" w:color="auto"/>
            </w:tcBorders>
            <w:noWrap/>
            <w:vAlign w:val="bottom"/>
            <w:hideMark/>
          </w:tcPr>
          <w:p w14:paraId="7E748C8E"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00" w:type="dxa"/>
            <w:tcBorders>
              <w:top w:val="nil"/>
              <w:left w:val="nil"/>
              <w:bottom w:val="single" w:sz="4" w:space="0" w:color="auto"/>
              <w:right w:val="single" w:sz="4" w:space="0" w:color="auto"/>
            </w:tcBorders>
            <w:noWrap/>
            <w:vAlign w:val="bottom"/>
            <w:hideMark/>
          </w:tcPr>
          <w:p w14:paraId="58412BDF"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1</w:t>
            </w:r>
          </w:p>
        </w:tc>
        <w:tc>
          <w:tcPr>
            <w:tcW w:w="954" w:type="dxa"/>
            <w:tcBorders>
              <w:top w:val="nil"/>
              <w:left w:val="nil"/>
              <w:bottom w:val="single" w:sz="4" w:space="0" w:color="auto"/>
              <w:right w:val="single" w:sz="4" w:space="0" w:color="auto"/>
            </w:tcBorders>
            <w:noWrap/>
            <w:vAlign w:val="bottom"/>
            <w:hideMark/>
          </w:tcPr>
          <w:p w14:paraId="573CE426"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1</w:t>
            </w:r>
          </w:p>
        </w:tc>
      </w:tr>
      <w:tr w:rsidR="0001624F" w:rsidRPr="0001624F" w14:paraId="35703806" w14:textId="77777777" w:rsidTr="0001624F">
        <w:trPr>
          <w:trHeight w:val="288"/>
        </w:trPr>
        <w:tc>
          <w:tcPr>
            <w:tcW w:w="3300" w:type="dxa"/>
            <w:tcBorders>
              <w:top w:val="nil"/>
              <w:left w:val="single" w:sz="4" w:space="0" w:color="auto"/>
              <w:bottom w:val="single" w:sz="4" w:space="0" w:color="auto"/>
              <w:right w:val="single" w:sz="4" w:space="0" w:color="auto"/>
            </w:tcBorders>
            <w:noWrap/>
            <w:vAlign w:val="bottom"/>
            <w:hideMark/>
          </w:tcPr>
          <w:p w14:paraId="439B0C9A" w14:textId="77777777" w:rsidR="0001624F" w:rsidRPr="0001624F" w:rsidRDefault="0001624F" w:rsidP="0001624F">
            <w:pPr>
              <w:spacing w:after="0" w:line="240" w:lineRule="auto"/>
              <w:ind w:firstLineChars="100" w:firstLine="220"/>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Renovación efectuada</w:t>
            </w:r>
          </w:p>
        </w:tc>
        <w:tc>
          <w:tcPr>
            <w:tcW w:w="1460" w:type="dxa"/>
            <w:tcBorders>
              <w:top w:val="nil"/>
              <w:left w:val="nil"/>
              <w:bottom w:val="single" w:sz="4" w:space="0" w:color="auto"/>
              <w:right w:val="single" w:sz="4" w:space="0" w:color="auto"/>
            </w:tcBorders>
            <w:noWrap/>
            <w:vAlign w:val="bottom"/>
            <w:hideMark/>
          </w:tcPr>
          <w:p w14:paraId="2E3F3FAC"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1</w:t>
            </w:r>
          </w:p>
        </w:tc>
        <w:tc>
          <w:tcPr>
            <w:tcW w:w="1200" w:type="dxa"/>
            <w:tcBorders>
              <w:top w:val="nil"/>
              <w:left w:val="nil"/>
              <w:bottom w:val="single" w:sz="4" w:space="0" w:color="auto"/>
              <w:right w:val="single" w:sz="4" w:space="0" w:color="auto"/>
            </w:tcBorders>
            <w:noWrap/>
            <w:vAlign w:val="bottom"/>
            <w:hideMark/>
          </w:tcPr>
          <w:p w14:paraId="4B7A6726"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1</w:t>
            </w:r>
          </w:p>
        </w:tc>
        <w:tc>
          <w:tcPr>
            <w:tcW w:w="1240" w:type="dxa"/>
            <w:tcBorders>
              <w:top w:val="nil"/>
              <w:left w:val="nil"/>
              <w:bottom w:val="single" w:sz="4" w:space="0" w:color="auto"/>
              <w:right w:val="single" w:sz="4" w:space="0" w:color="auto"/>
            </w:tcBorders>
            <w:noWrap/>
            <w:vAlign w:val="bottom"/>
            <w:hideMark/>
          </w:tcPr>
          <w:p w14:paraId="31D40974"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20" w:type="dxa"/>
            <w:tcBorders>
              <w:top w:val="nil"/>
              <w:left w:val="nil"/>
              <w:bottom w:val="single" w:sz="4" w:space="0" w:color="auto"/>
              <w:right w:val="single" w:sz="4" w:space="0" w:color="auto"/>
            </w:tcBorders>
            <w:noWrap/>
            <w:vAlign w:val="bottom"/>
            <w:hideMark/>
          </w:tcPr>
          <w:p w14:paraId="2E7B6927"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00" w:type="dxa"/>
            <w:tcBorders>
              <w:top w:val="nil"/>
              <w:left w:val="nil"/>
              <w:bottom w:val="single" w:sz="4" w:space="0" w:color="auto"/>
              <w:right w:val="single" w:sz="4" w:space="0" w:color="auto"/>
            </w:tcBorders>
            <w:noWrap/>
            <w:vAlign w:val="bottom"/>
            <w:hideMark/>
          </w:tcPr>
          <w:p w14:paraId="4F7DD7FB"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29</w:t>
            </w:r>
          </w:p>
        </w:tc>
        <w:tc>
          <w:tcPr>
            <w:tcW w:w="954" w:type="dxa"/>
            <w:tcBorders>
              <w:top w:val="nil"/>
              <w:left w:val="nil"/>
              <w:bottom w:val="single" w:sz="4" w:space="0" w:color="auto"/>
              <w:right w:val="single" w:sz="4" w:space="0" w:color="auto"/>
            </w:tcBorders>
            <w:noWrap/>
            <w:vAlign w:val="bottom"/>
            <w:hideMark/>
          </w:tcPr>
          <w:p w14:paraId="29D397B8"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31</w:t>
            </w:r>
          </w:p>
        </w:tc>
      </w:tr>
      <w:tr w:rsidR="0001624F" w:rsidRPr="0001624F" w14:paraId="7F22E5BC" w14:textId="77777777" w:rsidTr="0001624F">
        <w:trPr>
          <w:trHeight w:val="288"/>
        </w:trPr>
        <w:tc>
          <w:tcPr>
            <w:tcW w:w="33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2D221147" w14:textId="77777777" w:rsidR="0001624F" w:rsidRPr="0001624F" w:rsidRDefault="0001624F" w:rsidP="0001624F">
            <w:pPr>
              <w:spacing w:after="0" w:line="240" w:lineRule="auto"/>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D. Asuntos Jurídicos</w:t>
            </w:r>
          </w:p>
        </w:tc>
        <w:tc>
          <w:tcPr>
            <w:tcW w:w="146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0EFD9522"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3</w:t>
            </w:r>
          </w:p>
        </w:tc>
        <w:tc>
          <w:tcPr>
            <w:tcW w:w="12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314EDFA4"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24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39E66973"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32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57683692"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3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5402580E"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1</w:t>
            </w:r>
          </w:p>
        </w:tc>
        <w:tc>
          <w:tcPr>
            <w:tcW w:w="954"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78F8E2D4"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4</w:t>
            </w:r>
          </w:p>
        </w:tc>
      </w:tr>
      <w:tr w:rsidR="0001624F" w:rsidRPr="0001624F" w14:paraId="413B45DA" w14:textId="77777777" w:rsidTr="0001624F">
        <w:trPr>
          <w:trHeight w:val="288"/>
        </w:trPr>
        <w:tc>
          <w:tcPr>
            <w:tcW w:w="3300" w:type="dxa"/>
            <w:tcBorders>
              <w:top w:val="nil"/>
              <w:left w:val="single" w:sz="4" w:space="0" w:color="auto"/>
              <w:bottom w:val="single" w:sz="4" w:space="0" w:color="auto"/>
              <w:right w:val="single" w:sz="4" w:space="0" w:color="auto"/>
            </w:tcBorders>
            <w:noWrap/>
            <w:vAlign w:val="bottom"/>
            <w:hideMark/>
          </w:tcPr>
          <w:p w14:paraId="78D44DE9" w14:textId="77777777" w:rsidR="0001624F" w:rsidRPr="0001624F" w:rsidRDefault="0001624F" w:rsidP="0001624F">
            <w:pPr>
              <w:spacing w:after="0" w:line="240" w:lineRule="auto"/>
              <w:ind w:firstLineChars="100" w:firstLine="220"/>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Ejecutado/Pagado</w:t>
            </w:r>
          </w:p>
        </w:tc>
        <w:tc>
          <w:tcPr>
            <w:tcW w:w="1460" w:type="dxa"/>
            <w:tcBorders>
              <w:top w:val="nil"/>
              <w:left w:val="nil"/>
              <w:bottom w:val="single" w:sz="4" w:space="0" w:color="auto"/>
              <w:right w:val="single" w:sz="4" w:space="0" w:color="auto"/>
            </w:tcBorders>
            <w:noWrap/>
            <w:vAlign w:val="bottom"/>
            <w:hideMark/>
          </w:tcPr>
          <w:p w14:paraId="03BDE427"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3</w:t>
            </w:r>
          </w:p>
        </w:tc>
        <w:tc>
          <w:tcPr>
            <w:tcW w:w="1200" w:type="dxa"/>
            <w:tcBorders>
              <w:top w:val="nil"/>
              <w:left w:val="nil"/>
              <w:bottom w:val="single" w:sz="4" w:space="0" w:color="auto"/>
              <w:right w:val="single" w:sz="4" w:space="0" w:color="auto"/>
            </w:tcBorders>
            <w:noWrap/>
            <w:vAlign w:val="bottom"/>
            <w:hideMark/>
          </w:tcPr>
          <w:p w14:paraId="26E64D10"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40" w:type="dxa"/>
            <w:tcBorders>
              <w:top w:val="nil"/>
              <w:left w:val="nil"/>
              <w:bottom w:val="single" w:sz="4" w:space="0" w:color="auto"/>
              <w:right w:val="single" w:sz="4" w:space="0" w:color="auto"/>
            </w:tcBorders>
            <w:noWrap/>
            <w:vAlign w:val="bottom"/>
            <w:hideMark/>
          </w:tcPr>
          <w:p w14:paraId="6C272EAF"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20" w:type="dxa"/>
            <w:tcBorders>
              <w:top w:val="nil"/>
              <w:left w:val="nil"/>
              <w:bottom w:val="single" w:sz="4" w:space="0" w:color="auto"/>
              <w:right w:val="single" w:sz="4" w:space="0" w:color="auto"/>
            </w:tcBorders>
            <w:noWrap/>
            <w:vAlign w:val="bottom"/>
            <w:hideMark/>
          </w:tcPr>
          <w:p w14:paraId="3636E18B"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00" w:type="dxa"/>
            <w:tcBorders>
              <w:top w:val="nil"/>
              <w:left w:val="nil"/>
              <w:bottom w:val="single" w:sz="4" w:space="0" w:color="auto"/>
              <w:right w:val="single" w:sz="4" w:space="0" w:color="auto"/>
            </w:tcBorders>
            <w:noWrap/>
            <w:vAlign w:val="bottom"/>
            <w:hideMark/>
          </w:tcPr>
          <w:p w14:paraId="72774F9C"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954" w:type="dxa"/>
            <w:tcBorders>
              <w:top w:val="nil"/>
              <w:left w:val="nil"/>
              <w:bottom w:val="single" w:sz="4" w:space="0" w:color="auto"/>
              <w:right w:val="single" w:sz="4" w:space="0" w:color="auto"/>
            </w:tcBorders>
            <w:noWrap/>
            <w:vAlign w:val="bottom"/>
            <w:hideMark/>
          </w:tcPr>
          <w:p w14:paraId="663603C3"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3</w:t>
            </w:r>
          </w:p>
        </w:tc>
      </w:tr>
      <w:tr w:rsidR="0001624F" w:rsidRPr="0001624F" w14:paraId="375A4ED7" w14:textId="77777777" w:rsidTr="0001624F">
        <w:trPr>
          <w:trHeight w:val="288"/>
        </w:trPr>
        <w:tc>
          <w:tcPr>
            <w:tcW w:w="3300" w:type="dxa"/>
            <w:tcBorders>
              <w:top w:val="nil"/>
              <w:left w:val="single" w:sz="4" w:space="0" w:color="auto"/>
              <w:bottom w:val="single" w:sz="4" w:space="0" w:color="auto"/>
              <w:right w:val="single" w:sz="4" w:space="0" w:color="auto"/>
            </w:tcBorders>
            <w:noWrap/>
            <w:vAlign w:val="bottom"/>
            <w:hideMark/>
          </w:tcPr>
          <w:p w14:paraId="19F39942" w14:textId="77777777" w:rsidR="0001624F" w:rsidRPr="0001624F" w:rsidRDefault="0001624F" w:rsidP="0001624F">
            <w:pPr>
              <w:spacing w:after="0" w:line="240" w:lineRule="auto"/>
              <w:ind w:firstLineChars="100" w:firstLine="220"/>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Renovación efectuada</w:t>
            </w:r>
          </w:p>
        </w:tc>
        <w:tc>
          <w:tcPr>
            <w:tcW w:w="1460" w:type="dxa"/>
            <w:tcBorders>
              <w:top w:val="nil"/>
              <w:left w:val="nil"/>
              <w:bottom w:val="single" w:sz="4" w:space="0" w:color="auto"/>
              <w:right w:val="single" w:sz="4" w:space="0" w:color="auto"/>
            </w:tcBorders>
            <w:noWrap/>
            <w:vAlign w:val="bottom"/>
            <w:hideMark/>
          </w:tcPr>
          <w:p w14:paraId="314B4362"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00" w:type="dxa"/>
            <w:tcBorders>
              <w:top w:val="nil"/>
              <w:left w:val="nil"/>
              <w:bottom w:val="single" w:sz="4" w:space="0" w:color="auto"/>
              <w:right w:val="single" w:sz="4" w:space="0" w:color="auto"/>
            </w:tcBorders>
            <w:noWrap/>
            <w:vAlign w:val="bottom"/>
            <w:hideMark/>
          </w:tcPr>
          <w:p w14:paraId="2F64C83D"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40" w:type="dxa"/>
            <w:tcBorders>
              <w:top w:val="nil"/>
              <w:left w:val="nil"/>
              <w:bottom w:val="single" w:sz="4" w:space="0" w:color="auto"/>
              <w:right w:val="single" w:sz="4" w:space="0" w:color="auto"/>
            </w:tcBorders>
            <w:noWrap/>
            <w:vAlign w:val="bottom"/>
            <w:hideMark/>
          </w:tcPr>
          <w:p w14:paraId="4862AA7F"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20" w:type="dxa"/>
            <w:tcBorders>
              <w:top w:val="nil"/>
              <w:left w:val="nil"/>
              <w:bottom w:val="single" w:sz="4" w:space="0" w:color="auto"/>
              <w:right w:val="single" w:sz="4" w:space="0" w:color="auto"/>
            </w:tcBorders>
            <w:noWrap/>
            <w:vAlign w:val="bottom"/>
            <w:hideMark/>
          </w:tcPr>
          <w:p w14:paraId="0C3397EA"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00" w:type="dxa"/>
            <w:tcBorders>
              <w:top w:val="nil"/>
              <w:left w:val="nil"/>
              <w:bottom w:val="single" w:sz="4" w:space="0" w:color="auto"/>
              <w:right w:val="single" w:sz="4" w:space="0" w:color="auto"/>
            </w:tcBorders>
            <w:noWrap/>
            <w:vAlign w:val="bottom"/>
            <w:hideMark/>
          </w:tcPr>
          <w:p w14:paraId="3257B451"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1</w:t>
            </w:r>
          </w:p>
        </w:tc>
        <w:tc>
          <w:tcPr>
            <w:tcW w:w="954" w:type="dxa"/>
            <w:tcBorders>
              <w:top w:val="nil"/>
              <w:left w:val="nil"/>
              <w:bottom w:val="single" w:sz="4" w:space="0" w:color="auto"/>
              <w:right w:val="single" w:sz="4" w:space="0" w:color="auto"/>
            </w:tcBorders>
            <w:noWrap/>
            <w:vAlign w:val="bottom"/>
            <w:hideMark/>
          </w:tcPr>
          <w:p w14:paraId="69AD45C4"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1</w:t>
            </w:r>
          </w:p>
        </w:tc>
      </w:tr>
      <w:tr w:rsidR="0001624F" w:rsidRPr="0001624F" w14:paraId="16591068" w14:textId="77777777" w:rsidTr="0001624F">
        <w:trPr>
          <w:trHeight w:val="288"/>
        </w:trPr>
        <w:tc>
          <w:tcPr>
            <w:tcW w:w="33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1E8F5165" w14:textId="77777777" w:rsidR="0001624F" w:rsidRPr="0001624F" w:rsidRDefault="0001624F" w:rsidP="0001624F">
            <w:pPr>
              <w:spacing w:after="0" w:line="240" w:lineRule="auto"/>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D. Desarrollo y Comercialización</w:t>
            </w:r>
          </w:p>
        </w:tc>
        <w:tc>
          <w:tcPr>
            <w:tcW w:w="146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7B324782"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10</w:t>
            </w:r>
          </w:p>
        </w:tc>
        <w:tc>
          <w:tcPr>
            <w:tcW w:w="12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52EE52CB"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24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1BEB064C"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32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225D4F34"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3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70B43D34"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954"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4D9CE063"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10</w:t>
            </w:r>
          </w:p>
        </w:tc>
      </w:tr>
      <w:tr w:rsidR="0001624F" w:rsidRPr="0001624F" w14:paraId="1D4EF658" w14:textId="77777777" w:rsidTr="0001624F">
        <w:trPr>
          <w:trHeight w:val="288"/>
        </w:trPr>
        <w:tc>
          <w:tcPr>
            <w:tcW w:w="3300" w:type="dxa"/>
            <w:tcBorders>
              <w:top w:val="nil"/>
              <w:left w:val="single" w:sz="4" w:space="0" w:color="auto"/>
              <w:bottom w:val="single" w:sz="4" w:space="0" w:color="auto"/>
              <w:right w:val="single" w:sz="4" w:space="0" w:color="auto"/>
            </w:tcBorders>
            <w:noWrap/>
            <w:vAlign w:val="bottom"/>
            <w:hideMark/>
          </w:tcPr>
          <w:p w14:paraId="71D72278" w14:textId="77777777" w:rsidR="0001624F" w:rsidRPr="0001624F" w:rsidRDefault="0001624F" w:rsidP="0001624F">
            <w:pPr>
              <w:spacing w:after="0" w:line="240" w:lineRule="auto"/>
              <w:ind w:firstLineChars="100" w:firstLine="220"/>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Ejecutado/Pagado</w:t>
            </w:r>
          </w:p>
        </w:tc>
        <w:tc>
          <w:tcPr>
            <w:tcW w:w="1460" w:type="dxa"/>
            <w:tcBorders>
              <w:top w:val="nil"/>
              <w:left w:val="nil"/>
              <w:bottom w:val="single" w:sz="4" w:space="0" w:color="auto"/>
              <w:right w:val="single" w:sz="4" w:space="0" w:color="auto"/>
            </w:tcBorders>
            <w:noWrap/>
            <w:vAlign w:val="bottom"/>
            <w:hideMark/>
          </w:tcPr>
          <w:p w14:paraId="65525ABD"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6</w:t>
            </w:r>
          </w:p>
        </w:tc>
        <w:tc>
          <w:tcPr>
            <w:tcW w:w="1200" w:type="dxa"/>
            <w:tcBorders>
              <w:top w:val="nil"/>
              <w:left w:val="nil"/>
              <w:bottom w:val="single" w:sz="4" w:space="0" w:color="auto"/>
              <w:right w:val="single" w:sz="4" w:space="0" w:color="auto"/>
            </w:tcBorders>
            <w:noWrap/>
            <w:vAlign w:val="bottom"/>
            <w:hideMark/>
          </w:tcPr>
          <w:p w14:paraId="236FFC53"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40" w:type="dxa"/>
            <w:tcBorders>
              <w:top w:val="nil"/>
              <w:left w:val="nil"/>
              <w:bottom w:val="single" w:sz="4" w:space="0" w:color="auto"/>
              <w:right w:val="single" w:sz="4" w:space="0" w:color="auto"/>
            </w:tcBorders>
            <w:noWrap/>
            <w:vAlign w:val="bottom"/>
            <w:hideMark/>
          </w:tcPr>
          <w:p w14:paraId="1A2FB2B4"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20" w:type="dxa"/>
            <w:tcBorders>
              <w:top w:val="nil"/>
              <w:left w:val="nil"/>
              <w:bottom w:val="single" w:sz="4" w:space="0" w:color="auto"/>
              <w:right w:val="single" w:sz="4" w:space="0" w:color="auto"/>
            </w:tcBorders>
            <w:noWrap/>
            <w:vAlign w:val="bottom"/>
            <w:hideMark/>
          </w:tcPr>
          <w:p w14:paraId="32E75FDC"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00" w:type="dxa"/>
            <w:tcBorders>
              <w:top w:val="nil"/>
              <w:left w:val="nil"/>
              <w:bottom w:val="single" w:sz="4" w:space="0" w:color="auto"/>
              <w:right w:val="single" w:sz="4" w:space="0" w:color="auto"/>
            </w:tcBorders>
            <w:noWrap/>
            <w:vAlign w:val="bottom"/>
            <w:hideMark/>
          </w:tcPr>
          <w:p w14:paraId="715544CC"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954" w:type="dxa"/>
            <w:tcBorders>
              <w:top w:val="nil"/>
              <w:left w:val="nil"/>
              <w:bottom w:val="single" w:sz="4" w:space="0" w:color="auto"/>
              <w:right w:val="single" w:sz="4" w:space="0" w:color="auto"/>
            </w:tcBorders>
            <w:noWrap/>
            <w:vAlign w:val="bottom"/>
            <w:hideMark/>
          </w:tcPr>
          <w:p w14:paraId="6F3D4A0E"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6</w:t>
            </w:r>
          </w:p>
        </w:tc>
      </w:tr>
      <w:tr w:rsidR="0001624F" w:rsidRPr="0001624F" w14:paraId="5693AC3B" w14:textId="77777777" w:rsidTr="0001624F">
        <w:trPr>
          <w:trHeight w:val="288"/>
        </w:trPr>
        <w:tc>
          <w:tcPr>
            <w:tcW w:w="3300" w:type="dxa"/>
            <w:tcBorders>
              <w:top w:val="nil"/>
              <w:left w:val="single" w:sz="4" w:space="0" w:color="auto"/>
              <w:bottom w:val="single" w:sz="4" w:space="0" w:color="auto"/>
              <w:right w:val="single" w:sz="4" w:space="0" w:color="auto"/>
            </w:tcBorders>
            <w:noWrap/>
            <w:vAlign w:val="bottom"/>
            <w:hideMark/>
          </w:tcPr>
          <w:p w14:paraId="794D6029" w14:textId="77777777" w:rsidR="0001624F" w:rsidRPr="0001624F" w:rsidRDefault="0001624F" w:rsidP="0001624F">
            <w:pPr>
              <w:spacing w:after="0" w:line="240" w:lineRule="auto"/>
              <w:ind w:firstLineChars="100" w:firstLine="220"/>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En Ejecución Serv. Cont.</w:t>
            </w:r>
          </w:p>
        </w:tc>
        <w:tc>
          <w:tcPr>
            <w:tcW w:w="1460" w:type="dxa"/>
            <w:tcBorders>
              <w:top w:val="nil"/>
              <w:left w:val="nil"/>
              <w:bottom w:val="single" w:sz="4" w:space="0" w:color="auto"/>
              <w:right w:val="single" w:sz="4" w:space="0" w:color="auto"/>
            </w:tcBorders>
            <w:noWrap/>
            <w:vAlign w:val="bottom"/>
            <w:hideMark/>
          </w:tcPr>
          <w:p w14:paraId="286F0F10"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4</w:t>
            </w:r>
          </w:p>
        </w:tc>
        <w:tc>
          <w:tcPr>
            <w:tcW w:w="1200" w:type="dxa"/>
            <w:tcBorders>
              <w:top w:val="nil"/>
              <w:left w:val="nil"/>
              <w:bottom w:val="single" w:sz="4" w:space="0" w:color="auto"/>
              <w:right w:val="single" w:sz="4" w:space="0" w:color="auto"/>
            </w:tcBorders>
            <w:noWrap/>
            <w:vAlign w:val="bottom"/>
            <w:hideMark/>
          </w:tcPr>
          <w:p w14:paraId="47A1B08E"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40" w:type="dxa"/>
            <w:tcBorders>
              <w:top w:val="nil"/>
              <w:left w:val="nil"/>
              <w:bottom w:val="single" w:sz="4" w:space="0" w:color="auto"/>
              <w:right w:val="single" w:sz="4" w:space="0" w:color="auto"/>
            </w:tcBorders>
            <w:noWrap/>
            <w:vAlign w:val="bottom"/>
            <w:hideMark/>
          </w:tcPr>
          <w:p w14:paraId="20FF05F7"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20" w:type="dxa"/>
            <w:tcBorders>
              <w:top w:val="nil"/>
              <w:left w:val="nil"/>
              <w:bottom w:val="single" w:sz="4" w:space="0" w:color="auto"/>
              <w:right w:val="single" w:sz="4" w:space="0" w:color="auto"/>
            </w:tcBorders>
            <w:noWrap/>
            <w:vAlign w:val="bottom"/>
            <w:hideMark/>
          </w:tcPr>
          <w:p w14:paraId="7294880E"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00" w:type="dxa"/>
            <w:tcBorders>
              <w:top w:val="nil"/>
              <w:left w:val="nil"/>
              <w:bottom w:val="single" w:sz="4" w:space="0" w:color="auto"/>
              <w:right w:val="single" w:sz="4" w:space="0" w:color="auto"/>
            </w:tcBorders>
            <w:noWrap/>
            <w:vAlign w:val="bottom"/>
            <w:hideMark/>
          </w:tcPr>
          <w:p w14:paraId="47346B2F"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954" w:type="dxa"/>
            <w:tcBorders>
              <w:top w:val="nil"/>
              <w:left w:val="nil"/>
              <w:bottom w:val="single" w:sz="4" w:space="0" w:color="auto"/>
              <w:right w:val="single" w:sz="4" w:space="0" w:color="auto"/>
            </w:tcBorders>
            <w:noWrap/>
            <w:vAlign w:val="bottom"/>
            <w:hideMark/>
          </w:tcPr>
          <w:p w14:paraId="4100CBB5"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4</w:t>
            </w:r>
          </w:p>
        </w:tc>
      </w:tr>
      <w:tr w:rsidR="0001624F" w:rsidRPr="0001624F" w14:paraId="6C4AD6BE" w14:textId="77777777" w:rsidTr="0001624F">
        <w:trPr>
          <w:trHeight w:val="288"/>
        </w:trPr>
        <w:tc>
          <w:tcPr>
            <w:tcW w:w="33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7A43263A" w14:textId="77777777" w:rsidR="0001624F" w:rsidRPr="0001624F" w:rsidRDefault="0001624F" w:rsidP="0001624F">
            <w:pPr>
              <w:spacing w:after="0" w:line="240" w:lineRule="auto"/>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D. Ejecutiva</w:t>
            </w:r>
          </w:p>
        </w:tc>
        <w:tc>
          <w:tcPr>
            <w:tcW w:w="146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7D1E7441"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19</w:t>
            </w:r>
          </w:p>
        </w:tc>
        <w:tc>
          <w:tcPr>
            <w:tcW w:w="12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145EE51E"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24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17885AFC"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32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65173A08"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3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471A1F7F"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56</w:t>
            </w:r>
          </w:p>
        </w:tc>
        <w:tc>
          <w:tcPr>
            <w:tcW w:w="954"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503715C4"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75</w:t>
            </w:r>
          </w:p>
        </w:tc>
      </w:tr>
      <w:tr w:rsidR="0001624F" w:rsidRPr="0001624F" w14:paraId="1A1C2E8D" w14:textId="77777777" w:rsidTr="0001624F">
        <w:trPr>
          <w:trHeight w:val="288"/>
        </w:trPr>
        <w:tc>
          <w:tcPr>
            <w:tcW w:w="3300" w:type="dxa"/>
            <w:tcBorders>
              <w:top w:val="nil"/>
              <w:left w:val="single" w:sz="4" w:space="0" w:color="auto"/>
              <w:bottom w:val="single" w:sz="4" w:space="0" w:color="auto"/>
              <w:right w:val="single" w:sz="4" w:space="0" w:color="auto"/>
            </w:tcBorders>
            <w:noWrap/>
            <w:vAlign w:val="bottom"/>
            <w:hideMark/>
          </w:tcPr>
          <w:p w14:paraId="0E1D2F5D" w14:textId="77777777" w:rsidR="0001624F" w:rsidRPr="0001624F" w:rsidRDefault="0001624F" w:rsidP="0001624F">
            <w:pPr>
              <w:spacing w:after="0" w:line="240" w:lineRule="auto"/>
              <w:ind w:firstLineChars="100" w:firstLine="220"/>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Ejecutado/Pagado</w:t>
            </w:r>
          </w:p>
        </w:tc>
        <w:tc>
          <w:tcPr>
            <w:tcW w:w="1460" w:type="dxa"/>
            <w:tcBorders>
              <w:top w:val="nil"/>
              <w:left w:val="nil"/>
              <w:bottom w:val="single" w:sz="4" w:space="0" w:color="auto"/>
              <w:right w:val="single" w:sz="4" w:space="0" w:color="auto"/>
            </w:tcBorders>
            <w:noWrap/>
            <w:vAlign w:val="bottom"/>
            <w:hideMark/>
          </w:tcPr>
          <w:p w14:paraId="10AEAB79"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19</w:t>
            </w:r>
          </w:p>
        </w:tc>
        <w:tc>
          <w:tcPr>
            <w:tcW w:w="1200" w:type="dxa"/>
            <w:tcBorders>
              <w:top w:val="nil"/>
              <w:left w:val="nil"/>
              <w:bottom w:val="single" w:sz="4" w:space="0" w:color="auto"/>
              <w:right w:val="single" w:sz="4" w:space="0" w:color="auto"/>
            </w:tcBorders>
            <w:noWrap/>
            <w:vAlign w:val="bottom"/>
            <w:hideMark/>
          </w:tcPr>
          <w:p w14:paraId="17F50CA3"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40" w:type="dxa"/>
            <w:tcBorders>
              <w:top w:val="nil"/>
              <w:left w:val="nil"/>
              <w:bottom w:val="single" w:sz="4" w:space="0" w:color="auto"/>
              <w:right w:val="single" w:sz="4" w:space="0" w:color="auto"/>
            </w:tcBorders>
            <w:noWrap/>
            <w:vAlign w:val="bottom"/>
            <w:hideMark/>
          </w:tcPr>
          <w:p w14:paraId="2EF28E3A"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20" w:type="dxa"/>
            <w:tcBorders>
              <w:top w:val="nil"/>
              <w:left w:val="nil"/>
              <w:bottom w:val="single" w:sz="4" w:space="0" w:color="auto"/>
              <w:right w:val="single" w:sz="4" w:space="0" w:color="auto"/>
            </w:tcBorders>
            <w:noWrap/>
            <w:vAlign w:val="bottom"/>
            <w:hideMark/>
          </w:tcPr>
          <w:p w14:paraId="2A4705B6"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00" w:type="dxa"/>
            <w:tcBorders>
              <w:top w:val="nil"/>
              <w:left w:val="nil"/>
              <w:bottom w:val="single" w:sz="4" w:space="0" w:color="auto"/>
              <w:right w:val="single" w:sz="4" w:space="0" w:color="auto"/>
            </w:tcBorders>
            <w:noWrap/>
            <w:vAlign w:val="bottom"/>
            <w:hideMark/>
          </w:tcPr>
          <w:p w14:paraId="01B2EB44"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20</w:t>
            </w:r>
          </w:p>
        </w:tc>
        <w:tc>
          <w:tcPr>
            <w:tcW w:w="954" w:type="dxa"/>
            <w:tcBorders>
              <w:top w:val="nil"/>
              <w:left w:val="nil"/>
              <w:bottom w:val="single" w:sz="4" w:space="0" w:color="auto"/>
              <w:right w:val="single" w:sz="4" w:space="0" w:color="auto"/>
            </w:tcBorders>
            <w:noWrap/>
            <w:vAlign w:val="bottom"/>
            <w:hideMark/>
          </w:tcPr>
          <w:p w14:paraId="47F84281"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39</w:t>
            </w:r>
          </w:p>
        </w:tc>
      </w:tr>
      <w:tr w:rsidR="0001624F" w:rsidRPr="0001624F" w14:paraId="7EC6A140" w14:textId="77777777" w:rsidTr="0001624F">
        <w:trPr>
          <w:trHeight w:val="288"/>
        </w:trPr>
        <w:tc>
          <w:tcPr>
            <w:tcW w:w="3300" w:type="dxa"/>
            <w:tcBorders>
              <w:top w:val="nil"/>
              <w:left w:val="single" w:sz="4" w:space="0" w:color="auto"/>
              <w:bottom w:val="single" w:sz="4" w:space="0" w:color="auto"/>
              <w:right w:val="single" w:sz="4" w:space="0" w:color="auto"/>
            </w:tcBorders>
            <w:noWrap/>
            <w:vAlign w:val="bottom"/>
            <w:hideMark/>
          </w:tcPr>
          <w:p w14:paraId="46329FFA" w14:textId="77777777" w:rsidR="0001624F" w:rsidRPr="0001624F" w:rsidRDefault="0001624F" w:rsidP="0001624F">
            <w:pPr>
              <w:spacing w:after="0" w:line="240" w:lineRule="auto"/>
              <w:ind w:firstLineChars="100" w:firstLine="220"/>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En Ejecución Serv. Cont.</w:t>
            </w:r>
          </w:p>
        </w:tc>
        <w:tc>
          <w:tcPr>
            <w:tcW w:w="1460" w:type="dxa"/>
            <w:tcBorders>
              <w:top w:val="nil"/>
              <w:left w:val="nil"/>
              <w:bottom w:val="single" w:sz="4" w:space="0" w:color="auto"/>
              <w:right w:val="single" w:sz="4" w:space="0" w:color="auto"/>
            </w:tcBorders>
            <w:noWrap/>
            <w:vAlign w:val="bottom"/>
            <w:hideMark/>
          </w:tcPr>
          <w:p w14:paraId="1F3021F9"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00" w:type="dxa"/>
            <w:tcBorders>
              <w:top w:val="nil"/>
              <w:left w:val="nil"/>
              <w:bottom w:val="single" w:sz="4" w:space="0" w:color="auto"/>
              <w:right w:val="single" w:sz="4" w:space="0" w:color="auto"/>
            </w:tcBorders>
            <w:noWrap/>
            <w:vAlign w:val="bottom"/>
            <w:hideMark/>
          </w:tcPr>
          <w:p w14:paraId="1494135E"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40" w:type="dxa"/>
            <w:tcBorders>
              <w:top w:val="nil"/>
              <w:left w:val="nil"/>
              <w:bottom w:val="single" w:sz="4" w:space="0" w:color="auto"/>
              <w:right w:val="single" w:sz="4" w:space="0" w:color="auto"/>
            </w:tcBorders>
            <w:noWrap/>
            <w:vAlign w:val="bottom"/>
            <w:hideMark/>
          </w:tcPr>
          <w:p w14:paraId="0FB7C2AF"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20" w:type="dxa"/>
            <w:tcBorders>
              <w:top w:val="nil"/>
              <w:left w:val="nil"/>
              <w:bottom w:val="single" w:sz="4" w:space="0" w:color="auto"/>
              <w:right w:val="single" w:sz="4" w:space="0" w:color="auto"/>
            </w:tcBorders>
            <w:noWrap/>
            <w:vAlign w:val="bottom"/>
            <w:hideMark/>
          </w:tcPr>
          <w:p w14:paraId="17B47CA2"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00" w:type="dxa"/>
            <w:tcBorders>
              <w:top w:val="nil"/>
              <w:left w:val="nil"/>
              <w:bottom w:val="single" w:sz="4" w:space="0" w:color="auto"/>
              <w:right w:val="single" w:sz="4" w:space="0" w:color="auto"/>
            </w:tcBorders>
            <w:noWrap/>
            <w:vAlign w:val="bottom"/>
            <w:hideMark/>
          </w:tcPr>
          <w:p w14:paraId="021E0A27"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17</w:t>
            </w:r>
          </w:p>
        </w:tc>
        <w:tc>
          <w:tcPr>
            <w:tcW w:w="954" w:type="dxa"/>
            <w:tcBorders>
              <w:top w:val="nil"/>
              <w:left w:val="nil"/>
              <w:bottom w:val="single" w:sz="4" w:space="0" w:color="auto"/>
              <w:right w:val="single" w:sz="4" w:space="0" w:color="auto"/>
            </w:tcBorders>
            <w:noWrap/>
            <w:vAlign w:val="bottom"/>
            <w:hideMark/>
          </w:tcPr>
          <w:p w14:paraId="55782F97"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17</w:t>
            </w:r>
          </w:p>
        </w:tc>
      </w:tr>
      <w:tr w:rsidR="0001624F" w:rsidRPr="0001624F" w14:paraId="52063A4E" w14:textId="77777777" w:rsidTr="0001624F">
        <w:trPr>
          <w:trHeight w:val="288"/>
        </w:trPr>
        <w:tc>
          <w:tcPr>
            <w:tcW w:w="3300" w:type="dxa"/>
            <w:tcBorders>
              <w:top w:val="nil"/>
              <w:left w:val="single" w:sz="4" w:space="0" w:color="auto"/>
              <w:bottom w:val="single" w:sz="4" w:space="0" w:color="auto"/>
              <w:right w:val="single" w:sz="4" w:space="0" w:color="auto"/>
            </w:tcBorders>
            <w:noWrap/>
            <w:vAlign w:val="bottom"/>
            <w:hideMark/>
          </w:tcPr>
          <w:p w14:paraId="25250C96" w14:textId="77777777" w:rsidR="0001624F" w:rsidRPr="0001624F" w:rsidRDefault="0001624F" w:rsidP="0001624F">
            <w:pPr>
              <w:spacing w:after="0" w:line="240" w:lineRule="auto"/>
              <w:ind w:firstLineChars="100" w:firstLine="220"/>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Renovación efectuada</w:t>
            </w:r>
          </w:p>
        </w:tc>
        <w:tc>
          <w:tcPr>
            <w:tcW w:w="1460" w:type="dxa"/>
            <w:tcBorders>
              <w:top w:val="nil"/>
              <w:left w:val="nil"/>
              <w:bottom w:val="single" w:sz="4" w:space="0" w:color="auto"/>
              <w:right w:val="single" w:sz="4" w:space="0" w:color="auto"/>
            </w:tcBorders>
            <w:noWrap/>
            <w:vAlign w:val="bottom"/>
            <w:hideMark/>
          </w:tcPr>
          <w:p w14:paraId="1960A58B"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00" w:type="dxa"/>
            <w:tcBorders>
              <w:top w:val="nil"/>
              <w:left w:val="nil"/>
              <w:bottom w:val="single" w:sz="4" w:space="0" w:color="auto"/>
              <w:right w:val="single" w:sz="4" w:space="0" w:color="auto"/>
            </w:tcBorders>
            <w:noWrap/>
            <w:vAlign w:val="bottom"/>
            <w:hideMark/>
          </w:tcPr>
          <w:p w14:paraId="2BBB912D"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40" w:type="dxa"/>
            <w:tcBorders>
              <w:top w:val="nil"/>
              <w:left w:val="nil"/>
              <w:bottom w:val="single" w:sz="4" w:space="0" w:color="auto"/>
              <w:right w:val="single" w:sz="4" w:space="0" w:color="auto"/>
            </w:tcBorders>
            <w:noWrap/>
            <w:vAlign w:val="bottom"/>
            <w:hideMark/>
          </w:tcPr>
          <w:p w14:paraId="55BD305B"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20" w:type="dxa"/>
            <w:tcBorders>
              <w:top w:val="nil"/>
              <w:left w:val="nil"/>
              <w:bottom w:val="single" w:sz="4" w:space="0" w:color="auto"/>
              <w:right w:val="single" w:sz="4" w:space="0" w:color="auto"/>
            </w:tcBorders>
            <w:noWrap/>
            <w:vAlign w:val="bottom"/>
            <w:hideMark/>
          </w:tcPr>
          <w:p w14:paraId="55F4F810"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00" w:type="dxa"/>
            <w:tcBorders>
              <w:top w:val="nil"/>
              <w:left w:val="nil"/>
              <w:bottom w:val="single" w:sz="4" w:space="0" w:color="auto"/>
              <w:right w:val="single" w:sz="4" w:space="0" w:color="auto"/>
            </w:tcBorders>
            <w:noWrap/>
            <w:vAlign w:val="bottom"/>
            <w:hideMark/>
          </w:tcPr>
          <w:p w14:paraId="31DD51F5"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19</w:t>
            </w:r>
          </w:p>
        </w:tc>
        <w:tc>
          <w:tcPr>
            <w:tcW w:w="954" w:type="dxa"/>
            <w:tcBorders>
              <w:top w:val="nil"/>
              <w:left w:val="nil"/>
              <w:bottom w:val="single" w:sz="4" w:space="0" w:color="auto"/>
              <w:right w:val="single" w:sz="4" w:space="0" w:color="auto"/>
            </w:tcBorders>
            <w:noWrap/>
            <w:vAlign w:val="bottom"/>
            <w:hideMark/>
          </w:tcPr>
          <w:p w14:paraId="129DFD2C"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19</w:t>
            </w:r>
          </w:p>
        </w:tc>
      </w:tr>
      <w:tr w:rsidR="0001624F" w:rsidRPr="0001624F" w14:paraId="338956DF" w14:textId="77777777" w:rsidTr="0001624F">
        <w:trPr>
          <w:trHeight w:val="288"/>
        </w:trPr>
        <w:tc>
          <w:tcPr>
            <w:tcW w:w="33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53F79A73" w14:textId="77777777" w:rsidR="0001624F" w:rsidRPr="0001624F" w:rsidRDefault="0001624F" w:rsidP="0001624F">
            <w:pPr>
              <w:spacing w:after="0" w:line="240" w:lineRule="auto"/>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D. Fomento Forestal</w:t>
            </w:r>
          </w:p>
        </w:tc>
        <w:tc>
          <w:tcPr>
            <w:tcW w:w="146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5CED1EFE"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2</w:t>
            </w:r>
          </w:p>
        </w:tc>
        <w:tc>
          <w:tcPr>
            <w:tcW w:w="12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0FCAE1B9"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24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75423BD0"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32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08FD90F4"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3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02AE93D2"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1</w:t>
            </w:r>
          </w:p>
        </w:tc>
        <w:tc>
          <w:tcPr>
            <w:tcW w:w="954"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7E699516"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3</w:t>
            </w:r>
          </w:p>
        </w:tc>
      </w:tr>
      <w:tr w:rsidR="0001624F" w:rsidRPr="0001624F" w14:paraId="77A58095" w14:textId="77777777" w:rsidTr="0001624F">
        <w:trPr>
          <w:trHeight w:val="288"/>
        </w:trPr>
        <w:tc>
          <w:tcPr>
            <w:tcW w:w="3300" w:type="dxa"/>
            <w:tcBorders>
              <w:top w:val="nil"/>
              <w:left w:val="single" w:sz="4" w:space="0" w:color="auto"/>
              <w:bottom w:val="single" w:sz="4" w:space="0" w:color="auto"/>
              <w:right w:val="single" w:sz="4" w:space="0" w:color="auto"/>
            </w:tcBorders>
            <w:noWrap/>
            <w:vAlign w:val="bottom"/>
            <w:hideMark/>
          </w:tcPr>
          <w:p w14:paraId="36D66661" w14:textId="77777777" w:rsidR="0001624F" w:rsidRPr="0001624F" w:rsidRDefault="0001624F" w:rsidP="0001624F">
            <w:pPr>
              <w:spacing w:after="0" w:line="240" w:lineRule="auto"/>
              <w:ind w:firstLineChars="100" w:firstLine="220"/>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Ejecutado/Pagado</w:t>
            </w:r>
          </w:p>
        </w:tc>
        <w:tc>
          <w:tcPr>
            <w:tcW w:w="1460" w:type="dxa"/>
            <w:tcBorders>
              <w:top w:val="nil"/>
              <w:left w:val="nil"/>
              <w:bottom w:val="single" w:sz="4" w:space="0" w:color="auto"/>
              <w:right w:val="single" w:sz="4" w:space="0" w:color="auto"/>
            </w:tcBorders>
            <w:noWrap/>
            <w:vAlign w:val="bottom"/>
            <w:hideMark/>
          </w:tcPr>
          <w:p w14:paraId="5A226802"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2</w:t>
            </w:r>
          </w:p>
        </w:tc>
        <w:tc>
          <w:tcPr>
            <w:tcW w:w="1200" w:type="dxa"/>
            <w:tcBorders>
              <w:top w:val="nil"/>
              <w:left w:val="nil"/>
              <w:bottom w:val="single" w:sz="4" w:space="0" w:color="auto"/>
              <w:right w:val="single" w:sz="4" w:space="0" w:color="auto"/>
            </w:tcBorders>
            <w:noWrap/>
            <w:vAlign w:val="bottom"/>
            <w:hideMark/>
          </w:tcPr>
          <w:p w14:paraId="74FD0D95"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40" w:type="dxa"/>
            <w:tcBorders>
              <w:top w:val="nil"/>
              <w:left w:val="nil"/>
              <w:bottom w:val="single" w:sz="4" w:space="0" w:color="auto"/>
              <w:right w:val="single" w:sz="4" w:space="0" w:color="auto"/>
            </w:tcBorders>
            <w:noWrap/>
            <w:vAlign w:val="bottom"/>
            <w:hideMark/>
          </w:tcPr>
          <w:p w14:paraId="2AFF0CCF"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20" w:type="dxa"/>
            <w:tcBorders>
              <w:top w:val="nil"/>
              <w:left w:val="nil"/>
              <w:bottom w:val="single" w:sz="4" w:space="0" w:color="auto"/>
              <w:right w:val="single" w:sz="4" w:space="0" w:color="auto"/>
            </w:tcBorders>
            <w:noWrap/>
            <w:vAlign w:val="bottom"/>
            <w:hideMark/>
          </w:tcPr>
          <w:p w14:paraId="159B2875"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00" w:type="dxa"/>
            <w:tcBorders>
              <w:top w:val="nil"/>
              <w:left w:val="nil"/>
              <w:bottom w:val="single" w:sz="4" w:space="0" w:color="auto"/>
              <w:right w:val="single" w:sz="4" w:space="0" w:color="auto"/>
            </w:tcBorders>
            <w:noWrap/>
            <w:vAlign w:val="bottom"/>
            <w:hideMark/>
          </w:tcPr>
          <w:p w14:paraId="7C6BE060"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1</w:t>
            </w:r>
          </w:p>
        </w:tc>
        <w:tc>
          <w:tcPr>
            <w:tcW w:w="954" w:type="dxa"/>
            <w:tcBorders>
              <w:top w:val="nil"/>
              <w:left w:val="nil"/>
              <w:bottom w:val="single" w:sz="4" w:space="0" w:color="auto"/>
              <w:right w:val="single" w:sz="4" w:space="0" w:color="auto"/>
            </w:tcBorders>
            <w:noWrap/>
            <w:vAlign w:val="bottom"/>
            <w:hideMark/>
          </w:tcPr>
          <w:p w14:paraId="518BB4D7"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3</w:t>
            </w:r>
          </w:p>
        </w:tc>
      </w:tr>
      <w:tr w:rsidR="0001624F" w:rsidRPr="0001624F" w14:paraId="1B4798EA" w14:textId="77777777" w:rsidTr="0001624F">
        <w:trPr>
          <w:trHeight w:val="288"/>
        </w:trPr>
        <w:tc>
          <w:tcPr>
            <w:tcW w:w="33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2342C439" w14:textId="77777777" w:rsidR="0001624F" w:rsidRPr="0001624F" w:rsidRDefault="0001624F" w:rsidP="0001624F">
            <w:pPr>
              <w:spacing w:after="0" w:line="240" w:lineRule="auto"/>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D. Servicios Ambientales</w:t>
            </w:r>
          </w:p>
        </w:tc>
        <w:tc>
          <w:tcPr>
            <w:tcW w:w="146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536E8E5B"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11</w:t>
            </w:r>
          </w:p>
        </w:tc>
        <w:tc>
          <w:tcPr>
            <w:tcW w:w="12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5358161E"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24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75556DAA"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32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695CFAC2"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3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2F0CC2D0"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7</w:t>
            </w:r>
          </w:p>
        </w:tc>
        <w:tc>
          <w:tcPr>
            <w:tcW w:w="954"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179A7357"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18</w:t>
            </w:r>
          </w:p>
        </w:tc>
      </w:tr>
      <w:tr w:rsidR="0001624F" w:rsidRPr="0001624F" w14:paraId="58A51994" w14:textId="77777777" w:rsidTr="0001624F">
        <w:trPr>
          <w:trHeight w:val="288"/>
        </w:trPr>
        <w:tc>
          <w:tcPr>
            <w:tcW w:w="3300" w:type="dxa"/>
            <w:tcBorders>
              <w:top w:val="nil"/>
              <w:left w:val="single" w:sz="4" w:space="0" w:color="auto"/>
              <w:bottom w:val="single" w:sz="4" w:space="0" w:color="auto"/>
              <w:right w:val="single" w:sz="4" w:space="0" w:color="auto"/>
            </w:tcBorders>
            <w:noWrap/>
            <w:vAlign w:val="bottom"/>
            <w:hideMark/>
          </w:tcPr>
          <w:p w14:paraId="24C2075A" w14:textId="77777777" w:rsidR="0001624F" w:rsidRPr="0001624F" w:rsidRDefault="0001624F" w:rsidP="0001624F">
            <w:pPr>
              <w:spacing w:after="0" w:line="240" w:lineRule="auto"/>
              <w:ind w:firstLineChars="100" w:firstLine="220"/>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Ejecutado/Pagado</w:t>
            </w:r>
          </w:p>
        </w:tc>
        <w:tc>
          <w:tcPr>
            <w:tcW w:w="1460" w:type="dxa"/>
            <w:tcBorders>
              <w:top w:val="nil"/>
              <w:left w:val="nil"/>
              <w:bottom w:val="single" w:sz="4" w:space="0" w:color="auto"/>
              <w:right w:val="single" w:sz="4" w:space="0" w:color="auto"/>
            </w:tcBorders>
            <w:noWrap/>
            <w:vAlign w:val="bottom"/>
            <w:hideMark/>
          </w:tcPr>
          <w:p w14:paraId="42A0BFF7"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11</w:t>
            </w:r>
          </w:p>
        </w:tc>
        <w:tc>
          <w:tcPr>
            <w:tcW w:w="1200" w:type="dxa"/>
            <w:tcBorders>
              <w:top w:val="nil"/>
              <w:left w:val="nil"/>
              <w:bottom w:val="single" w:sz="4" w:space="0" w:color="auto"/>
              <w:right w:val="single" w:sz="4" w:space="0" w:color="auto"/>
            </w:tcBorders>
            <w:noWrap/>
            <w:vAlign w:val="bottom"/>
            <w:hideMark/>
          </w:tcPr>
          <w:p w14:paraId="2BF15062"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40" w:type="dxa"/>
            <w:tcBorders>
              <w:top w:val="nil"/>
              <w:left w:val="nil"/>
              <w:bottom w:val="single" w:sz="4" w:space="0" w:color="auto"/>
              <w:right w:val="single" w:sz="4" w:space="0" w:color="auto"/>
            </w:tcBorders>
            <w:noWrap/>
            <w:vAlign w:val="bottom"/>
            <w:hideMark/>
          </w:tcPr>
          <w:p w14:paraId="63A5776C"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20" w:type="dxa"/>
            <w:tcBorders>
              <w:top w:val="nil"/>
              <w:left w:val="nil"/>
              <w:bottom w:val="single" w:sz="4" w:space="0" w:color="auto"/>
              <w:right w:val="single" w:sz="4" w:space="0" w:color="auto"/>
            </w:tcBorders>
            <w:noWrap/>
            <w:vAlign w:val="bottom"/>
            <w:hideMark/>
          </w:tcPr>
          <w:p w14:paraId="5DE3506F"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00" w:type="dxa"/>
            <w:tcBorders>
              <w:top w:val="nil"/>
              <w:left w:val="nil"/>
              <w:bottom w:val="single" w:sz="4" w:space="0" w:color="auto"/>
              <w:right w:val="single" w:sz="4" w:space="0" w:color="auto"/>
            </w:tcBorders>
            <w:noWrap/>
            <w:vAlign w:val="bottom"/>
            <w:hideMark/>
          </w:tcPr>
          <w:p w14:paraId="7491A93C"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3</w:t>
            </w:r>
          </w:p>
        </w:tc>
        <w:tc>
          <w:tcPr>
            <w:tcW w:w="954" w:type="dxa"/>
            <w:tcBorders>
              <w:top w:val="nil"/>
              <w:left w:val="nil"/>
              <w:bottom w:val="single" w:sz="4" w:space="0" w:color="auto"/>
              <w:right w:val="single" w:sz="4" w:space="0" w:color="auto"/>
            </w:tcBorders>
            <w:noWrap/>
            <w:vAlign w:val="bottom"/>
            <w:hideMark/>
          </w:tcPr>
          <w:p w14:paraId="131646C1"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14</w:t>
            </w:r>
          </w:p>
        </w:tc>
      </w:tr>
      <w:tr w:rsidR="0001624F" w:rsidRPr="0001624F" w14:paraId="2DE137EA" w14:textId="77777777" w:rsidTr="0001624F">
        <w:trPr>
          <w:trHeight w:val="288"/>
        </w:trPr>
        <w:tc>
          <w:tcPr>
            <w:tcW w:w="3300" w:type="dxa"/>
            <w:tcBorders>
              <w:top w:val="nil"/>
              <w:left w:val="single" w:sz="4" w:space="0" w:color="auto"/>
              <w:bottom w:val="single" w:sz="4" w:space="0" w:color="auto"/>
              <w:right w:val="single" w:sz="4" w:space="0" w:color="auto"/>
            </w:tcBorders>
            <w:noWrap/>
            <w:vAlign w:val="bottom"/>
            <w:hideMark/>
          </w:tcPr>
          <w:p w14:paraId="50D316D6" w14:textId="77777777" w:rsidR="0001624F" w:rsidRPr="0001624F" w:rsidRDefault="0001624F" w:rsidP="0001624F">
            <w:pPr>
              <w:spacing w:after="0" w:line="240" w:lineRule="auto"/>
              <w:ind w:firstLineChars="100" w:firstLine="220"/>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Renovación efectuada</w:t>
            </w:r>
          </w:p>
        </w:tc>
        <w:tc>
          <w:tcPr>
            <w:tcW w:w="1460" w:type="dxa"/>
            <w:tcBorders>
              <w:top w:val="nil"/>
              <w:left w:val="nil"/>
              <w:bottom w:val="single" w:sz="4" w:space="0" w:color="auto"/>
              <w:right w:val="single" w:sz="4" w:space="0" w:color="auto"/>
            </w:tcBorders>
            <w:noWrap/>
            <w:vAlign w:val="bottom"/>
            <w:hideMark/>
          </w:tcPr>
          <w:p w14:paraId="4D1FE1F0"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00" w:type="dxa"/>
            <w:tcBorders>
              <w:top w:val="nil"/>
              <w:left w:val="nil"/>
              <w:bottom w:val="single" w:sz="4" w:space="0" w:color="auto"/>
              <w:right w:val="single" w:sz="4" w:space="0" w:color="auto"/>
            </w:tcBorders>
            <w:noWrap/>
            <w:vAlign w:val="bottom"/>
            <w:hideMark/>
          </w:tcPr>
          <w:p w14:paraId="5B2B97FE"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40" w:type="dxa"/>
            <w:tcBorders>
              <w:top w:val="nil"/>
              <w:left w:val="nil"/>
              <w:bottom w:val="single" w:sz="4" w:space="0" w:color="auto"/>
              <w:right w:val="single" w:sz="4" w:space="0" w:color="auto"/>
            </w:tcBorders>
            <w:noWrap/>
            <w:vAlign w:val="bottom"/>
            <w:hideMark/>
          </w:tcPr>
          <w:p w14:paraId="3272C304"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20" w:type="dxa"/>
            <w:tcBorders>
              <w:top w:val="nil"/>
              <w:left w:val="nil"/>
              <w:bottom w:val="single" w:sz="4" w:space="0" w:color="auto"/>
              <w:right w:val="single" w:sz="4" w:space="0" w:color="auto"/>
            </w:tcBorders>
            <w:noWrap/>
            <w:vAlign w:val="bottom"/>
            <w:hideMark/>
          </w:tcPr>
          <w:p w14:paraId="77B03ED3"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00" w:type="dxa"/>
            <w:tcBorders>
              <w:top w:val="nil"/>
              <w:left w:val="nil"/>
              <w:bottom w:val="single" w:sz="4" w:space="0" w:color="auto"/>
              <w:right w:val="single" w:sz="4" w:space="0" w:color="auto"/>
            </w:tcBorders>
            <w:noWrap/>
            <w:vAlign w:val="bottom"/>
            <w:hideMark/>
          </w:tcPr>
          <w:p w14:paraId="3F6724B5"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4</w:t>
            </w:r>
          </w:p>
        </w:tc>
        <w:tc>
          <w:tcPr>
            <w:tcW w:w="954" w:type="dxa"/>
            <w:tcBorders>
              <w:top w:val="nil"/>
              <w:left w:val="nil"/>
              <w:bottom w:val="single" w:sz="4" w:space="0" w:color="auto"/>
              <w:right w:val="single" w:sz="4" w:space="0" w:color="auto"/>
            </w:tcBorders>
            <w:noWrap/>
            <w:vAlign w:val="bottom"/>
            <w:hideMark/>
          </w:tcPr>
          <w:p w14:paraId="72F7F790"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4</w:t>
            </w:r>
          </w:p>
        </w:tc>
      </w:tr>
      <w:tr w:rsidR="0001624F" w:rsidRPr="0001624F" w14:paraId="0A6A6421" w14:textId="77777777" w:rsidTr="0001624F">
        <w:trPr>
          <w:trHeight w:val="288"/>
        </w:trPr>
        <w:tc>
          <w:tcPr>
            <w:tcW w:w="33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342AD55D" w14:textId="77777777" w:rsidR="0001624F" w:rsidRPr="0001624F" w:rsidRDefault="0001624F" w:rsidP="0001624F">
            <w:pPr>
              <w:spacing w:after="0" w:line="240" w:lineRule="auto"/>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xml:space="preserve">SINAC </w:t>
            </w:r>
            <w:proofErr w:type="spellStart"/>
            <w:r w:rsidRPr="0001624F">
              <w:rPr>
                <w:rFonts w:ascii="Calibri" w:eastAsia="Times New Roman" w:hAnsi="Calibri" w:cs="Calibri"/>
                <w:b/>
                <w:bCs/>
                <w:color w:val="000000"/>
                <w:lang w:val="es-CR" w:eastAsia="es-CR"/>
              </w:rPr>
              <w:t>Progr</w:t>
            </w:r>
            <w:proofErr w:type="spellEnd"/>
            <w:r w:rsidRPr="0001624F">
              <w:rPr>
                <w:rFonts w:ascii="Calibri" w:eastAsia="Times New Roman" w:hAnsi="Calibri" w:cs="Calibri"/>
                <w:b/>
                <w:bCs/>
                <w:color w:val="000000"/>
                <w:lang w:val="es-CR" w:eastAsia="es-CR"/>
              </w:rPr>
              <w:t xml:space="preserve">. “Plan </w:t>
            </w:r>
            <w:proofErr w:type="spellStart"/>
            <w:r w:rsidRPr="0001624F">
              <w:rPr>
                <w:rFonts w:ascii="Calibri" w:eastAsia="Times New Roman" w:hAnsi="Calibri" w:cs="Calibri"/>
                <w:b/>
                <w:bCs/>
                <w:color w:val="000000"/>
                <w:lang w:val="es-CR" w:eastAsia="es-CR"/>
              </w:rPr>
              <w:t>Fortal</w:t>
            </w:r>
            <w:proofErr w:type="spellEnd"/>
            <w:r w:rsidRPr="0001624F">
              <w:rPr>
                <w:rFonts w:ascii="Calibri" w:eastAsia="Times New Roman" w:hAnsi="Calibri" w:cs="Calibri"/>
                <w:b/>
                <w:bCs/>
                <w:color w:val="000000"/>
                <w:lang w:val="es-CR" w:eastAsia="es-CR"/>
              </w:rPr>
              <w:t>. SINAC</w:t>
            </w:r>
          </w:p>
        </w:tc>
        <w:tc>
          <w:tcPr>
            <w:tcW w:w="146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6A4823F4"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2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6C98394E"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24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26DB543B"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32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473B2EAE"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6</w:t>
            </w:r>
          </w:p>
        </w:tc>
        <w:tc>
          <w:tcPr>
            <w:tcW w:w="13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447A9B7B"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954"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2EABA875"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6</w:t>
            </w:r>
          </w:p>
        </w:tc>
      </w:tr>
      <w:tr w:rsidR="0001624F" w:rsidRPr="0001624F" w14:paraId="029DDCD9" w14:textId="77777777" w:rsidTr="0001624F">
        <w:trPr>
          <w:trHeight w:val="288"/>
        </w:trPr>
        <w:tc>
          <w:tcPr>
            <w:tcW w:w="3300" w:type="dxa"/>
            <w:tcBorders>
              <w:top w:val="nil"/>
              <w:left w:val="single" w:sz="4" w:space="0" w:color="auto"/>
              <w:bottom w:val="single" w:sz="4" w:space="0" w:color="auto"/>
              <w:right w:val="single" w:sz="4" w:space="0" w:color="auto"/>
            </w:tcBorders>
            <w:noWrap/>
            <w:vAlign w:val="bottom"/>
            <w:hideMark/>
          </w:tcPr>
          <w:p w14:paraId="2E8FEE60" w14:textId="77777777" w:rsidR="0001624F" w:rsidRPr="0001624F" w:rsidRDefault="0001624F" w:rsidP="0001624F">
            <w:pPr>
              <w:spacing w:after="0" w:line="240" w:lineRule="auto"/>
              <w:ind w:firstLineChars="100" w:firstLine="220"/>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Ejecutado/Pagado</w:t>
            </w:r>
          </w:p>
        </w:tc>
        <w:tc>
          <w:tcPr>
            <w:tcW w:w="1460" w:type="dxa"/>
            <w:tcBorders>
              <w:top w:val="nil"/>
              <w:left w:val="nil"/>
              <w:bottom w:val="single" w:sz="4" w:space="0" w:color="auto"/>
              <w:right w:val="single" w:sz="4" w:space="0" w:color="auto"/>
            </w:tcBorders>
            <w:noWrap/>
            <w:vAlign w:val="bottom"/>
            <w:hideMark/>
          </w:tcPr>
          <w:p w14:paraId="62B8AF0A"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00" w:type="dxa"/>
            <w:tcBorders>
              <w:top w:val="nil"/>
              <w:left w:val="nil"/>
              <w:bottom w:val="single" w:sz="4" w:space="0" w:color="auto"/>
              <w:right w:val="single" w:sz="4" w:space="0" w:color="auto"/>
            </w:tcBorders>
            <w:noWrap/>
            <w:vAlign w:val="bottom"/>
            <w:hideMark/>
          </w:tcPr>
          <w:p w14:paraId="62200E7D"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40" w:type="dxa"/>
            <w:tcBorders>
              <w:top w:val="nil"/>
              <w:left w:val="nil"/>
              <w:bottom w:val="single" w:sz="4" w:space="0" w:color="auto"/>
              <w:right w:val="single" w:sz="4" w:space="0" w:color="auto"/>
            </w:tcBorders>
            <w:noWrap/>
            <w:vAlign w:val="bottom"/>
            <w:hideMark/>
          </w:tcPr>
          <w:p w14:paraId="02D8B4EB"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20" w:type="dxa"/>
            <w:tcBorders>
              <w:top w:val="nil"/>
              <w:left w:val="nil"/>
              <w:bottom w:val="single" w:sz="4" w:space="0" w:color="auto"/>
              <w:right w:val="single" w:sz="4" w:space="0" w:color="auto"/>
            </w:tcBorders>
            <w:noWrap/>
            <w:vAlign w:val="bottom"/>
            <w:hideMark/>
          </w:tcPr>
          <w:p w14:paraId="4EA1573D"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6</w:t>
            </w:r>
          </w:p>
        </w:tc>
        <w:tc>
          <w:tcPr>
            <w:tcW w:w="1300" w:type="dxa"/>
            <w:tcBorders>
              <w:top w:val="nil"/>
              <w:left w:val="nil"/>
              <w:bottom w:val="single" w:sz="4" w:space="0" w:color="auto"/>
              <w:right w:val="single" w:sz="4" w:space="0" w:color="auto"/>
            </w:tcBorders>
            <w:noWrap/>
            <w:vAlign w:val="bottom"/>
            <w:hideMark/>
          </w:tcPr>
          <w:p w14:paraId="1E9C9E06"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954" w:type="dxa"/>
            <w:tcBorders>
              <w:top w:val="nil"/>
              <w:left w:val="nil"/>
              <w:bottom w:val="single" w:sz="4" w:space="0" w:color="auto"/>
              <w:right w:val="single" w:sz="4" w:space="0" w:color="auto"/>
            </w:tcBorders>
            <w:noWrap/>
            <w:vAlign w:val="bottom"/>
            <w:hideMark/>
          </w:tcPr>
          <w:p w14:paraId="79671502"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6</w:t>
            </w:r>
          </w:p>
        </w:tc>
      </w:tr>
      <w:tr w:rsidR="0001624F" w:rsidRPr="0001624F" w14:paraId="17D890AD" w14:textId="77777777" w:rsidTr="0001624F">
        <w:trPr>
          <w:trHeight w:val="288"/>
        </w:trPr>
        <w:tc>
          <w:tcPr>
            <w:tcW w:w="33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7D2E32B1" w14:textId="77777777" w:rsidR="0001624F" w:rsidRPr="0001624F" w:rsidRDefault="0001624F" w:rsidP="0001624F">
            <w:pPr>
              <w:spacing w:after="0" w:line="240" w:lineRule="auto"/>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xml:space="preserve">SINAC </w:t>
            </w:r>
            <w:proofErr w:type="spellStart"/>
            <w:r w:rsidRPr="0001624F">
              <w:rPr>
                <w:rFonts w:ascii="Calibri" w:eastAsia="Times New Roman" w:hAnsi="Calibri" w:cs="Calibri"/>
                <w:b/>
                <w:bCs/>
                <w:color w:val="000000"/>
                <w:lang w:val="es-CR" w:eastAsia="es-CR"/>
              </w:rPr>
              <w:t>Progr</w:t>
            </w:r>
            <w:proofErr w:type="spellEnd"/>
            <w:r w:rsidRPr="0001624F">
              <w:rPr>
                <w:rFonts w:ascii="Calibri" w:eastAsia="Times New Roman" w:hAnsi="Calibri" w:cs="Calibri"/>
                <w:b/>
                <w:bCs/>
                <w:color w:val="000000"/>
                <w:lang w:val="es-CR" w:eastAsia="es-CR"/>
              </w:rPr>
              <w:t xml:space="preserve">. </w:t>
            </w:r>
            <w:proofErr w:type="spellStart"/>
            <w:r w:rsidRPr="0001624F">
              <w:rPr>
                <w:rFonts w:ascii="Calibri" w:eastAsia="Times New Roman" w:hAnsi="Calibri" w:cs="Calibri"/>
                <w:b/>
                <w:bCs/>
                <w:color w:val="000000"/>
                <w:lang w:val="es-CR" w:eastAsia="es-CR"/>
              </w:rPr>
              <w:t>Nac</w:t>
            </w:r>
            <w:proofErr w:type="spellEnd"/>
            <w:r w:rsidRPr="0001624F">
              <w:rPr>
                <w:rFonts w:ascii="Calibri" w:eastAsia="Times New Roman" w:hAnsi="Calibri" w:cs="Calibri"/>
                <w:b/>
                <w:bCs/>
                <w:color w:val="000000"/>
                <w:lang w:val="es-CR" w:eastAsia="es-CR"/>
              </w:rPr>
              <w:t>. Manejo Fuego</w:t>
            </w:r>
          </w:p>
        </w:tc>
        <w:tc>
          <w:tcPr>
            <w:tcW w:w="146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705BA38A"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2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069DE3FE"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24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72402850"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5</w:t>
            </w:r>
          </w:p>
        </w:tc>
        <w:tc>
          <w:tcPr>
            <w:tcW w:w="132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2257893D"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13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1338AC86"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 </w:t>
            </w:r>
          </w:p>
        </w:tc>
        <w:tc>
          <w:tcPr>
            <w:tcW w:w="954"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003F4F79"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5</w:t>
            </w:r>
          </w:p>
        </w:tc>
      </w:tr>
      <w:tr w:rsidR="0001624F" w:rsidRPr="0001624F" w14:paraId="7ABC7669" w14:textId="77777777" w:rsidTr="0001624F">
        <w:trPr>
          <w:trHeight w:val="288"/>
        </w:trPr>
        <w:tc>
          <w:tcPr>
            <w:tcW w:w="3300" w:type="dxa"/>
            <w:tcBorders>
              <w:top w:val="nil"/>
              <w:left w:val="single" w:sz="4" w:space="0" w:color="auto"/>
              <w:bottom w:val="single" w:sz="4" w:space="0" w:color="auto"/>
              <w:right w:val="single" w:sz="4" w:space="0" w:color="auto"/>
            </w:tcBorders>
            <w:noWrap/>
            <w:vAlign w:val="bottom"/>
            <w:hideMark/>
          </w:tcPr>
          <w:p w14:paraId="6A330DC5" w14:textId="77777777" w:rsidR="0001624F" w:rsidRPr="0001624F" w:rsidRDefault="0001624F" w:rsidP="0001624F">
            <w:pPr>
              <w:spacing w:after="0" w:line="240" w:lineRule="auto"/>
              <w:ind w:firstLineChars="100" w:firstLine="220"/>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Ejecutado/Pagado</w:t>
            </w:r>
          </w:p>
        </w:tc>
        <w:tc>
          <w:tcPr>
            <w:tcW w:w="1460" w:type="dxa"/>
            <w:tcBorders>
              <w:top w:val="nil"/>
              <w:left w:val="nil"/>
              <w:bottom w:val="single" w:sz="4" w:space="0" w:color="auto"/>
              <w:right w:val="single" w:sz="4" w:space="0" w:color="auto"/>
            </w:tcBorders>
            <w:noWrap/>
            <w:vAlign w:val="bottom"/>
            <w:hideMark/>
          </w:tcPr>
          <w:p w14:paraId="43A42D5E"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00" w:type="dxa"/>
            <w:tcBorders>
              <w:top w:val="nil"/>
              <w:left w:val="nil"/>
              <w:bottom w:val="single" w:sz="4" w:space="0" w:color="auto"/>
              <w:right w:val="single" w:sz="4" w:space="0" w:color="auto"/>
            </w:tcBorders>
            <w:noWrap/>
            <w:vAlign w:val="bottom"/>
            <w:hideMark/>
          </w:tcPr>
          <w:p w14:paraId="0C6D434C"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240" w:type="dxa"/>
            <w:tcBorders>
              <w:top w:val="nil"/>
              <w:left w:val="nil"/>
              <w:bottom w:val="single" w:sz="4" w:space="0" w:color="auto"/>
              <w:right w:val="single" w:sz="4" w:space="0" w:color="auto"/>
            </w:tcBorders>
            <w:noWrap/>
            <w:vAlign w:val="bottom"/>
            <w:hideMark/>
          </w:tcPr>
          <w:p w14:paraId="56BB6D69"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5</w:t>
            </w:r>
          </w:p>
        </w:tc>
        <w:tc>
          <w:tcPr>
            <w:tcW w:w="1320" w:type="dxa"/>
            <w:tcBorders>
              <w:top w:val="nil"/>
              <w:left w:val="nil"/>
              <w:bottom w:val="single" w:sz="4" w:space="0" w:color="auto"/>
              <w:right w:val="single" w:sz="4" w:space="0" w:color="auto"/>
            </w:tcBorders>
            <w:noWrap/>
            <w:vAlign w:val="bottom"/>
            <w:hideMark/>
          </w:tcPr>
          <w:p w14:paraId="6F6134D3"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1300" w:type="dxa"/>
            <w:tcBorders>
              <w:top w:val="nil"/>
              <w:left w:val="nil"/>
              <w:bottom w:val="single" w:sz="4" w:space="0" w:color="auto"/>
              <w:right w:val="single" w:sz="4" w:space="0" w:color="auto"/>
            </w:tcBorders>
            <w:noWrap/>
            <w:vAlign w:val="bottom"/>
            <w:hideMark/>
          </w:tcPr>
          <w:p w14:paraId="7F348121"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 </w:t>
            </w:r>
          </w:p>
        </w:tc>
        <w:tc>
          <w:tcPr>
            <w:tcW w:w="954" w:type="dxa"/>
            <w:tcBorders>
              <w:top w:val="nil"/>
              <w:left w:val="nil"/>
              <w:bottom w:val="single" w:sz="4" w:space="0" w:color="auto"/>
              <w:right w:val="single" w:sz="4" w:space="0" w:color="auto"/>
            </w:tcBorders>
            <w:noWrap/>
            <w:vAlign w:val="bottom"/>
            <w:hideMark/>
          </w:tcPr>
          <w:p w14:paraId="1C4AC035" w14:textId="77777777" w:rsidR="0001624F" w:rsidRPr="0001624F" w:rsidRDefault="0001624F" w:rsidP="0001624F">
            <w:pPr>
              <w:spacing w:after="0" w:line="240" w:lineRule="auto"/>
              <w:jc w:val="center"/>
              <w:rPr>
                <w:rFonts w:ascii="Calibri" w:eastAsia="Times New Roman" w:hAnsi="Calibri" w:cs="Calibri"/>
                <w:color w:val="000000"/>
                <w:lang w:val="es-CR" w:eastAsia="es-CR"/>
              </w:rPr>
            </w:pPr>
            <w:r w:rsidRPr="0001624F">
              <w:rPr>
                <w:rFonts w:ascii="Calibri" w:eastAsia="Times New Roman" w:hAnsi="Calibri" w:cs="Calibri"/>
                <w:color w:val="000000"/>
                <w:lang w:val="es-CR" w:eastAsia="es-CR"/>
              </w:rPr>
              <w:t>5</w:t>
            </w:r>
          </w:p>
        </w:tc>
      </w:tr>
      <w:tr w:rsidR="0001624F" w:rsidRPr="0001624F" w14:paraId="29543EA1" w14:textId="77777777" w:rsidTr="0001624F">
        <w:trPr>
          <w:trHeight w:val="288"/>
        </w:trPr>
        <w:tc>
          <w:tcPr>
            <w:tcW w:w="33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B178D16" w14:textId="0386093E" w:rsidR="0001624F" w:rsidRPr="0001624F" w:rsidRDefault="006311D4" w:rsidP="0001624F">
            <w:pPr>
              <w:spacing w:after="0" w:line="240" w:lineRule="auto"/>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Total,</w:t>
            </w:r>
            <w:r w:rsidR="0001624F" w:rsidRPr="0001624F">
              <w:rPr>
                <w:rFonts w:ascii="Calibri" w:eastAsia="Times New Roman" w:hAnsi="Calibri" w:cs="Calibri"/>
                <w:b/>
                <w:bCs/>
                <w:color w:val="000000"/>
                <w:lang w:val="es-CR" w:eastAsia="es-CR"/>
              </w:rPr>
              <w:t xml:space="preserve"> general</w:t>
            </w:r>
          </w:p>
        </w:tc>
        <w:tc>
          <w:tcPr>
            <w:tcW w:w="14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18C510B"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57</w:t>
            </w:r>
          </w:p>
        </w:tc>
        <w:tc>
          <w:tcPr>
            <w:tcW w:w="12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F0DFAD9"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2</w:t>
            </w:r>
          </w:p>
        </w:tc>
        <w:tc>
          <w:tcPr>
            <w:tcW w:w="1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65D273C"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5</w:t>
            </w:r>
          </w:p>
        </w:tc>
        <w:tc>
          <w:tcPr>
            <w:tcW w:w="13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EB6D874"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6</w:t>
            </w:r>
          </w:p>
        </w:tc>
        <w:tc>
          <w:tcPr>
            <w:tcW w:w="13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79AA1B3"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151</w:t>
            </w:r>
          </w:p>
        </w:tc>
        <w:tc>
          <w:tcPr>
            <w:tcW w:w="95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23A156A"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r w:rsidRPr="0001624F">
              <w:rPr>
                <w:rFonts w:ascii="Calibri" w:eastAsia="Times New Roman" w:hAnsi="Calibri" w:cs="Calibri"/>
                <w:b/>
                <w:bCs/>
                <w:color w:val="000000"/>
                <w:lang w:val="es-CR" w:eastAsia="es-CR"/>
              </w:rPr>
              <w:t>221</w:t>
            </w:r>
          </w:p>
        </w:tc>
      </w:tr>
      <w:tr w:rsidR="0001624F" w:rsidRPr="0001624F" w14:paraId="51058849" w14:textId="77777777" w:rsidTr="0001624F">
        <w:trPr>
          <w:trHeight w:val="288"/>
        </w:trPr>
        <w:tc>
          <w:tcPr>
            <w:tcW w:w="3300" w:type="dxa"/>
            <w:tcBorders>
              <w:top w:val="nil"/>
              <w:left w:val="nil"/>
              <w:bottom w:val="nil"/>
              <w:right w:val="nil"/>
            </w:tcBorders>
            <w:noWrap/>
            <w:vAlign w:val="bottom"/>
            <w:hideMark/>
          </w:tcPr>
          <w:p w14:paraId="1FF36608" w14:textId="77777777" w:rsidR="0001624F" w:rsidRPr="0001624F" w:rsidRDefault="0001624F" w:rsidP="0001624F">
            <w:pPr>
              <w:spacing w:after="0" w:line="240" w:lineRule="auto"/>
              <w:jc w:val="center"/>
              <w:rPr>
                <w:rFonts w:ascii="Calibri" w:eastAsia="Times New Roman" w:hAnsi="Calibri" w:cs="Calibri"/>
                <w:b/>
                <w:bCs/>
                <w:color w:val="000000"/>
                <w:lang w:val="es-CR" w:eastAsia="es-CR"/>
              </w:rPr>
            </w:pPr>
          </w:p>
        </w:tc>
        <w:tc>
          <w:tcPr>
            <w:tcW w:w="1460" w:type="dxa"/>
            <w:tcBorders>
              <w:top w:val="nil"/>
              <w:left w:val="nil"/>
              <w:bottom w:val="nil"/>
              <w:right w:val="nil"/>
            </w:tcBorders>
            <w:noWrap/>
            <w:vAlign w:val="bottom"/>
            <w:hideMark/>
          </w:tcPr>
          <w:p w14:paraId="579DF594" w14:textId="77777777" w:rsidR="0001624F" w:rsidRPr="0001624F" w:rsidRDefault="0001624F" w:rsidP="0001624F">
            <w:pPr>
              <w:spacing w:after="0" w:line="240" w:lineRule="auto"/>
              <w:rPr>
                <w:rFonts w:ascii="Times New Roman" w:eastAsia="Times New Roman" w:hAnsi="Times New Roman" w:cs="Times New Roman"/>
                <w:lang w:val="es-CR" w:eastAsia="es-CR"/>
              </w:rPr>
            </w:pPr>
          </w:p>
        </w:tc>
        <w:tc>
          <w:tcPr>
            <w:tcW w:w="1200" w:type="dxa"/>
            <w:tcBorders>
              <w:top w:val="nil"/>
              <w:left w:val="nil"/>
              <w:bottom w:val="nil"/>
              <w:right w:val="nil"/>
            </w:tcBorders>
            <w:noWrap/>
            <w:vAlign w:val="bottom"/>
            <w:hideMark/>
          </w:tcPr>
          <w:p w14:paraId="61E32334" w14:textId="77777777" w:rsidR="0001624F" w:rsidRPr="0001624F" w:rsidRDefault="0001624F" w:rsidP="0001624F">
            <w:pPr>
              <w:spacing w:after="0" w:line="240" w:lineRule="auto"/>
              <w:rPr>
                <w:rFonts w:ascii="Times New Roman" w:eastAsia="Times New Roman" w:hAnsi="Times New Roman" w:cs="Times New Roman"/>
                <w:lang w:val="es-CR" w:eastAsia="es-CR"/>
              </w:rPr>
            </w:pPr>
          </w:p>
        </w:tc>
        <w:tc>
          <w:tcPr>
            <w:tcW w:w="1240" w:type="dxa"/>
            <w:tcBorders>
              <w:top w:val="nil"/>
              <w:left w:val="nil"/>
              <w:bottom w:val="nil"/>
              <w:right w:val="nil"/>
            </w:tcBorders>
            <w:noWrap/>
            <w:vAlign w:val="bottom"/>
            <w:hideMark/>
          </w:tcPr>
          <w:p w14:paraId="61CA6611" w14:textId="77777777" w:rsidR="0001624F" w:rsidRPr="0001624F" w:rsidRDefault="0001624F" w:rsidP="0001624F">
            <w:pPr>
              <w:spacing w:after="0" w:line="240" w:lineRule="auto"/>
              <w:rPr>
                <w:rFonts w:ascii="Times New Roman" w:eastAsia="Times New Roman" w:hAnsi="Times New Roman" w:cs="Times New Roman"/>
                <w:lang w:val="es-CR" w:eastAsia="es-CR"/>
              </w:rPr>
            </w:pPr>
          </w:p>
        </w:tc>
        <w:tc>
          <w:tcPr>
            <w:tcW w:w="1320" w:type="dxa"/>
            <w:tcBorders>
              <w:top w:val="nil"/>
              <w:left w:val="nil"/>
              <w:bottom w:val="nil"/>
              <w:right w:val="nil"/>
            </w:tcBorders>
            <w:noWrap/>
            <w:vAlign w:val="bottom"/>
            <w:hideMark/>
          </w:tcPr>
          <w:p w14:paraId="2CBA94C3" w14:textId="77777777" w:rsidR="0001624F" w:rsidRPr="0001624F" w:rsidRDefault="0001624F" w:rsidP="0001624F">
            <w:pPr>
              <w:spacing w:after="0" w:line="240" w:lineRule="auto"/>
              <w:rPr>
                <w:rFonts w:ascii="Times New Roman" w:eastAsia="Times New Roman" w:hAnsi="Times New Roman" w:cs="Times New Roman"/>
                <w:lang w:val="es-CR" w:eastAsia="es-CR"/>
              </w:rPr>
            </w:pPr>
          </w:p>
        </w:tc>
        <w:tc>
          <w:tcPr>
            <w:tcW w:w="1300" w:type="dxa"/>
            <w:tcBorders>
              <w:top w:val="nil"/>
              <w:left w:val="nil"/>
              <w:bottom w:val="nil"/>
              <w:right w:val="nil"/>
            </w:tcBorders>
            <w:noWrap/>
            <w:vAlign w:val="bottom"/>
            <w:hideMark/>
          </w:tcPr>
          <w:p w14:paraId="0CE9B69D" w14:textId="77777777" w:rsidR="0001624F" w:rsidRPr="0001624F" w:rsidRDefault="0001624F" w:rsidP="0001624F">
            <w:pPr>
              <w:spacing w:after="0" w:line="240" w:lineRule="auto"/>
              <w:rPr>
                <w:rFonts w:ascii="Times New Roman" w:eastAsia="Times New Roman" w:hAnsi="Times New Roman" w:cs="Times New Roman"/>
                <w:lang w:val="es-CR" w:eastAsia="es-CR"/>
              </w:rPr>
            </w:pPr>
          </w:p>
        </w:tc>
        <w:tc>
          <w:tcPr>
            <w:tcW w:w="954" w:type="dxa"/>
            <w:tcBorders>
              <w:top w:val="nil"/>
              <w:left w:val="nil"/>
              <w:bottom w:val="nil"/>
              <w:right w:val="nil"/>
            </w:tcBorders>
            <w:noWrap/>
            <w:vAlign w:val="bottom"/>
            <w:hideMark/>
          </w:tcPr>
          <w:p w14:paraId="7D0F5A3B" w14:textId="77777777" w:rsidR="0001624F" w:rsidRPr="0001624F" w:rsidRDefault="0001624F" w:rsidP="0001624F">
            <w:pPr>
              <w:spacing w:after="0" w:line="240" w:lineRule="auto"/>
              <w:rPr>
                <w:rFonts w:ascii="Times New Roman" w:eastAsia="Times New Roman" w:hAnsi="Times New Roman" w:cs="Times New Roman"/>
                <w:lang w:val="es-CR" w:eastAsia="es-CR"/>
              </w:rPr>
            </w:pPr>
          </w:p>
        </w:tc>
      </w:tr>
    </w:tbl>
    <w:p w14:paraId="0FAE3D7F" w14:textId="77777777" w:rsidR="0001624F" w:rsidRDefault="0001624F" w:rsidP="00C972D0">
      <w:pPr>
        <w:spacing w:line="360" w:lineRule="auto"/>
        <w:ind w:left="426"/>
        <w:jc w:val="both"/>
        <w:rPr>
          <w:rFonts w:ascii="Arial" w:hAnsi="Arial" w:cs="Arial"/>
          <w:sz w:val="24"/>
          <w:szCs w:val="24"/>
        </w:rPr>
      </w:pPr>
    </w:p>
    <w:p w14:paraId="0CF97267" w14:textId="77777777" w:rsidR="0001624F" w:rsidRDefault="0001624F" w:rsidP="00C972D0">
      <w:pPr>
        <w:spacing w:line="360" w:lineRule="auto"/>
        <w:ind w:left="426"/>
        <w:jc w:val="both"/>
        <w:rPr>
          <w:rFonts w:ascii="Arial" w:hAnsi="Arial" w:cs="Arial"/>
          <w:sz w:val="24"/>
          <w:szCs w:val="24"/>
        </w:rPr>
      </w:pPr>
    </w:p>
    <w:p w14:paraId="0827827D" w14:textId="77777777" w:rsidR="0001624F" w:rsidRDefault="0001624F" w:rsidP="00C972D0">
      <w:pPr>
        <w:spacing w:line="360" w:lineRule="auto"/>
        <w:ind w:left="426"/>
        <w:jc w:val="both"/>
        <w:rPr>
          <w:rFonts w:ascii="Arial" w:hAnsi="Arial" w:cs="Arial"/>
          <w:sz w:val="24"/>
          <w:szCs w:val="24"/>
        </w:rPr>
      </w:pPr>
    </w:p>
    <w:p w14:paraId="11E58ACA" w14:textId="582A7B8D" w:rsidR="0075338A" w:rsidRDefault="00E76324" w:rsidP="00AD3C56">
      <w:pPr>
        <w:spacing w:line="360" w:lineRule="auto"/>
        <w:ind w:left="425"/>
        <w:contextualSpacing/>
        <w:jc w:val="both"/>
        <w:rPr>
          <w:rFonts w:ascii="Arial" w:hAnsi="Arial" w:cs="Arial"/>
          <w:sz w:val="24"/>
          <w:szCs w:val="24"/>
        </w:rPr>
      </w:pPr>
      <w:r w:rsidRPr="000B61AA">
        <w:rPr>
          <w:rFonts w:ascii="Arial" w:hAnsi="Arial" w:cs="Arial"/>
          <w:sz w:val="24"/>
          <w:szCs w:val="24"/>
        </w:rPr>
        <w:lastRenderedPageBreak/>
        <w:t>De lo anterior</w:t>
      </w:r>
      <w:r w:rsidR="0001624F">
        <w:rPr>
          <w:rFonts w:ascii="Arial" w:hAnsi="Arial" w:cs="Arial"/>
          <w:sz w:val="24"/>
          <w:szCs w:val="24"/>
        </w:rPr>
        <w:t xml:space="preserve">, se extrae que </w:t>
      </w:r>
      <w:r w:rsidRPr="000B61AA">
        <w:rPr>
          <w:rFonts w:ascii="Arial" w:hAnsi="Arial" w:cs="Arial"/>
          <w:sz w:val="24"/>
          <w:szCs w:val="24"/>
        </w:rPr>
        <w:t>las Decisiones Iniciales con recursos Fonafifo proceden principalmente de la Dirección Administrativa Financiera</w:t>
      </w:r>
      <w:r w:rsidR="008E37ED" w:rsidRPr="000B61AA">
        <w:rPr>
          <w:rFonts w:ascii="Arial" w:hAnsi="Arial" w:cs="Arial"/>
          <w:sz w:val="24"/>
          <w:szCs w:val="24"/>
        </w:rPr>
        <w:t xml:space="preserve"> y de la Dirección </w:t>
      </w:r>
      <w:r w:rsidR="00D26DFF">
        <w:rPr>
          <w:rFonts w:ascii="Arial" w:hAnsi="Arial" w:cs="Arial"/>
          <w:sz w:val="24"/>
          <w:szCs w:val="24"/>
        </w:rPr>
        <w:t xml:space="preserve">Ejecutiva </w:t>
      </w:r>
      <w:r w:rsidR="0001624F">
        <w:rPr>
          <w:rFonts w:ascii="Arial" w:hAnsi="Arial" w:cs="Arial"/>
          <w:sz w:val="24"/>
          <w:szCs w:val="24"/>
        </w:rPr>
        <w:t>(</w:t>
      </w:r>
      <w:r w:rsidR="00023CC7">
        <w:rPr>
          <w:rFonts w:ascii="Arial" w:hAnsi="Arial" w:cs="Arial"/>
          <w:sz w:val="24"/>
          <w:szCs w:val="24"/>
        </w:rPr>
        <w:t xml:space="preserve">Unidad de Tecnologías de Información y Comunicación, </w:t>
      </w:r>
      <w:r w:rsidR="0075338A">
        <w:rPr>
          <w:rFonts w:ascii="Arial" w:hAnsi="Arial" w:cs="Arial"/>
          <w:sz w:val="24"/>
          <w:szCs w:val="24"/>
        </w:rPr>
        <w:t>Contraloría de Servicios)</w:t>
      </w:r>
      <w:r w:rsidR="00121723" w:rsidRPr="000B61AA">
        <w:rPr>
          <w:rFonts w:ascii="Arial" w:hAnsi="Arial" w:cs="Arial"/>
          <w:sz w:val="24"/>
          <w:szCs w:val="24"/>
        </w:rPr>
        <w:t xml:space="preserve">.  </w:t>
      </w:r>
    </w:p>
    <w:p w14:paraId="55AF5057" w14:textId="77777777" w:rsidR="0075338A" w:rsidRDefault="0075338A" w:rsidP="00AD3C56">
      <w:pPr>
        <w:spacing w:line="360" w:lineRule="auto"/>
        <w:ind w:left="425"/>
        <w:contextualSpacing/>
        <w:jc w:val="both"/>
        <w:rPr>
          <w:rFonts w:ascii="Arial" w:hAnsi="Arial" w:cs="Arial"/>
          <w:sz w:val="24"/>
          <w:szCs w:val="24"/>
        </w:rPr>
      </w:pPr>
    </w:p>
    <w:p w14:paraId="4EF690EE" w14:textId="61F7EF11" w:rsidR="00AD3C56" w:rsidRPr="000B61AA" w:rsidRDefault="0075338A" w:rsidP="00AD3C56">
      <w:pPr>
        <w:spacing w:line="360" w:lineRule="auto"/>
        <w:ind w:left="425"/>
        <w:contextualSpacing/>
        <w:jc w:val="both"/>
        <w:rPr>
          <w:rFonts w:ascii="Arial" w:hAnsi="Arial" w:cs="Arial"/>
          <w:sz w:val="24"/>
          <w:szCs w:val="24"/>
        </w:rPr>
      </w:pPr>
      <w:r>
        <w:rPr>
          <w:rFonts w:ascii="Arial" w:hAnsi="Arial" w:cs="Arial"/>
          <w:sz w:val="24"/>
          <w:szCs w:val="24"/>
        </w:rPr>
        <w:t xml:space="preserve">La tendencia descrita se ha mantenido </w:t>
      </w:r>
      <w:r w:rsidR="007B22A1">
        <w:rPr>
          <w:rFonts w:ascii="Arial" w:hAnsi="Arial" w:cs="Arial"/>
          <w:sz w:val="24"/>
          <w:szCs w:val="24"/>
        </w:rPr>
        <w:t xml:space="preserve">a lo largo de los años y confirma que </w:t>
      </w:r>
      <w:r w:rsidR="00F35837" w:rsidRPr="000B61AA">
        <w:rPr>
          <w:rFonts w:ascii="Arial" w:hAnsi="Arial" w:cs="Arial"/>
          <w:sz w:val="24"/>
          <w:szCs w:val="24"/>
        </w:rPr>
        <w:t xml:space="preserve">la Dirección Administrativa Financiera </w:t>
      </w:r>
      <w:r w:rsidR="007B22A1">
        <w:rPr>
          <w:rFonts w:ascii="Arial" w:hAnsi="Arial" w:cs="Arial"/>
          <w:sz w:val="24"/>
          <w:szCs w:val="24"/>
        </w:rPr>
        <w:t xml:space="preserve">realiza su función esencial de </w:t>
      </w:r>
      <w:r w:rsidR="0093184F">
        <w:rPr>
          <w:rFonts w:ascii="Arial" w:hAnsi="Arial" w:cs="Arial"/>
          <w:sz w:val="24"/>
          <w:szCs w:val="24"/>
        </w:rPr>
        <w:t>c</w:t>
      </w:r>
      <w:r w:rsidR="005E6EAB">
        <w:rPr>
          <w:rFonts w:ascii="Arial" w:hAnsi="Arial" w:cs="Arial"/>
          <w:sz w:val="24"/>
          <w:szCs w:val="24"/>
        </w:rPr>
        <w:t xml:space="preserve">onstituirse en un </w:t>
      </w:r>
      <w:r w:rsidR="007F56E4">
        <w:rPr>
          <w:rFonts w:ascii="Arial" w:hAnsi="Arial" w:cs="Arial"/>
          <w:sz w:val="24"/>
          <w:szCs w:val="24"/>
        </w:rPr>
        <w:t xml:space="preserve">apoyo a la </w:t>
      </w:r>
      <w:r w:rsidR="00E65DEA" w:rsidRPr="000B61AA">
        <w:rPr>
          <w:rFonts w:ascii="Arial" w:hAnsi="Arial" w:cs="Arial"/>
          <w:sz w:val="24"/>
          <w:szCs w:val="24"/>
        </w:rPr>
        <w:t>Institución</w:t>
      </w:r>
      <w:r w:rsidR="004651E8" w:rsidRPr="000B61AA">
        <w:rPr>
          <w:rFonts w:ascii="Arial" w:hAnsi="Arial" w:cs="Arial"/>
          <w:sz w:val="24"/>
          <w:szCs w:val="24"/>
        </w:rPr>
        <w:t>,</w:t>
      </w:r>
      <w:r w:rsidR="00E65DEA" w:rsidRPr="000B61AA">
        <w:rPr>
          <w:rFonts w:ascii="Arial" w:hAnsi="Arial" w:cs="Arial"/>
          <w:sz w:val="24"/>
          <w:szCs w:val="24"/>
        </w:rPr>
        <w:t xml:space="preserve"> </w:t>
      </w:r>
      <w:r w:rsidR="007F56E4">
        <w:rPr>
          <w:rFonts w:ascii="Arial" w:hAnsi="Arial" w:cs="Arial"/>
          <w:sz w:val="24"/>
          <w:szCs w:val="24"/>
        </w:rPr>
        <w:t xml:space="preserve">gestionando servicios </w:t>
      </w:r>
      <w:r w:rsidR="004679EF" w:rsidRPr="000B61AA">
        <w:rPr>
          <w:rFonts w:ascii="Arial" w:hAnsi="Arial" w:cs="Arial"/>
          <w:sz w:val="24"/>
          <w:szCs w:val="24"/>
        </w:rPr>
        <w:t>que respalden la operatividad</w:t>
      </w:r>
      <w:r w:rsidR="00DB0A47">
        <w:rPr>
          <w:rFonts w:ascii="Arial" w:hAnsi="Arial" w:cs="Arial"/>
          <w:sz w:val="24"/>
          <w:szCs w:val="24"/>
        </w:rPr>
        <w:t xml:space="preserve">, de esta manera los procesos esenciales </w:t>
      </w:r>
      <w:r w:rsidR="0002371B">
        <w:rPr>
          <w:rFonts w:ascii="Arial" w:hAnsi="Arial" w:cs="Arial"/>
          <w:sz w:val="24"/>
          <w:szCs w:val="24"/>
        </w:rPr>
        <w:t xml:space="preserve">están respaldados </w:t>
      </w:r>
      <w:r w:rsidR="00D26DFF">
        <w:rPr>
          <w:rFonts w:ascii="Arial" w:hAnsi="Arial" w:cs="Arial"/>
          <w:sz w:val="24"/>
          <w:szCs w:val="24"/>
        </w:rPr>
        <w:t>con bienes</w:t>
      </w:r>
      <w:r w:rsidR="005E6EAB">
        <w:rPr>
          <w:rFonts w:ascii="Arial" w:hAnsi="Arial" w:cs="Arial"/>
          <w:sz w:val="24"/>
          <w:szCs w:val="24"/>
        </w:rPr>
        <w:t xml:space="preserve"> y </w:t>
      </w:r>
      <w:r w:rsidR="00793ED0">
        <w:rPr>
          <w:rFonts w:ascii="Arial" w:hAnsi="Arial" w:cs="Arial"/>
          <w:sz w:val="24"/>
          <w:szCs w:val="24"/>
        </w:rPr>
        <w:t xml:space="preserve">servicios </w:t>
      </w:r>
      <w:r w:rsidR="005E6EAB">
        <w:rPr>
          <w:rFonts w:ascii="Arial" w:hAnsi="Arial" w:cs="Arial"/>
          <w:sz w:val="24"/>
          <w:szCs w:val="24"/>
        </w:rPr>
        <w:t>de calidad</w:t>
      </w:r>
      <w:r w:rsidR="00D26DFF">
        <w:rPr>
          <w:rFonts w:ascii="Arial" w:hAnsi="Arial" w:cs="Arial"/>
          <w:sz w:val="24"/>
          <w:szCs w:val="24"/>
        </w:rPr>
        <w:t xml:space="preserve"> para facilitar el cumplimiento de los objetivos.</w:t>
      </w:r>
      <w:r w:rsidR="005E6EAB">
        <w:rPr>
          <w:rFonts w:ascii="Arial" w:hAnsi="Arial" w:cs="Arial"/>
          <w:sz w:val="24"/>
          <w:szCs w:val="24"/>
        </w:rPr>
        <w:t xml:space="preserve"> </w:t>
      </w:r>
    </w:p>
    <w:p w14:paraId="6422D785" w14:textId="77777777" w:rsidR="00FC238E" w:rsidRPr="000B61AA" w:rsidRDefault="00FC238E" w:rsidP="00AD3C56">
      <w:pPr>
        <w:spacing w:line="360" w:lineRule="auto"/>
        <w:ind w:left="425"/>
        <w:contextualSpacing/>
        <w:jc w:val="both"/>
        <w:rPr>
          <w:rFonts w:ascii="Arial" w:hAnsi="Arial" w:cs="Arial"/>
          <w:sz w:val="24"/>
          <w:szCs w:val="24"/>
        </w:rPr>
      </w:pPr>
    </w:p>
    <w:p w14:paraId="27B2FA16" w14:textId="6322D555" w:rsidR="00FC238E" w:rsidRPr="000B61AA" w:rsidRDefault="00A46B25" w:rsidP="00AD3C56">
      <w:pPr>
        <w:spacing w:line="360" w:lineRule="auto"/>
        <w:ind w:left="425"/>
        <w:contextualSpacing/>
        <w:jc w:val="both"/>
        <w:rPr>
          <w:rFonts w:ascii="Arial" w:hAnsi="Arial" w:cs="Arial"/>
          <w:sz w:val="24"/>
          <w:szCs w:val="24"/>
        </w:rPr>
      </w:pPr>
      <w:r w:rsidRPr="000B61AA">
        <w:rPr>
          <w:rFonts w:ascii="Arial" w:hAnsi="Arial" w:cs="Arial"/>
          <w:sz w:val="24"/>
          <w:szCs w:val="24"/>
        </w:rPr>
        <w:t>En</w:t>
      </w:r>
      <w:r w:rsidR="00D26DFF">
        <w:rPr>
          <w:rFonts w:ascii="Arial" w:hAnsi="Arial" w:cs="Arial"/>
          <w:sz w:val="24"/>
          <w:szCs w:val="24"/>
        </w:rPr>
        <w:t xml:space="preserve"> cuanto a la Dirección Ejecutiva, la mayor cantidad de Decisiones Iniciales proceden de la </w:t>
      </w:r>
      <w:r w:rsidRPr="000B61AA">
        <w:rPr>
          <w:rFonts w:ascii="Arial" w:hAnsi="Arial" w:cs="Arial"/>
          <w:sz w:val="24"/>
          <w:szCs w:val="24"/>
        </w:rPr>
        <w:t xml:space="preserve">Unidad de </w:t>
      </w:r>
      <w:r w:rsidR="00D26DFF">
        <w:rPr>
          <w:rFonts w:ascii="Arial" w:hAnsi="Arial" w:cs="Arial"/>
          <w:sz w:val="24"/>
          <w:szCs w:val="24"/>
        </w:rPr>
        <w:t>Tecnologías de Información y Comunicación</w:t>
      </w:r>
      <w:r w:rsidR="005A2039" w:rsidRPr="000B61AA">
        <w:rPr>
          <w:rFonts w:ascii="Arial" w:hAnsi="Arial" w:cs="Arial"/>
          <w:sz w:val="24"/>
          <w:szCs w:val="24"/>
        </w:rPr>
        <w:t xml:space="preserve"> </w:t>
      </w:r>
      <w:r w:rsidR="00F15D79" w:rsidRPr="000B61AA">
        <w:rPr>
          <w:rFonts w:ascii="Arial" w:hAnsi="Arial" w:cs="Arial"/>
          <w:sz w:val="24"/>
          <w:szCs w:val="24"/>
        </w:rPr>
        <w:t>que gestiona la adquisición de equipo de cómputo, licencias y servicios tecnológicos</w:t>
      </w:r>
      <w:r w:rsidR="00A91CFC" w:rsidRPr="000B61AA">
        <w:rPr>
          <w:rFonts w:ascii="Arial" w:hAnsi="Arial" w:cs="Arial"/>
          <w:sz w:val="24"/>
          <w:szCs w:val="24"/>
        </w:rPr>
        <w:t xml:space="preserve">, </w:t>
      </w:r>
      <w:r w:rsidR="00D26DFF">
        <w:rPr>
          <w:rFonts w:ascii="Arial" w:hAnsi="Arial" w:cs="Arial"/>
          <w:sz w:val="24"/>
          <w:szCs w:val="24"/>
        </w:rPr>
        <w:t xml:space="preserve">a fin de mantener </w:t>
      </w:r>
      <w:r w:rsidR="006825E2">
        <w:rPr>
          <w:rFonts w:ascii="Arial" w:hAnsi="Arial" w:cs="Arial"/>
          <w:sz w:val="24"/>
          <w:szCs w:val="24"/>
        </w:rPr>
        <w:t>a la Institución actualizada en el campo tecnológico.</w:t>
      </w:r>
    </w:p>
    <w:p w14:paraId="1830DFA2" w14:textId="77777777" w:rsidR="00514E89" w:rsidRPr="000B61AA" w:rsidRDefault="00514E89" w:rsidP="00AD3C56">
      <w:pPr>
        <w:spacing w:line="360" w:lineRule="auto"/>
        <w:ind w:left="425"/>
        <w:contextualSpacing/>
        <w:jc w:val="both"/>
        <w:rPr>
          <w:rFonts w:ascii="Arial" w:hAnsi="Arial" w:cs="Arial"/>
          <w:sz w:val="24"/>
          <w:szCs w:val="24"/>
        </w:rPr>
      </w:pPr>
    </w:p>
    <w:p w14:paraId="260001D3" w14:textId="77777777" w:rsidR="00B65C50" w:rsidRDefault="00DF064A" w:rsidP="00AD3C56">
      <w:pPr>
        <w:spacing w:line="360" w:lineRule="auto"/>
        <w:ind w:left="425"/>
        <w:contextualSpacing/>
        <w:jc w:val="both"/>
        <w:rPr>
          <w:rFonts w:ascii="Arial" w:hAnsi="Arial" w:cs="Arial"/>
          <w:sz w:val="24"/>
          <w:szCs w:val="24"/>
        </w:rPr>
      </w:pPr>
      <w:r w:rsidRPr="000B61AA">
        <w:rPr>
          <w:rFonts w:ascii="Arial" w:hAnsi="Arial" w:cs="Arial"/>
          <w:sz w:val="24"/>
          <w:szCs w:val="24"/>
        </w:rPr>
        <w:t>P</w:t>
      </w:r>
      <w:r w:rsidR="002104DD" w:rsidRPr="000B61AA">
        <w:rPr>
          <w:rFonts w:ascii="Arial" w:hAnsi="Arial" w:cs="Arial"/>
          <w:sz w:val="24"/>
          <w:szCs w:val="24"/>
        </w:rPr>
        <w:t xml:space="preserve">uede mostrarse como la gestión </w:t>
      </w:r>
      <w:r w:rsidR="002104DD" w:rsidRPr="00D620A6">
        <w:rPr>
          <w:rFonts w:ascii="Arial" w:hAnsi="Arial" w:cs="Arial"/>
          <w:sz w:val="24"/>
          <w:szCs w:val="24"/>
        </w:rPr>
        <w:t>contractual</w:t>
      </w:r>
      <w:r w:rsidR="00EE75BB" w:rsidRPr="00D620A6">
        <w:rPr>
          <w:rFonts w:ascii="Arial" w:hAnsi="Arial" w:cs="Arial"/>
          <w:sz w:val="24"/>
          <w:szCs w:val="24"/>
        </w:rPr>
        <w:t xml:space="preserve"> contribuye al logro de la estrategia </w:t>
      </w:r>
      <w:r w:rsidR="006404BA" w:rsidRPr="00D620A6">
        <w:rPr>
          <w:rFonts w:ascii="Arial" w:hAnsi="Arial" w:cs="Arial"/>
          <w:sz w:val="24"/>
          <w:szCs w:val="24"/>
        </w:rPr>
        <w:t xml:space="preserve">institucional, </w:t>
      </w:r>
      <w:r w:rsidR="00CD0A43" w:rsidRPr="00D620A6">
        <w:rPr>
          <w:rFonts w:ascii="Arial" w:hAnsi="Arial" w:cs="Arial"/>
          <w:sz w:val="24"/>
          <w:szCs w:val="24"/>
        </w:rPr>
        <w:t>rel</w:t>
      </w:r>
      <w:r w:rsidR="00CD0A43" w:rsidRPr="000B61AA">
        <w:rPr>
          <w:rFonts w:ascii="Arial" w:hAnsi="Arial" w:cs="Arial"/>
          <w:sz w:val="24"/>
          <w:szCs w:val="24"/>
        </w:rPr>
        <w:t>acionando los macroprocesos a los que impacta cada Decisión Inicial y que se muestra en el siguiente gráfico:</w:t>
      </w:r>
    </w:p>
    <w:p w14:paraId="1E8870EF" w14:textId="77777777" w:rsidR="003913C3" w:rsidRDefault="003913C3" w:rsidP="00B74EFB">
      <w:pPr>
        <w:spacing w:line="240" w:lineRule="auto"/>
        <w:ind w:left="425"/>
        <w:contextualSpacing/>
        <w:jc w:val="both"/>
        <w:rPr>
          <w:rFonts w:ascii="Arial" w:hAnsi="Arial" w:cs="Arial"/>
          <w:sz w:val="24"/>
          <w:szCs w:val="24"/>
        </w:rPr>
      </w:pPr>
    </w:p>
    <w:tbl>
      <w:tblPr>
        <w:tblW w:w="6380" w:type="dxa"/>
        <w:tblInd w:w="1967" w:type="dxa"/>
        <w:tblCellMar>
          <w:left w:w="70" w:type="dxa"/>
          <w:right w:w="70" w:type="dxa"/>
        </w:tblCellMar>
        <w:tblLook w:val="04A0" w:firstRow="1" w:lastRow="0" w:firstColumn="1" w:lastColumn="0" w:noHBand="0" w:noVBand="1"/>
      </w:tblPr>
      <w:tblGrid>
        <w:gridCol w:w="4280"/>
        <w:gridCol w:w="2100"/>
      </w:tblGrid>
      <w:tr w:rsidR="00D62FD0" w:rsidRPr="00D62FD0" w14:paraId="7BE36896" w14:textId="77777777" w:rsidTr="00F47FBB">
        <w:trPr>
          <w:trHeight w:val="288"/>
        </w:trPr>
        <w:tc>
          <w:tcPr>
            <w:tcW w:w="4280"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4EEF11DE" w14:textId="77777777" w:rsidR="00D62FD0" w:rsidRPr="00D62FD0" w:rsidRDefault="00D62FD0" w:rsidP="00F47FBB">
            <w:pPr>
              <w:spacing w:after="0" w:line="240" w:lineRule="auto"/>
              <w:jc w:val="center"/>
              <w:rPr>
                <w:rFonts w:ascii="Calibri" w:eastAsia="Times New Roman" w:hAnsi="Calibri" w:cs="Calibri"/>
                <w:b/>
                <w:bCs/>
                <w:color w:val="000000"/>
                <w:lang w:val="es-CR" w:eastAsia="es-CR"/>
              </w:rPr>
            </w:pPr>
            <w:r w:rsidRPr="00D62FD0">
              <w:rPr>
                <w:rFonts w:ascii="Calibri" w:eastAsia="Times New Roman" w:hAnsi="Calibri" w:cs="Calibri"/>
                <w:b/>
                <w:bCs/>
                <w:color w:val="000000"/>
                <w:lang w:val="es-CR" w:eastAsia="es-CR"/>
              </w:rPr>
              <w:t>Macroproceso</w:t>
            </w:r>
          </w:p>
        </w:tc>
        <w:tc>
          <w:tcPr>
            <w:tcW w:w="2100" w:type="dxa"/>
            <w:tcBorders>
              <w:top w:val="single" w:sz="4" w:space="0" w:color="auto"/>
              <w:left w:val="nil"/>
              <w:bottom w:val="single" w:sz="4" w:space="0" w:color="auto"/>
              <w:right w:val="single" w:sz="4" w:space="0" w:color="auto"/>
            </w:tcBorders>
            <w:shd w:val="clear" w:color="000000" w:fill="CCC0DA"/>
            <w:noWrap/>
            <w:vAlign w:val="bottom"/>
            <w:hideMark/>
          </w:tcPr>
          <w:p w14:paraId="448D4D83" w14:textId="77777777" w:rsidR="00D62FD0" w:rsidRPr="00D62FD0" w:rsidRDefault="00D62FD0" w:rsidP="00F47FBB">
            <w:pPr>
              <w:spacing w:after="0" w:line="240" w:lineRule="auto"/>
              <w:jc w:val="center"/>
              <w:rPr>
                <w:rFonts w:ascii="Calibri" w:eastAsia="Times New Roman" w:hAnsi="Calibri" w:cs="Calibri"/>
                <w:b/>
                <w:bCs/>
                <w:color w:val="000000"/>
                <w:lang w:val="es-CR" w:eastAsia="es-CR"/>
              </w:rPr>
            </w:pPr>
            <w:r w:rsidRPr="00D62FD0">
              <w:rPr>
                <w:rFonts w:ascii="Calibri" w:eastAsia="Times New Roman" w:hAnsi="Calibri" w:cs="Calibri"/>
                <w:b/>
                <w:bCs/>
                <w:color w:val="000000"/>
                <w:lang w:val="es-CR" w:eastAsia="es-CR"/>
              </w:rPr>
              <w:t>Decisiones Iniciales</w:t>
            </w:r>
          </w:p>
        </w:tc>
      </w:tr>
      <w:tr w:rsidR="00D62FD0" w:rsidRPr="00D62FD0" w14:paraId="0A24F1B7" w14:textId="77777777" w:rsidTr="00F47FBB">
        <w:trPr>
          <w:trHeight w:val="288"/>
        </w:trPr>
        <w:tc>
          <w:tcPr>
            <w:tcW w:w="4280" w:type="dxa"/>
            <w:tcBorders>
              <w:top w:val="nil"/>
              <w:left w:val="single" w:sz="4" w:space="0" w:color="auto"/>
              <w:bottom w:val="single" w:sz="4" w:space="0" w:color="auto"/>
              <w:right w:val="single" w:sz="4" w:space="0" w:color="auto"/>
            </w:tcBorders>
            <w:noWrap/>
            <w:vAlign w:val="bottom"/>
            <w:hideMark/>
          </w:tcPr>
          <w:p w14:paraId="5E304611" w14:textId="77777777" w:rsidR="00D62FD0" w:rsidRPr="00D62FD0" w:rsidRDefault="00D62FD0" w:rsidP="00F47FBB">
            <w:pPr>
              <w:spacing w:after="0" w:line="240" w:lineRule="auto"/>
              <w:jc w:val="center"/>
              <w:rPr>
                <w:rFonts w:ascii="Calibri" w:eastAsia="Times New Roman" w:hAnsi="Calibri" w:cs="Calibri"/>
                <w:color w:val="000000"/>
                <w:lang w:val="es-CR" w:eastAsia="es-CR"/>
              </w:rPr>
            </w:pPr>
            <w:r w:rsidRPr="00D62FD0">
              <w:rPr>
                <w:rFonts w:ascii="Calibri" w:eastAsia="Times New Roman" w:hAnsi="Calibri" w:cs="Calibri"/>
                <w:color w:val="000000"/>
                <w:lang w:val="es-CR" w:eastAsia="es-CR"/>
              </w:rPr>
              <w:t>Financiamiento Forestal Ambiental</w:t>
            </w:r>
          </w:p>
        </w:tc>
        <w:tc>
          <w:tcPr>
            <w:tcW w:w="2100" w:type="dxa"/>
            <w:tcBorders>
              <w:top w:val="nil"/>
              <w:left w:val="nil"/>
              <w:bottom w:val="single" w:sz="4" w:space="0" w:color="auto"/>
              <w:right w:val="single" w:sz="4" w:space="0" w:color="auto"/>
            </w:tcBorders>
            <w:noWrap/>
            <w:vAlign w:val="bottom"/>
            <w:hideMark/>
          </w:tcPr>
          <w:p w14:paraId="7CFCD283" w14:textId="77777777" w:rsidR="00D62FD0" w:rsidRPr="00D62FD0" w:rsidRDefault="00D62FD0" w:rsidP="00F47FBB">
            <w:pPr>
              <w:spacing w:after="0" w:line="240" w:lineRule="auto"/>
              <w:jc w:val="center"/>
              <w:rPr>
                <w:rFonts w:ascii="Calibri" w:eastAsia="Times New Roman" w:hAnsi="Calibri" w:cs="Calibri"/>
                <w:color w:val="000000"/>
                <w:lang w:val="es-CR" w:eastAsia="es-CR"/>
              </w:rPr>
            </w:pPr>
            <w:r w:rsidRPr="00D62FD0">
              <w:rPr>
                <w:rFonts w:ascii="Calibri" w:eastAsia="Times New Roman" w:hAnsi="Calibri" w:cs="Calibri"/>
                <w:color w:val="000000"/>
                <w:lang w:val="es-CR" w:eastAsia="es-CR"/>
              </w:rPr>
              <w:t>6</w:t>
            </w:r>
          </w:p>
        </w:tc>
      </w:tr>
      <w:tr w:rsidR="00D62FD0" w:rsidRPr="00D62FD0" w14:paraId="1E87025E" w14:textId="77777777" w:rsidTr="00F47FBB">
        <w:trPr>
          <w:trHeight w:val="288"/>
        </w:trPr>
        <w:tc>
          <w:tcPr>
            <w:tcW w:w="4280" w:type="dxa"/>
            <w:tcBorders>
              <w:top w:val="nil"/>
              <w:left w:val="single" w:sz="4" w:space="0" w:color="auto"/>
              <w:bottom w:val="single" w:sz="4" w:space="0" w:color="auto"/>
              <w:right w:val="single" w:sz="4" w:space="0" w:color="auto"/>
            </w:tcBorders>
            <w:noWrap/>
            <w:vAlign w:val="bottom"/>
            <w:hideMark/>
          </w:tcPr>
          <w:p w14:paraId="4659B25A" w14:textId="77777777" w:rsidR="00D62FD0" w:rsidRPr="00D62FD0" w:rsidRDefault="00D62FD0" w:rsidP="00F47FBB">
            <w:pPr>
              <w:spacing w:after="0" w:line="240" w:lineRule="auto"/>
              <w:jc w:val="center"/>
              <w:rPr>
                <w:rFonts w:ascii="Calibri" w:eastAsia="Times New Roman" w:hAnsi="Calibri" w:cs="Calibri"/>
                <w:color w:val="000000"/>
                <w:lang w:val="es-CR" w:eastAsia="es-CR"/>
              </w:rPr>
            </w:pPr>
            <w:r w:rsidRPr="00D62FD0">
              <w:rPr>
                <w:rFonts w:ascii="Calibri" w:eastAsia="Times New Roman" w:hAnsi="Calibri" w:cs="Calibri"/>
                <w:color w:val="000000"/>
                <w:lang w:val="es-CR" w:eastAsia="es-CR"/>
              </w:rPr>
              <w:t xml:space="preserve">Fomento sostenibilidad forestal </w:t>
            </w:r>
            <w:proofErr w:type="spellStart"/>
            <w:r w:rsidRPr="00D62FD0">
              <w:rPr>
                <w:rFonts w:ascii="Calibri" w:eastAsia="Times New Roman" w:hAnsi="Calibri" w:cs="Calibri"/>
                <w:color w:val="000000"/>
                <w:lang w:val="es-CR" w:eastAsia="es-CR"/>
              </w:rPr>
              <w:t>act</w:t>
            </w:r>
            <w:proofErr w:type="spellEnd"/>
            <w:r w:rsidRPr="00D62FD0">
              <w:rPr>
                <w:rFonts w:ascii="Calibri" w:eastAsia="Times New Roman" w:hAnsi="Calibri" w:cs="Calibri"/>
                <w:color w:val="000000"/>
                <w:lang w:val="es-CR" w:eastAsia="es-CR"/>
              </w:rPr>
              <w:t>. Prod.</w:t>
            </w:r>
          </w:p>
        </w:tc>
        <w:tc>
          <w:tcPr>
            <w:tcW w:w="2100" w:type="dxa"/>
            <w:tcBorders>
              <w:top w:val="nil"/>
              <w:left w:val="nil"/>
              <w:bottom w:val="single" w:sz="4" w:space="0" w:color="auto"/>
              <w:right w:val="single" w:sz="4" w:space="0" w:color="auto"/>
            </w:tcBorders>
            <w:noWrap/>
            <w:vAlign w:val="bottom"/>
            <w:hideMark/>
          </w:tcPr>
          <w:p w14:paraId="7A1BFB5C" w14:textId="77777777" w:rsidR="00D62FD0" w:rsidRPr="00D62FD0" w:rsidRDefault="00D62FD0" w:rsidP="00F47FBB">
            <w:pPr>
              <w:spacing w:after="0" w:line="240" w:lineRule="auto"/>
              <w:jc w:val="center"/>
              <w:rPr>
                <w:rFonts w:ascii="Calibri" w:eastAsia="Times New Roman" w:hAnsi="Calibri" w:cs="Calibri"/>
                <w:color w:val="000000"/>
                <w:lang w:val="es-CR" w:eastAsia="es-CR"/>
              </w:rPr>
            </w:pPr>
            <w:r w:rsidRPr="00D62FD0">
              <w:rPr>
                <w:rFonts w:ascii="Calibri" w:eastAsia="Times New Roman" w:hAnsi="Calibri" w:cs="Calibri"/>
                <w:color w:val="000000"/>
                <w:lang w:val="es-CR" w:eastAsia="es-CR"/>
              </w:rPr>
              <w:t>1</w:t>
            </w:r>
          </w:p>
        </w:tc>
      </w:tr>
      <w:tr w:rsidR="00D62FD0" w:rsidRPr="00D62FD0" w14:paraId="67F43AF9" w14:textId="77777777" w:rsidTr="00F47FBB">
        <w:trPr>
          <w:trHeight w:val="288"/>
        </w:trPr>
        <w:tc>
          <w:tcPr>
            <w:tcW w:w="4280" w:type="dxa"/>
            <w:tcBorders>
              <w:top w:val="nil"/>
              <w:left w:val="single" w:sz="4" w:space="0" w:color="auto"/>
              <w:bottom w:val="single" w:sz="4" w:space="0" w:color="auto"/>
              <w:right w:val="single" w:sz="4" w:space="0" w:color="auto"/>
            </w:tcBorders>
            <w:noWrap/>
            <w:vAlign w:val="bottom"/>
            <w:hideMark/>
          </w:tcPr>
          <w:p w14:paraId="3C72930F" w14:textId="77777777" w:rsidR="00D62FD0" w:rsidRPr="00D62FD0" w:rsidRDefault="00D62FD0" w:rsidP="00F47FBB">
            <w:pPr>
              <w:spacing w:after="0" w:line="240" w:lineRule="auto"/>
              <w:jc w:val="center"/>
              <w:rPr>
                <w:rFonts w:ascii="Calibri" w:eastAsia="Times New Roman" w:hAnsi="Calibri" w:cs="Calibri"/>
                <w:color w:val="000000"/>
                <w:lang w:val="es-CR" w:eastAsia="es-CR"/>
              </w:rPr>
            </w:pPr>
            <w:r w:rsidRPr="00D62FD0">
              <w:rPr>
                <w:rFonts w:ascii="Calibri" w:eastAsia="Times New Roman" w:hAnsi="Calibri" w:cs="Calibri"/>
                <w:color w:val="000000"/>
                <w:lang w:val="es-CR" w:eastAsia="es-CR"/>
              </w:rPr>
              <w:t>Gestión de servicios ambientales</w:t>
            </w:r>
          </w:p>
        </w:tc>
        <w:tc>
          <w:tcPr>
            <w:tcW w:w="2100" w:type="dxa"/>
            <w:tcBorders>
              <w:top w:val="nil"/>
              <w:left w:val="nil"/>
              <w:bottom w:val="single" w:sz="4" w:space="0" w:color="auto"/>
              <w:right w:val="single" w:sz="4" w:space="0" w:color="auto"/>
            </w:tcBorders>
            <w:noWrap/>
            <w:vAlign w:val="bottom"/>
            <w:hideMark/>
          </w:tcPr>
          <w:p w14:paraId="12808829" w14:textId="77777777" w:rsidR="00D62FD0" w:rsidRPr="00D62FD0" w:rsidRDefault="00D62FD0" w:rsidP="00F47FBB">
            <w:pPr>
              <w:spacing w:after="0" w:line="240" w:lineRule="auto"/>
              <w:jc w:val="center"/>
              <w:rPr>
                <w:rFonts w:ascii="Calibri" w:eastAsia="Times New Roman" w:hAnsi="Calibri" w:cs="Calibri"/>
                <w:color w:val="000000"/>
                <w:lang w:val="es-CR" w:eastAsia="es-CR"/>
              </w:rPr>
            </w:pPr>
            <w:r w:rsidRPr="00D62FD0">
              <w:rPr>
                <w:rFonts w:ascii="Calibri" w:eastAsia="Times New Roman" w:hAnsi="Calibri" w:cs="Calibri"/>
                <w:color w:val="000000"/>
                <w:lang w:val="es-CR" w:eastAsia="es-CR"/>
              </w:rPr>
              <w:t>19</w:t>
            </w:r>
          </w:p>
        </w:tc>
      </w:tr>
      <w:tr w:rsidR="00D62FD0" w:rsidRPr="00D62FD0" w14:paraId="451326DB" w14:textId="77777777" w:rsidTr="00F47FBB">
        <w:trPr>
          <w:trHeight w:val="288"/>
        </w:trPr>
        <w:tc>
          <w:tcPr>
            <w:tcW w:w="4280" w:type="dxa"/>
            <w:tcBorders>
              <w:top w:val="nil"/>
              <w:left w:val="single" w:sz="4" w:space="0" w:color="auto"/>
              <w:bottom w:val="single" w:sz="4" w:space="0" w:color="auto"/>
              <w:right w:val="single" w:sz="4" w:space="0" w:color="auto"/>
            </w:tcBorders>
            <w:noWrap/>
            <w:vAlign w:val="bottom"/>
            <w:hideMark/>
          </w:tcPr>
          <w:p w14:paraId="1F87577F" w14:textId="77777777" w:rsidR="00D62FD0" w:rsidRPr="00D62FD0" w:rsidRDefault="00D62FD0" w:rsidP="00F47FBB">
            <w:pPr>
              <w:spacing w:after="0" w:line="240" w:lineRule="auto"/>
              <w:jc w:val="center"/>
              <w:rPr>
                <w:rFonts w:ascii="Calibri" w:eastAsia="Times New Roman" w:hAnsi="Calibri" w:cs="Calibri"/>
                <w:color w:val="000000"/>
                <w:lang w:val="es-CR" w:eastAsia="es-CR"/>
              </w:rPr>
            </w:pPr>
            <w:r w:rsidRPr="00D62FD0">
              <w:rPr>
                <w:rFonts w:ascii="Calibri" w:eastAsia="Times New Roman" w:hAnsi="Calibri" w:cs="Calibri"/>
                <w:color w:val="000000"/>
                <w:lang w:val="es-CR" w:eastAsia="es-CR"/>
              </w:rPr>
              <w:t>Mecanismo de financiamiento</w:t>
            </w:r>
          </w:p>
        </w:tc>
        <w:tc>
          <w:tcPr>
            <w:tcW w:w="2100" w:type="dxa"/>
            <w:tcBorders>
              <w:top w:val="nil"/>
              <w:left w:val="nil"/>
              <w:bottom w:val="single" w:sz="4" w:space="0" w:color="auto"/>
              <w:right w:val="single" w:sz="4" w:space="0" w:color="auto"/>
            </w:tcBorders>
            <w:noWrap/>
            <w:vAlign w:val="bottom"/>
            <w:hideMark/>
          </w:tcPr>
          <w:p w14:paraId="26347256" w14:textId="77777777" w:rsidR="00D62FD0" w:rsidRPr="00D62FD0" w:rsidRDefault="00D62FD0" w:rsidP="00F47FBB">
            <w:pPr>
              <w:spacing w:after="0" w:line="240" w:lineRule="auto"/>
              <w:jc w:val="center"/>
              <w:rPr>
                <w:rFonts w:ascii="Calibri" w:eastAsia="Times New Roman" w:hAnsi="Calibri" w:cs="Calibri"/>
                <w:color w:val="000000"/>
                <w:lang w:val="es-CR" w:eastAsia="es-CR"/>
              </w:rPr>
            </w:pPr>
            <w:r w:rsidRPr="00D62FD0">
              <w:rPr>
                <w:rFonts w:ascii="Calibri" w:eastAsia="Times New Roman" w:hAnsi="Calibri" w:cs="Calibri"/>
                <w:color w:val="000000"/>
                <w:lang w:val="es-CR" w:eastAsia="es-CR"/>
              </w:rPr>
              <w:t>5</w:t>
            </w:r>
          </w:p>
        </w:tc>
      </w:tr>
      <w:tr w:rsidR="00D62FD0" w:rsidRPr="00D62FD0" w14:paraId="4E7F7667" w14:textId="77777777" w:rsidTr="00F47FBB">
        <w:trPr>
          <w:trHeight w:val="288"/>
        </w:trPr>
        <w:tc>
          <w:tcPr>
            <w:tcW w:w="4280" w:type="dxa"/>
            <w:tcBorders>
              <w:top w:val="nil"/>
              <w:left w:val="single" w:sz="4" w:space="0" w:color="auto"/>
              <w:bottom w:val="single" w:sz="4" w:space="0" w:color="auto"/>
              <w:right w:val="single" w:sz="4" w:space="0" w:color="auto"/>
            </w:tcBorders>
            <w:noWrap/>
            <w:vAlign w:val="bottom"/>
            <w:hideMark/>
          </w:tcPr>
          <w:p w14:paraId="0AC682B1" w14:textId="088BCA4F" w:rsidR="00D62FD0" w:rsidRPr="00D62FD0" w:rsidRDefault="00D62FD0" w:rsidP="00F47FBB">
            <w:pPr>
              <w:spacing w:after="0" w:line="240" w:lineRule="auto"/>
              <w:jc w:val="center"/>
              <w:rPr>
                <w:rFonts w:ascii="Calibri" w:eastAsia="Times New Roman" w:hAnsi="Calibri" w:cs="Calibri"/>
                <w:color w:val="000000"/>
                <w:lang w:val="es-CR" w:eastAsia="es-CR"/>
              </w:rPr>
            </w:pPr>
            <w:r w:rsidRPr="00D62FD0">
              <w:rPr>
                <w:rFonts w:ascii="Calibri" w:eastAsia="Times New Roman" w:hAnsi="Calibri" w:cs="Calibri"/>
                <w:color w:val="000000"/>
                <w:lang w:val="es-CR" w:eastAsia="es-CR"/>
              </w:rPr>
              <w:t>Plan estratégico Institucional SINAC</w:t>
            </w:r>
          </w:p>
        </w:tc>
        <w:tc>
          <w:tcPr>
            <w:tcW w:w="2100" w:type="dxa"/>
            <w:tcBorders>
              <w:top w:val="nil"/>
              <w:left w:val="nil"/>
              <w:bottom w:val="single" w:sz="4" w:space="0" w:color="auto"/>
              <w:right w:val="single" w:sz="4" w:space="0" w:color="auto"/>
            </w:tcBorders>
            <w:noWrap/>
            <w:vAlign w:val="bottom"/>
            <w:hideMark/>
          </w:tcPr>
          <w:p w14:paraId="7C907FB0" w14:textId="77777777" w:rsidR="00D62FD0" w:rsidRPr="00D62FD0" w:rsidRDefault="00D62FD0" w:rsidP="00F47FBB">
            <w:pPr>
              <w:spacing w:after="0" w:line="240" w:lineRule="auto"/>
              <w:jc w:val="center"/>
              <w:rPr>
                <w:rFonts w:ascii="Calibri" w:eastAsia="Times New Roman" w:hAnsi="Calibri" w:cs="Calibri"/>
                <w:color w:val="000000"/>
                <w:lang w:val="es-CR" w:eastAsia="es-CR"/>
              </w:rPr>
            </w:pPr>
            <w:r w:rsidRPr="00D62FD0">
              <w:rPr>
                <w:rFonts w:ascii="Calibri" w:eastAsia="Times New Roman" w:hAnsi="Calibri" w:cs="Calibri"/>
                <w:color w:val="000000"/>
                <w:lang w:val="es-CR" w:eastAsia="es-CR"/>
              </w:rPr>
              <w:t>30</w:t>
            </w:r>
          </w:p>
        </w:tc>
      </w:tr>
      <w:tr w:rsidR="00D62FD0" w:rsidRPr="00D62FD0" w14:paraId="016412BA" w14:textId="77777777" w:rsidTr="00F47FBB">
        <w:trPr>
          <w:trHeight w:val="288"/>
        </w:trPr>
        <w:tc>
          <w:tcPr>
            <w:tcW w:w="4280" w:type="dxa"/>
            <w:tcBorders>
              <w:top w:val="nil"/>
              <w:left w:val="single" w:sz="4" w:space="0" w:color="auto"/>
              <w:bottom w:val="single" w:sz="4" w:space="0" w:color="auto"/>
              <w:right w:val="single" w:sz="4" w:space="0" w:color="auto"/>
            </w:tcBorders>
            <w:noWrap/>
            <w:vAlign w:val="bottom"/>
            <w:hideMark/>
          </w:tcPr>
          <w:p w14:paraId="0AEE23D0" w14:textId="77777777" w:rsidR="00D62FD0" w:rsidRPr="00D62FD0" w:rsidRDefault="00D62FD0" w:rsidP="00F47FBB">
            <w:pPr>
              <w:spacing w:after="0" w:line="240" w:lineRule="auto"/>
              <w:jc w:val="center"/>
              <w:rPr>
                <w:rFonts w:ascii="Calibri" w:eastAsia="Times New Roman" w:hAnsi="Calibri" w:cs="Calibri"/>
                <w:color w:val="000000"/>
                <w:lang w:val="es-CR" w:eastAsia="es-CR"/>
              </w:rPr>
            </w:pPr>
            <w:r w:rsidRPr="00D62FD0">
              <w:rPr>
                <w:rFonts w:ascii="Calibri" w:eastAsia="Times New Roman" w:hAnsi="Calibri" w:cs="Calibri"/>
                <w:color w:val="000000"/>
                <w:lang w:val="es-CR" w:eastAsia="es-CR"/>
              </w:rPr>
              <w:t>Soporte y apoyo institucional</w:t>
            </w:r>
          </w:p>
        </w:tc>
        <w:tc>
          <w:tcPr>
            <w:tcW w:w="2100" w:type="dxa"/>
            <w:tcBorders>
              <w:top w:val="nil"/>
              <w:left w:val="nil"/>
              <w:bottom w:val="single" w:sz="4" w:space="0" w:color="auto"/>
              <w:right w:val="single" w:sz="4" w:space="0" w:color="auto"/>
            </w:tcBorders>
            <w:noWrap/>
            <w:vAlign w:val="bottom"/>
            <w:hideMark/>
          </w:tcPr>
          <w:p w14:paraId="6CE0A698" w14:textId="77777777" w:rsidR="00D62FD0" w:rsidRPr="00D62FD0" w:rsidRDefault="00D62FD0" w:rsidP="00F47FBB">
            <w:pPr>
              <w:spacing w:after="0" w:line="240" w:lineRule="auto"/>
              <w:jc w:val="center"/>
              <w:rPr>
                <w:rFonts w:ascii="Calibri" w:eastAsia="Times New Roman" w:hAnsi="Calibri" w:cs="Calibri"/>
                <w:color w:val="000000"/>
                <w:lang w:val="es-CR" w:eastAsia="es-CR"/>
              </w:rPr>
            </w:pPr>
            <w:r w:rsidRPr="00D62FD0">
              <w:rPr>
                <w:rFonts w:ascii="Calibri" w:eastAsia="Times New Roman" w:hAnsi="Calibri" w:cs="Calibri"/>
                <w:color w:val="000000"/>
                <w:lang w:val="es-CR" w:eastAsia="es-CR"/>
              </w:rPr>
              <w:t>191</w:t>
            </w:r>
          </w:p>
        </w:tc>
      </w:tr>
      <w:tr w:rsidR="00D62FD0" w:rsidRPr="00D62FD0" w14:paraId="3D6D34D7" w14:textId="77777777" w:rsidTr="00F47FBB">
        <w:trPr>
          <w:trHeight w:val="288"/>
        </w:trPr>
        <w:tc>
          <w:tcPr>
            <w:tcW w:w="4280" w:type="dxa"/>
            <w:tcBorders>
              <w:top w:val="nil"/>
              <w:left w:val="single" w:sz="4" w:space="0" w:color="auto"/>
              <w:bottom w:val="single" w:sz="4" w:space="0" w:color="auto"/>
              <w:right w:val="single" w:sz="4" w:space="0" w:color="auto"/>
            </w:tcBorders>
            <w:shd w:val="clear" w:color="DCE6F1" w:fill="CCC0DA"/>
            <w:noWrap/>
            <w:vAlign w:val="bottom"/>
            <w:hideMark/>
          </w:tcPr>
          <w:p w14:paraId="772F26A2" w14:textId="4269D0FD" w:rsidR="00D62FD0" w:rsidRPr="00D62FD0" w:rsidRDefault="00D62FD0" w:rsidP="00F47FBB">
            <w:pPr>
              <w:spacing w:after="0" w:line="240" w:lineRule="auto"/>
              <w:jc w:val="center"/>
              <w:rPr>
                <w:rFonts w:ascii="Calibri" w:eastAsia="Times New Roman" w:hAnsi="Calibri" w:cs="Calibri"/>
                <w:b/>
                <w:bCs/>
                <w:color w:val="000000"/>
                <w:lang w:val="es-CR" w:eastAsia="es-CR"/>
              </w:rPr>
            </w:pPr>
            <w:r w:rsidRPr="00D62FD0">
              <w:rPr>
                <w:rFonts w:ascii="Calibri" w:eastAsia="Times New Roman" w:hAnsi="Calibri" w:cs="Calibri"/>
                <w:b/>
                <w:bCs/>
                <w:color w:val="000000"/>
                <w:lang w:val="es-CR" w:eastAsia="es-CR"/>
              </w:rPr>
              <w:t>Total, general</w:t>
            </w:r>
          </w:p>
        </w:tc>
        <w:tc>
          <w:tcPr>
            <w:tcW w:w="2100" w:type="dxa"/>
            <w:tcBorders>
              <w:top w:val="nil"/>
              <w:left w:val="nil"/>
              <w:bottom w:val="single" w:sz="4" w:space="0" w:color="auto"/>
              <w:right w:val="single" w:sz="4" w:space="0" w:color="auto"/>
            </w:tcBorders>
            <w:shd w:val="clear" w:color="DCE6F1" w:fill="CCC0DA"/>
            <w:noWrap/>
            <w:vAlign w:val="bottom"/>
            <w:hideMark/>
          </w:tcPr>
          <w:p w14:paraId="66EA167A" w14:textId="77777777" w:rsidR="00D62FD0" w:rsidRPr="00D62FD0" w:rsidRDefault="00D62FD0" w:rsidP="00F47FBB">
            <w:pPr>
              <w:spacing w:after="0" w:line="240" w:lineRule="auto"/>
              <w:jc w:val="center"/>
              <w:rPr>
                <w:rFonts w:ascii="Calibri" w:eastAsia="Times New Roman" w:hAnsi="Calibri" w:cs="Calibri"/>
                <w:b/>
                <w:bCs/>
                <w:color w:val="000000"/>
                <w:lang w:val="es-CR" w:eastAsia="es-CR"/>
              </w:rPr>
            </w:pPr>
            <w:r w:rsidRPr="00D62FD0">
              <w:rPr>
                <w:rFonts w:ascii="Calibri" w:eastAsia="Times New Roman" w:hAnsi="Calibri" w:cs="Calibri"/>
                <w:b/>
                <w:bCs/>
                <w:color w:val="000000"/>
                <w:lang w:val="es-CR" w:eastAsia="es-CR"/>
              </w:rPr>
              <w:t>252</w:t>
            </w:r>
          </w:p>
        </w:tc>
      </w:tr>
    </w:tbl>
    <w:p w14:paraId="6952C96D" w14:textId="7BBF0287" w:rsidR="00AD3C56" w:rsidRDefault="009374DE" w:rsidP="00AD3C56">
      <w:pPr>
        <w:spacing w:line="360" w:lineRule="auto"/>
        <w:ind w:left="425"/>
        <w:contextualSpacing/>
        <w:jc w:val="both"/>
        <w:rPr>
          <w:rFonts w:ascii="Arial" w:hAnsi="Arial" w:cs="Arial"/>
          <w:sz w:val="24"/>
          <w:szCs w:val="24"/>
        </w:rPr>
      </w:pPr>
      <w:r>
        <w:rPr>
          <w:rFonts w:ascii="Arial" w:hAnsi="Arial" w:cs="Arial"/>
          <w:sz w:val="24"/>
          <w:szCs w:val="24"/>
        </w:rPr>
        <w:lastRenderedPageBreak/>
        <w:t xml:space="preserve">Es importante señalar </w:t>
      </w:r>
      <w:r w:rsidR="00FD1A3F">
        <w:rPr>
          <w:rFonts w:ascii="Arial" w:hAnsi="Arial" w:cs="Arial"/>
          <w:sz w:val="24"/>
          <w:szCs w:val="24"/>
        </w:rPr>
        <w:t xml:space="preserve">que a partir del Convenio Fonafifo-Sinac y con recursos de Fideicomiso se contribuye </w:t>
      </w:r>
      <w:r w:rsidR="001857D2">
        <w:rPr>
          <w:rFonts w:ascii="Arial" w:hAnsi="Arial" w:cs="Arial"/>
          <w:sz w:val="24"/>
          <w:szCs w:val="24"/>
        </w:rPr>
        <w:t>al Plan Estratégico Institucional Sinac.</w:t>
      </w:r>
      <w:r w:rsidR="00F433CD">
        <w:rPr>
          <w:rFonts w:ascii="Arial" w:hAnsi="Arial" w:cs="Arial"/>
          <w:sz w:val="24"/>
          <w:szCs w:val="24"/>
        </w:rPr>
        <w:t xml:space="preserve"> </w:t>
      </w:r>
    </w:p>
    <w:p w14:paraId="69C86451" w14:textId="77777777" w:rsidR="005949D8" w:rsidRDefault="005949D8" w:rsidP="00AD3C56">
      <w:pPr>
        <w:spacing w:line="360" w:lineRule="auto"/>
        <w:ind w:left="425"/>
        <w:contextualSpacing/>
        <w:jc w:val="both"/>
        <w:rPr>
          <w:rFonts w:ascii="Arial" w:hAnsi="Arial" w:cs="Arial"/>
          <w:sz w:val="24"/>
          <w:szCs w:val="24"/>
        </w:rPr>
      </w:pPr>
    </w:p>
    <w:p w14:paraId="6771666A" w14:textId="32EC9868" w:rsidR="00AD3C56" w:rsidRPr="000B61AA" w:rsidRDefault="00216F94" w:rsidP="00AD3C56">
      <w:pPr>
        <w:spacing w:line="360" w:lineRule="auto"/>
        <w:ind w:left="425"/>
        <w:contextualSpacing/>
        <w:jc w:val="both"/>
        <w:rPr>
          <w:rFonts w:ascii="Arial" w:hAnsi="Arial" w:cs="Arial"/>
          <w:sz w:val="24"/>
          <w:szCs w:val="24"/>
        </w:rPr>
      </w:pPr>
      <w:r>
        <w:rPr>
          <w:rFonts w:ascii="Arial" w:hAnsi="Arial" w:cs="Arial"/>
          <w:sz w:val="24"/>
          <w:szCs w:val="24"/>
        </w:rPr>
        <w:t xml:space="preserve">En el cuadro anterior </w:t>
      </w:r>
      <w:r w:rsidR="007479D0" w:rsidRPr="000B61AA">
        <w:rPr>
          <w:rFonts w:ascii="Arial" w:hAnsi="Arial" w:cs="Arial"/>
          <w:sz w:val="24"/>
          <w:szCs w:val="24"/>
        </w:rPr>
        <w:t xml:space="preserve">se aprecia, </w:t>
      </w:r>
      <w:r w:rsidR="00AD3C56" w:rsidRPr="000B61AA">
        <w:rPr>
          <w:rFonts w:ascii="Arial" w:hAnsi="Arial" w:cs="Arial"/>
          <w:sz w:val="24"/>
          <w:szCs w:val="24"/>
        </w:rPr>
        <w:t xml:space="preserve">de manera clara, que la contribución de la gestión contractual </w:t>
      </w:r>
      <w:r w:rsidR="009F3B21" w:rsidRPr="000B61AA">
        <w:rPr>
          <w:rFonts w:ascii="Arial" w:hAnsi="Arial" w:cs="Arial"/>
          <w:sz w:val="24"/>
          <w:szCs w:val="24"/>
        </w:rPr>
        <w:t xml:space="preserve">continúa siendo mayor hacia el </w:t>
      </w:r>
      <w:r w:rsidR="00AD3C56" w:rsidRPr="000B61AA">
        <w:rPr>
          <w:rFonts w:ascii="Arial" w:hAnsi="Arial" w:cs="Arial"/>
          <w:sz w:val="24"/>
          <w:szCs w:val="24"/>
        </w:rPr>
        <w:t xml:space="preserve">soporte y </w:t>
      </w:r>
      <w:r w:rsidR="0084671E" w:rsidRPr="000B61AA">
        <w:rPr>
          <w:rFonts w:ascii="Arial" w:hAnsi="Arial" w:cs="Arial"/>
          <w:sz w:val="24"/>
          <w:szCs w:val="24"/>
        </w:rPr>
        <w:t>apoyo institucional</w:t>
      </w:r>
      <w:r w:rsidR="00AD3C56" w:rsidRPr="000B61AA">
        <w:rPr>
          <w:rFonts w:ascii="Arial" w:hAnsi="Arial" w:cs="Arial"/>
          <w:sz w:val="24"/>
          <w:szCs w:val="24"/>
        </w:rPr>
        <w:t xml:space="preserve">, lo que se traduce en </w:t>
      </w:r>
      <w:r w:rsidR="00173103" w:rsidRPr="000B61AA">
        <w:rPr>
          <w:rFonts w:ascii="Arial" w:hAnsi="Arial" w:cs="Arial"/>
          <w:sz w:val="24"/>
          <w:szCs w:val="24"/>
        </w:rPr>
        <w:t xml:space="preserve">regularidad </w:t>
      </w:r>
      <w:r w:rsidR="00173103">
        <w:rPr>
          <w:rFonts w:ascii="Arial" w:hAnsi="Arial" w:cs="Arial"/>
          <w:sz w:val="24"/>
          <w:szCs w:val="24"/>
        </w:rPr>
        <w:t>de</w:t>
      </w:r>
      <w:r>
        <w:rPr>
          <w:rFonts w:ascii="Arial" w:hAnsi="Arial" w:cs="Arial"/>
          <w:sz w:val="24"/>
          <w:szCs w:val="24"/>
        </w:rPr>
        <w:t xml:space="preserve"> servicios </w:t>
      </w:r>
      <w:r w:rsidR="00AD3C56" w:rsidRPr="000B61AA">
        <w:rPr>
          <w:rFonts w:ascii="Arial" w:hAnsi="Arial" w:cs="Arial"/>
          <w:sz w:val="24"/>
          <w:szCs w:val="24"/>
        </w:rPr>
        <w:t xml:space="preserve">y </w:t>
      </w:r>
      <w:r>
        <w:rPr>
          <w:rFonts w:ascii="Arial" w:hAnsi="Arial" w:cs="Arial"/>
          <w:sz w:val="24"/>
          <w:szCs w:val="24"/>
        </w:rPr>
        <w:t xml:space="preserve">por tanto </w:t>
      </w:r>
      <w:r w:rsidR="00AD3C56" w:rsidRPr="000B61AA">
        <w:rPr>
          <w:rFonts w:ascii="Arial" w:hAnsi="Arial" w:cs="Arial"/>
          <w:sz w:val="24"/>
          <w:szCs w:val="24"/>
        </w:rPr>
        <w:t>estabilidad para la Institución en lo que corresponde a servicios administrativos y de apoyo</w:t>
      </w:r>
      <w:r w:rsidR="00173103">
        <w:rPr>
          <w:rFonts w:ascii="Arial" w:hAnsi="Arial" w:cs="Arial"/>
          <w:sz w:val="24"/>
          <w:szCs w:val="24"/>
        </w:rPr>
        <w:t xml:space="preserve"> a los procesos esenciales.</w:t>
      </w:r>
    </w:p>
    <w:p w14:paraId="0472DA29" w14:textId="77777777" w:rsidR="00124A1A" w:rsidRPr="000B61AA" w:rsidRDefault="00124A1A" w:rsidP="00AD3C56">
      <w:pPr>
        <w:spacing w:line="360" w:lineRule="auto"/>
        <w:ind w:left="425"/>
        <w:contextualSpacing/>
        <w:jc w:val="both"/>
        <w:rPr>
          <w:rFonts w:ascii="Arial" w:hAnsi="Arial" w:cs="Arial"/>
          <w:sz w:val="24"/>
          <w:szCs w:val="24"/>
        </w:rPr>
      </w:pPr>
    </w:p>
    <w:p w14:paraId="45280EB7" w14:textId="5265B803" w:rsidR="00124A1A" w:rsidRPr="000B61AA" w:rsidRDefault="007479D0" w:rsidP="00AD3C56">
      <w:pPr>
        <w:spacing w:line="360" w:lineRule="auto"/>
        <w:ind w:left="425"/>
        <w:contextualSpacing/>
        <w:jc w:val="both"/>
        <w:rPr>
          <w:rFonts w:ascii="Arial" w:hAnsi="Arial" w:cs="Arial"/>
          <w:sz w:val="24"/>
          <w:szCs w:val="24"/>
        </w:rPr>
      </w:pPr>
      <w:r w:rsidRPr="000B61AA">
        <w:rPr>
          <w:rFonts w:ascii="Arial" w:hAnsi="Arial" w:cs="Arial"/>
          <w:sz w:val="24"/>
          <w:szCs w:val="24"/>
        </w:rPr>
        <w:t xml:space="preserve">Aunque no es un macroproceso institucional se incluyó en el gráfico el convenio Fonafifo/Sinac </w:t>
      </w:r>
      <w:r w:rsidR="00B256A9" w:rsidRPr="000B61AA">
        <w:rPr>
          <w:rFonts w:ascii="Arial" w:hAnsi="Arial" w:cs="Arial"/>
          <w:sz w:val="24"/>
          <w:szCs w:val="24"/>
        </w:rPr>
        <w:t xml:space="preserve">dado que es una línea de trabajo que </w:t>
      </w:r>
      <w:r w:rsidR="00173103">
        <w:rPr>
          <w:rFonts w:ascii="Arial" w:hAnsi="Arial" w:cs="Arial"/>
          <w:sz w:val="24"/>
          <w:szCs w:val="24"/>
        </w:rPr>
        <w:t>demanda un importante esfuerzo de coordinación</w:t>
      </w:r>
      <w:r w:rsidR="00195CFE">
        <w:rPr>
          <w:rFonts w:ascii="Arial" w:hAnsi="Arial" w:cs="Arial"/>
          <w:sz w:val="24"/>
          <w:szCs w:val="24"/>
        </w:rPr>
        <w:t xml:space="preserve"> y dedicación </w:t>
      </w:r>
      <w:r w:rsidR="001E0791">
        <w:rPr>
          <w:rFonts w:ascii="Arial" w:hAnsi="Arial" w:cs="Arial"/>
          <w:sz w:val="24"/>
          <w:szCs w:val="24"/>
        </w:rPr>
        <w:t xml:space="preserve">de la Proveeduría Institucional, </w:t>
      </w:r>
      <w:proofErr w:type="gramStart"/>
      <w:r w:rsidR="00C0446C">
        <w:rPr>
          <w:rFonts w:ascii="Arial" w:hAnsi="Arial" w:cs="Arial"/>
          <w:sz w:val="24"/>
          <w:szCs w:val="24"/>
        </w:rPr>
        <w:t>que</w:t>
      </w:r>
      <w:proofErr w:type="gramEnd"/>
      <w:r w:rsidR="00C0446C">
        <w:rPr>
          <w:rFonts w:ascii="Arial" w:hAnsi="Arial" w:cs="Arial"/>
          <w:sz w:val="24"/>
          <w:szCs w:val="24"/>
        </w:rPr>
        <w:t xml:space="preserve"> además, </w:t>
      </w:r>
      <w:r w:rsidR="00195CFE">
        <w:rPr>
          <w:rFonts w:ascii="Arial" w:hAnsi="Arial" w:cs="Arial"/>
          <w:sz w:val="24"/>
          <w:szCs w:val="24"/>
        </w:rPr>
        <w:t>en su mayoría</w:t>
      </w:r>
      <w:r w:rsidR="00C0446C">
        <w:rPr>
          <w:rFonts w:ascii="Arial" w:hAnsi="Arial" w:cs="Arial"/>
          <w:sz w:val="24"/>
          <w:szCs w:val="24"/>
        </w:rPr>
        <w:t xml:space="preserve">, </w:t>
      </w:r>
      <w:r w:rsidR="005D24E4">
        <w:rPr>
          <w:rFonts w:ascii="Arial" w:hAnsi="Arial" w:cs="Arial"/>
          <w:sz w:val="24"/>
          <w:szCs w:val="24"/>
        </w:rPr>
        <w:t>son de</w:t>
      </w:r>
      <w:r w:rsidR="00195CFE">
        <w:rPr>
          <w:rFonts w:ascii="Arial" w:hAnsi="Arial" w:cs="Arial"/>
          <w:sz w:val="24"/>
          <w:szCs w:val="24"/>
        </w:rPr>
        <w:t xml:space="preserve"> cuantía significativa </w:t>
      </w:r>
      <w:r w:rsidR="00173103">
        <w:rPr>
          <w:rFonts w:ascii="Arial" w:hAnsi="Arial" w:cs="Arial"/>
          <w:sz w:val="24"/>
          <w:szCs w:val="24"/>
        </w:rPr>
        <w:t xml:space="preserve"> </w:t>
      </w:r>
    </w:p>
    <w:p w14:paraId="7981A80B" w14:textId="77777777" w:rsidR="008D6BE7" w:rsidRPr="000B61AA" w:rsidRDefault="008D6BE7" w:rsidP="00AD3C56">
      <w:pPr>
        <w:spacing w:line="360" w:lineRule="auto"/>
        <w:ind w:left="426"/>
        <w:jc w:val="both"/>
        <w:rPr>
          <w:lang w:eastAsia="es-MX"/>
        </w:rPr>
      </w:pPr>
    </w:p>
    <w:p w14:paraId="45C1D21F" w14:textId="77777777" w:rsidR="00684B39" w:rsidRPr="000B61AA" w:rsidRDefault="00684B39" w:rsidP="00AD3C56">
      <w:pPr>
        <w:numPr>
          <w:ilvl w:val="0"/>
          <w:numId w:val="16"/>
        </w:numPr>
        <w:spacing w:line="360" w:lineRule="auto"/>
        <w:ind w:left="426" w:hanging="284"/>
        <w:jc w:val="both"/>
        <w:rPr>
          <w:rFonts w:ascii="Arial" w:hAnsi="Arial" w:cs="Arial"/>
          <w:b/>
          <w:sz w:val="24"/>
          <w:szCs w:val="24"/>
        </w:rPr>
      </w:pPr>
      <w:r w:rsidRPr="000B61AA">
        <w:rPr>
          <w:rFonts w:ascii="Arial" w:hAnsi="Arial" w:cs="Arial"/>
          <w:b/>
          <w:sz w:val="24"/>
          <w:szCs w:val="24"/>
        </w:rPr>
        <w:t>EJECUCIÓN PRESUPUESTARIA</w:t>
      </w:r>
    </w:p>
    <w:p w14:paraId="37A6D338" w14:textId="1A0B21FA" w:rsidR="00684B39" w:rsidRDefault="00332326" w:rsidP="00684B39">
      <w:pPr>
        <w:spacing w:line="360" w:lineRule="auto"/>
        <w:ind w:left="426"/>
        <w:jc w:val="both"/>
        <w:rPr>
          <w:rFonts w:ascii="Arial" w:hAnsi="Arial" w:cs="Arial"/>
          <w:sz w:val="24"/>
          <w:szCs w:val="24"/>
        </w:rPr>
      </w:pPr>
      <w:r w:rsidRPr="000B61AA">
        <w:rPr>
          <w:rFonts w:ascii="Arial" w:hAnsi="Arial" w:cs="Arial"/>
          <w:sz w:val="24"/>
          <w:szCs w:val="24"/>
        </w:rPr>
        <w:t>Para efecto de determinar la ejecución presupuestaria</w:t>
      </w:r>
      <w:r w:rsidR="00357D34" w:rsidRPr="000B61AA">
        <w:rPr>
          <w:rFonts w:ascii="Arial" w:hAnsi="Arial" w:cs="Arial"/>
          <w:sz w:val="24"/>
          <w:szCs w:val="24"/>
        </w:rPr>
        <w:t>,</w:t>
      </w:r>
      <w:r w:rsidRPr="000B61AA">
        <w:rPr>
          <w:rFonts w:ascii="Arial" w:hAnsi="Arial" w:cs="Arial"/>
          <w:sz w:val="24"/>
          <w:szCs w:val="24"/>
        </w:rPr>
        <w:t xml:space="preserve"> </w:t>
      </w:r>
      <w:r w:rsidRPr="008D6BE7">
        <w:rPr>
          <w:rFonts w:ascii="Arial" w:hAnsi="Arial" w:cs="Arial"/>
          <w:b/>
          <w:bCs/>
          <w:sz w:val="24"/>
          <w:szCs w:val="24"/>
        </w:rPr>
        <w:t>asociada a la gestión contractual</w:t>
      </w:r>
      <w:r w:rsidR="008D6BE7">
        <w:rPr>
          <w:rFonts w:ascii="Arial" w:hAnsi="Arial" w:cs="Arial"/>
          <w:b/>
          <w:bCs/>
          <w:sz w:val="24"/>
          <w:szCs w:val="24"/>
        </w:rPr>
        <w:t xml:space="preserve"> (</w:t>
      </w:r>
      <w:r w:rsidR="00E95400">
        <w:rPr>
          <w:rFonts w:ascii="Arial" w:hAnsi="Arial" w:cs="Arial"/>
          <w:b/>
          <w:bCs/>
          <w:sz w:val="24"/>
          <w:szCs w:val="24"/>
        </w:rPr>
        <w:t>subpartidas presupuestarias correspondientes a compra de bienes, servicios y suministros)</w:t>
      </w:r>
      <w:r w:rsidR="00357D34" w:rsidRPr="000B61AA">
        <w:rPr>
          <w:rFonts w:ascii="Arial" w:hAnsi="Arial" w:cs="Arial"/>
          <w:sz w:val="24"/>
          <w:szCs w:val="24"/>
        </w:rPr>
        <w:t>,</w:t>
      </w:r>
      <w:r w:rsidRPr="000B61AA">
        <w:rPr>
          <w:rFonts w:ascii="Arial" w:hAnsi="Arial" w:cs="Arial"/>
          <w:sz w:val="24"/>
          <w:szCs w:val="24"/>
        </w:rPr>
        <w:t xml:space="preserve"> </w:t>
      </w:r>
      <w:r w:rsidR="001E0791">
        <w:rPr>
          <w:rFonts w:ascii="Arial" w:hAnsi="Arial" w:cs="Arial"/>
          <w:sz w:val="24"/>
          <w:szCs w:val="24"/>
        </w:rPr>
        <w:t>e</w:t>
      </w:r>
      <w:r w:rsidR="00C24909" w:rsidRPr="000B61AA">
        <w:rPr>
          <w:rFonts w:ascii="Arial" w:hAnsi="Arial" w:cs="Arial"/>
          <w:sz w:val="24"/>
          <w:szCs w:val="24"/>
        </w:rPr>
        <w:t xml:space="preserve">l Departamento Financiero Contable </w:t>
      </w:r>
      <w:r w:rsidR="001E0791">
        <w:rPr>
          <w:rFonts w:ascii="Arial" w:hAnsi="Arial" w:cs="Arial"/>
          <w:sz w:val="24"/>
          <w:szCs w:val="24"/>
        </w:rPr>
        <w:t xml:space="preserve">suministró </w:t>
      </w:r>
      <w:r w:rsidR="00C24909" w:rsidRPr="000B61AA">
        <w:rPr>
          <w:rFonts w:ascii="Arial" w:hAnsi="Arial" w:cs="Arial"/>
          <w:sz w:val="24"/>
          <w:szCs w:val="24"/>
        </w:rPr>
        <w:t xml:space="preserve">el reporte </w:t>
      </w:r>
      <w:r w:rsidR="001E0791">
        <w:rPr>
          <w:rFonts w:ascii="Arial" w:hAnsi="Arial" w:cs="Arial"/>
          <w:sz w:val="24"/>
          <w:szCs w:val="24"/>
        </w:rPr>
        <w:t xml:space="preserve">de ejecución </w:t>
      </w:r>
      <w:r w:rsidR="00C24909" w:rsidRPr="000B61AA">
        <w:rPr>
          <w:rFonts w:ascii="Arial" w:hAnsi="Arial" w:cs="Arial"/>
          <w:sz w:val="24"/>
          <w:szCs w:val="24"/>
        </w:rPr>
        <w:t>respectivo</w:t>
      </w:r>
      <w:r w:rsidR="000B61AA">
        <w:rPr>
          <w:rFonts w:ascii="Arial" w:hAnsi="Arial" w:cs="Arial"/>
          <w:sz w:val="24"/>
          <w:szCs w:val="24"/>
        </w:rPr>
        <w:t>, cuyos resultados se muestran a continuació</w:t>
      </w:r>
      <w:r w:rsidR="001E0791">
        <w:rPr>
          <w:rFonts w:ascii="Arial" w:hAnsi="Arial" w:cs="Arial"/>
          <w:sz w:val="24"/>
          <w:szCs w:val="24"/>
        </w:rPr>
        <w:t>n</w:t>
      </w:r>
      <w:r w:rsidR="000B61AA">
        <w:rPr>
          <w:rFonts w:ascii="Arial" w:hAnsi="Arial" w:cs="Arial"/>
          <w:sz w:val="24"/>
          <w:szCs w:val="24"/>
        </w:rPr>
        <w:t>:</w:t>
      </w:r>
    </w:p>
    <w:p w14:paraId="5D82BAE7" w14:textId="77777777" w:rsidR="00232913" w:rsidRDefault="00232913" w:rsidP="00684B39">
      <w:pPr>
        <w:spacing w:line="360" w:lineRule="auto"/>
        <w:ind w:left="426"/>
        <w:jc w:val="both"/>
        <w:rPr>
          <w:rFonts w:ascii="Arial" w:hAnsi="Arial" w:cs="Arial"/>
          <w:sz w:val="24"/>
          <w:szCs w:val="24"/>
        </w:rPr>
      </w:pPr>
    </w:p>
    <w:p w14:paraId="3BB7F177" w14:textId="77777777" w:rsidR="001E0791" w:rsidRDefault="001E0791" w:rsidP="00684B39">
      <w:pPr>
        <w:spacing w:line="360" w:lineRule="auto"/>
        <w:ind w:left="426"/>
        <w:jc w:val="both"/>
        <w:rPr>
          <w:rFonts w:ascii="Arial" w:hAnsi="Arial" w:cs="Arial"/>
          <w:sz w:val="24"/>
          <w:szCs w:val="24"/>
        </w:rPr>
      </w:pPr>
    </w:p>
    <w:p w14:paraId="6F07A3FF" w14:textId="77777777" w:rsidR="002E3859" w:rsidRDefault="002E3859" w:rsidP="00684B39">
      <w:pPr>
        <w:spacing w:line="360" w:lineRule="auto"/>
        <w:ind w:left="426"/>
        <w:jc w:val="both"/>
        <w:rPr>
          <w:rFonts w:ascii="Arial" w:hAnsi="Arial" w:cs="Arial"/>
          <w:sz w:val="24"/>
          <w:szCs w:val="24"/>
        </w:rPr>
      </w:pPr>
    </w:p>
    <w:p w14:paraId="030ACF7A" w14:textId="77777777" w:rsidR="002E3859" w:rsidRDefault="002E3859" w:rsidP="00684B39">
      <w:pPr>
        <w:spacing w:line="360" w:lineRule="auto"/>
        <w:ind w:left="426"/>
        <w:jc w:val="both"/>
        <w:rPr>
          <w:rFonts w:ascii="Arial" w:hAnsi="Arial" w:cs="Arial"/>
          <w:sz w:val="24"/>
          <w:szCs w:val="24"/>
        </w:rPr>
      </w:pPr>
    </w:p>
    <w:p w14:paraId="5CADC8EA" w14:textId="1A4A33DA" w:rsidR="002E3859" w:rsidRDefault="005D24E4" w:rsidP="00684B39">
      <w:pPr>
        <w:spacing w:line="360" w:lineRule="auto"/>
        <w:ind w:left="426"/>
        <w:jc w:val="both"/>
        <w:rPr>
          <w:rFonts w:ascii="Arial" w:hAnsi="Arial" w:cs="Arial"/>
          <w:sz w:val="24"/>
          <w:szCs w:val="24"/>
        </w:rPr>
      </w:pPr>
      <w:r w:rsidRPr="005D24E4">
        <w:rPr>
          <w:rFonts w:ascii="Arial" w:hAnsi="Arial" w:cs="Arial"/>
          <w:noProof/>
          <w:sz w:val="24"/>
          <w:szCs w:val="24"/>
        </w:rPr>
        <w:lastRenderedPageBreak/>
        <w:drawing>
          <wp:inline distT="0" distB="0" distL="0" distR="0" wp14:anchorId="2BB3E3E0" wp14:editId="736A3255">
            <wp:extent cx="5581015" cy="1410970"/>
            <wp:effectExtent l="0" t="0" r="635" b="0"/>
            <wp:docPr id="392643153"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43153" name="Imagen 1" descr="Tabla&#10;&#10;El contenido generado por IA puede ser incorrecto."/>
                    <pic:cNvPicPr/>
                  </pic:nvPicPr>
                  <pic:blipFill>
                    <a:blip r:embed="rId10"/>
                    <a:stretch>
                      <a:fillRect/>
                    </a:stretch>
                  </pic:blipFill>
                  <pic:spPr>
                    <a:xfrm>
                      <a:off x="0" y="0"/>
                      <a:ext cx="5581015" cy="1410970"/>
                    </a:xfrm>
                    <a:prstGeom prst="rect">
                      <a:avLst/>
                    </a:prstGeom>
                  </pic:spPr>
                </pic:pic>
              </a:graphicData>
            </a:graphic>
          </wp:inline>
        </w:drawing>
      </w:r>
    </w:p>
    <w:p w14:paraId="2EA089E3" w14:textId="77777777" w:rsidR="00E51F52" w:rsidRPr="00E51F52" w:rsidRDefault="00E51F52" w:rsidP="00E51F52">
      <w:pPr>
        <w:spacing w:line="360" w:lineRule="auto"/>
        <w:ind w:left="426"/>
        <w:jc w:val="both"/>
        <w:rPr>
          <w:rFonts w:ascii="Arial" w:hAnsi="Arial" w:cs="Arial"/>
          <w:sz w:val="20"/>
          <w:szCs w:val="20"/>
        </w:rPr>
      </w:pPr>
      <w:r w:rsidRPr="00E51F52">
        <w:rPr>
          <w:rFonts w:ascii="Arial" w:hAnsi="Arial" w:cs="Arial"/>
          <w:sz w:val="20"/>
          <w:szCs w:val="20"/>
        </w:rPr>
        <w:t xml:space="preserve">Fuente: </w:t>
      </w:r>
      <w:r>
        <w:rPr>
          <w:rFonts w:ascii="Arial" w:hAnsi="Arial" w:cs="Arial"/>
          <w:sz w:val="20"/>
          <w:szCs w:val="20"/>
        </w:rPr>
        <w:t>Reporte de ejecución 2025, emitido por el Dpto. Financiero Contable</w:t>
      </w:r>
    </w:p>
    <w:p w14:paraId="27B1E13A" w14:textId="77777777" w:rsidR="009E4999" w:rsidRDefault="00310935" w:rsidP="00684B39">
      <w:pPr>
        <w:spacing w:line="360" w:lineRule="auto"/>
        <w:ind w:left="426"/>
        <w:jc w:val="both"/>
        <w:rPr>
          <w:rFonts w:ascii="Arial" w:hAnsi="Arial" w:cs="Arial"/>
          <w:sz w:val="24"/>
          <w:szCs w:val="24"/>
        </w:rPr>
      </w:pPr>
      <w:r>
        <w:rPr>
          <w:rFonts w:ascii="Arial" w:hAnsi="Arial" w:cs="Arial"/>
          <w:sz w:val="24"/>
          <w:szCs w:val="24"/>
        </w:rPr>
        <w:t xml:space="preserve">Se muestran en el cuadro anterior, los resultados de ejecución presupuestaria en los </w:t>
      </w:r>
      <w:r w:rsidR="00E11BE2">
        <w:rPr>
          <w:rFonts w:ascii="Arial" w:hAnsi="Arial" w:cs="Arial"/>
          <w:sz w:val="24"/>
          <w:szCs w:val="24"/>
        </w:rPr>
        <w:t xml:space="preserve">grupos presupuestarios 1. Servicios, 2. Materiales y Suministros y </w:t>
      </w:r>
      <w:r w:rsidR="009E4999">
        <w:rPr>
          <w:rFonts w:ascii="Arial" w:hAnsi="Arial" w:cs="Arial"/>
          <w:sz w:val="24"/>
          <w:szCs w:val="24"/>
        </w:rPr>
        <w:t>5. Bienes duraderos.</w:t>
      </w:r>
    </w:p>
    <w:p w14:paraId="27D8C96A" w14:textId="730D8D2D" w:rsidR="008129FE" w:rsidRDefault="00A24D32" w:rsidP="00684B39">
      <w:pPr>
        <w:spacing w:line="360" w:lineRule="auto"/>
        <w:ind w:left="426"/>
        <w:jc w:val="both"/>
        <w:rPr>
          <w:rFonts w:ascii="Arial" w:hAnsi="Arial" w:cs="Arial"/>
          <w:i/>
          <w:iCs/>
          <w:sz w:val="24"/>
          <w:szCs w:val="24"/>
        </w:rPr>
      </w:pPr>
      <w:r>
        <w:rPr>
          <w:rFonts w:ascii="Arial" w:hAnsi="Arial" w:cs="Arial"/>
          <w:sz w:val="24"/>
          <w:szCs w:val="24"/>
        </w:rPr>
        <w:t xml:space="preserve">En cuanto a la ejecución de bienes duraderos, </w:t>
      </w:r>
      <w:r w:rsidR="0023716E">
        <w:rPr>
          <w:rFonts w:ascii="Arial" w:hAnsi="Arial" w:cs="Arial"/>
          <w:sz w:val="24"/>
          <w:szCs w:val="24"/>
        </w:rPr>
        <w:t xml:space="preserve">la </w:t>
      </w:r>
      <w:r>
        <w:rPr>
          <w:rFonts w:ascii="Arial" w:hAnsi="Arial" w:cs="Arial"/>
          <w:sz w:val="24"/>
          <w:szCs w:val="24"/>
        </w:rPr>
        <w:t xml:space="preserve">línea presupuestaria </w:t>
      </w:r>
      <w:r w:rsidR="0023716E">
        <w:rPr>
          <w:rFonts w:ascii="Arial" w:hAnsi="Arial" w:cs="Arial"/>
          <w:sz w:val="24"/>
          <w:szCs w:val="24"/>
        </w:rPr>
        <w:t xml:space="preserve">denominada </w:t>
      </w:r>
      <w:r w:rsidR="0023716E" w:rsidRPr="0023716E">
        <w:rPr>
          <w:rFonts w:ascii="Arial" w:hAnsi="Arial" w:cs="Arial"/>
          <w:i/>
          <w:iCs/>
          <w:sz w:val="24"/>
          <w:szCs w:val="24"/>
        </w:rPr>
        <w:t xml:space="preserve">“Renovación de las licencias de acceso de los equipos de comunicación – </w:t>
      </w:r>
      <w:proofErr w:type="spellStart"/>
      <w:r w:rsidR="0023716E" w:rsidRPr="0023716E">
        <w:rPr>
          <w:rFonts w:ascii="Arial" w:hAnsi="Arial" w:cs="Arial"/>
          <w:i/>
          <w:iCs/>
          <w:sz w:val="24"/>
          <w:szCs w:val="24"/>
        </w:rPr>
        <w:t>dashboard</w:t>
      </w:r>
      <w:proofErr w:type="spellEnd"/>
      <w:r w:rsidR="0023716E" w:rsidRPr="0023716E">
        <w:rPr>
          <w:rFonts w:ascii="Arial" w:hAnsi="Arial" w:cs="Arial"/>
          <w:i/>
          <w:iCs/>
          <w:sz w:val="24"/>
          <w:szCs w:val="24"/>
        </w:rPr>
        <w:t>”</w:t>
      </w:r>
      <w:r w:rsidR="0023716E">
        <w:rPr>
          <w:rFonts w:ascii="Arial" w:hAnsi="Arial" w:cs="Arial"/>
          <w:i/>
          <w:iCs/>
          <w:sz w:val="24"/>
          <w:szCs w:val="24"/>
        </w:rPr>
        <w:t xml:space="preserve"> </w:t>
      </w:r>
      <w:r w:rsidR="0023716E">
        <w:rPr>
          <w:rFonts w:ascii="Arial" w:hAnsi="Arial" w:cs="Arial"/>
          <w:sz w:val="24"/>
          <w:szCs w:val="24"/>
        </w:rPr>
        <w:t>se ejecutó en un 47%</w:t>
      </w:r>
      <w:r w:rsidR="00644DAC">
        <w:rPr>
          <w:rFonts w:ascii="Arial" w:hAnsi="Arial" w:cs="Arial"/>
          <w:sz w:val="24"/>
          <w:szCs w:val="24"/>
        </w:rPr>
        <w:t xml:space="preserve">, lo que influye en el resultado total de ejecución, esto se debió a que se </w:t>
      </w:r>
      <w:r w:rsidR="009E4A3F">
        <w:rPr>
          <w:rFonts w:ascii="Arial" w:hAnsi="Arial" w:cs="Arial"/>
          <w:sz w:val="24"/>
          <w:szCs w:val="24"/>
        </w:rPr>
        <w:t xml:space="preserve">cumplió </w:t>
      </w:r>
      <w:r w:rsidR="00644DAC">
        <w:rPr>
          <w:rFonts w:ascii="Arial" w:hAnsi="Arial" w:cs="Arial"/>
          <w:sz w:val="24"/>
          <w:szCs w:val="24"/>
        </w:rPr>
        <w:t xml:space="preserve">el </w:t>
      </w:r>
      <w:r w:rsidR="009E4A3F">
        <w:rPr>
          <w:rFonts w:ascii="Arial" w:hAnsi="Arial" w:cs="Arial"/>
          <w:sz w:val="24"/>
          <w:szCs w:val="24"/>
        </w:rPr>
        <w:t xml:space="preserve">objetivo con </w:t>
      </w:r>
      <w:r w:rsidR="00644DAC">
        <w:rPr>
          <w:rFonts w:ascii="Arial" w:hAnsi="Arial" w:cs="Arial"/>
          <w:sz w:val="24"/>
          <w:szCs w:val="24"/>
        </w:rPr>
        <w:t>un monto menor de lo presupuestado.</w:t>
      </w:r>
      <w:r w:rsidR="0023716E">
        <w:rPr>
          <w:rFonts w:ascii="Arial" w:hAnsi="Arial" w:cs="Arial"/>
          <w:i/>
          <w:iCs/>
          <w:sz w:val="24"/>
          <w:szCs w:val="24"/>
        </w:rPr>
        <w:t xml:space="preserve"> </w:t>
      </w:r>
    </w:p>
    <w:p w14:paraId="6806D31F" w14:textId="178E56E5" w:rsidR="00620CDB" w:rsidRPr="00620CDB" w:rsidRDefault="00620CDB" w:rsidP="00684B39">
      <w:pPr>
        <w:spacing w:line="360" w:lineRule="auto"/>
        <w:ind w:left="426"/>
        <w:jc w:val="both"/>
        <w:rPr>
          <w:rFonts w:ascii="Arial" w:hAnsi="Arial" w:cs="Arial"/>
          <w:sz w:val="24"/>
          <w:szCs w:val="24"/>
        </w:rPr>
      </w:pPr>
      <w:r>
        <w:rPr>
          <w:rFonts w:ascii="Arial" w:hAnsi="Arial" w:cs="Arial"/>
          <w:sz w:val="24"/>
          <w:szCs w:val="24"/>
        </w:rPr>
        <w:t xml:space="preserve">En el grupo </w:t>
      </w:r>
      <w:r w:rsidR="00CC557E">
        <w:rPr>
          <w:rFonts w:ascii="Arial" w:hAnsi="Arial" w:cs="Arial"/>
          <w:sz w:val="24"/>
          <w:szCs w:val="24"/>
        </w:rPr>
        <w:t xml:space="preserve">2. Materiales y Suministros </w:t>
      </w:r>
      <w:r w:rsidR="00323F75">
        <w:rPr>
          <w:rFonts w:ascii="Arial" w:hAnsi="Arial" w:cs="Arial"/>
          <w:sz w:val="24"/>
          <w:szCs w:val="24"/>
        </w:rPr>
        <w:t>el</w:t>
      </w:r>
      <w:r w:rsidR="00CC557E">
        <w:rPr>
          <w:rFonts w:ascii="Arial" w:hAnsi="Arial" w:cs="Arial"/>
          <w:sz w:val="24"/>
          <w:szCs w:val="24"/>
        </w:rPr>
        <w:t xml:space="preserve"> aspecto que influyó fue la </w:t>
      </w:r>
      <w:r w:rsidR="00323F75">
        <w:rPr>
          <w:rFonts w:ascii="Arial" w:hAnsi="Arial" w:cs="Arial"/>
          <w:sz w:val="24"/>
          <w:szCs w:val="24"/>
        </w:rPr>
        <w:t xml:space="preserve">menor </w:t>
      </w:r>
      <w:r w:rsidR="00CC557E">
        <w:rPr>
          <w:rFonts w:ascii="Arial" w:hAnsi="Arial" w:cs="Arial"/>
          <w:sz w:val="24"/>
          <w:szCs w:val="24"/>
        </w:rPr>
        <w:t xml:space="preserve">ejecución de las líneas de combustible </w:t>
      </w:r>
      <w:r w:rsidR="00323F75">
        <w:rPr>
          <w:rFonts w:ascii="Arial" w:hAnsi="Arial" w:cs="Arial"/>
          <w:sz w:val="24"/>
          <w:szCs w:val="24"/>
        </w:rPr>
        <w:t xml:space="preserve">de las diferentes dependencias. </w:t>
      </w:r>
    </w:p>
    <w:p w14:paraId="32CC470B" w14:textId="1C002D4C" w:rsidR="00620CDB" w:rsidRPr="003150F0" w:rsidRDefault="003150F0" w:rsidP="00684B39">
      <w:pPr>
        <w:spacing w:line="360" w:lineRule="auto"/>
        <w:ind w:left="426"/>
        <w:jc w:val="both"/>
        <w:rPr>
          <w:rFonts w:ascii="Arial" w:hAnsi="Arial" w:cs="Arial"/>
          <w:sz w:val="24"/>
          <w:szCs w:val="24"/>
        </w:rPr>
      </w:pPr>
      <w:r>
        <w:rPr>
          <w:rFonts w:ascii="Arial" w:hAnsi="Arial" w:cs="Arial"/>
          <w:sz w:val="24"/>
          <w:szCs w:val="24"/>
        </w:rPr>
        <w:t xml:space="preserve">En el siguiente cuadro puede </w:t>
      </w:r>
      <w:r w:rsidR="00E51F52">
        <w:rPr>
          <w:rFonts w:ascii="Arial" w:hAnsi="Arial" w:cs="Arial"/>
          <w:sz w:val="24"/>
          <w:szCs w:val="24"/>
        </w:rPr>
        <w:t>apreciarse, la</w:t>
      </w:r>
      <w:r>
        <w:rPr>
          <w:rFonts w:ascii="Arial" w:hAnsi="Arial" w:cs="Arial"/>
          <w:sz w:val="24"/>
          <w:szCs w:val="24"/>
        </w:rPr>
        <w:t xml:space="preserve"> ejecución </w:t>
      </w:r>
      <w:r w:rsidR="00534FA2">
        <w:rPr>
          <w:rFonts w:ascii="Arial" w:hAnsi="Arial" w:cs="Arial"/>
          <w:sz w:val="24"/>
          <w:szCs w:val="24"/>
        </w:rPr>
        <w:t xml:space="preserve">presupuestaria </w:t>
      </w:r>
      <w:r>
        <w:rPr>
          <w:rFonts w:ascii="Arial" w:hAnsi="Arial" w:cs="Arial"/>
          <w:sz w:val="24"/>
          <w:szCs w:val="24"/>
        </w:rPr>
        <w:t xml:space="preserve">en los grupos de </w:t>
      </w:r>
      <w:r w:rsidR="00534FA2">
        <w:rPr>
          <w:rFonts w:ascii="Arial" w:hAnsi="Arial" w:cs="Arial"/>
          <w:sz w:val="24"/>
          <w:szCs w:val="24"/>
        </w:rPr>
        <w:t xml:space="preserve">servicios, materiales y suministros, en cuanto al presupuesto ordinario Fonafifo. </w:t>
      </w:r>
    </w:p>
    <w:p w14:paraId="1698D02C" w14:textId="77777777" w:rsidR="009E4A3F" w:rsidRDefault="009E4A3F" w:rsidP="00684B39">
      <w:pPr>
        <w:spacing w:line="360" w:lineRule="auto"/>
        <w:ind w:left="426"/>
        <w:jc w:val="both"/>
        <w:rPr>
          <w:rFonts w:ascii="Arial" w:hAnsi="Arial" w:cs="Arial"/>
          <w:sz w:val="24"/>
          <w:szCs w:val="24"/>
        </w:rPr>
      </w:pPr>
    </w:p>
    <w:p w14:paraId="627B1BEC" w14:textId="77777777" w:rsidR="00534FA2" w:rsidRDefault="00534FA2" w:rsidP="00684B39">
      <w:pPr>
        <w:spacing w:line="360" w:lineRule="auto"/>
        <w:ind w:left="426"/>
        <w:jc w:val="both"/>
        <w:rPr>
          <w:rFonts w:ascii="Arial" w:hAnsi="Arial" w:cs="Arial"/>
          <w:sz w:val="24"/>
          <w:szCs w:val="24"/>
        </w:rPr>
      </w:pPr>
    </w:p>
    <w:p w14:paraId="015C0511" w14:textId="77777777" w:rsidR="00534FA2" w:rsidRDefault="00534FA2" w:rsidP="00684B39">
      <w:pPr>
        <w:spacing w:line="360" w:lineRule="auto"/>
        <w:ind w:left="426"/>
        <w:jc w:val="both"/>
        <w:rPr>
          <w:rFonts w:ascii="Arial" w:hAnsi="Arial" w:cs="Arial"/>
          <w:sz w:val="24"/>
          <w:szCs w:val="24"/>
        </w:rPr>
      </w:pPr>
    </w:p>
    <w:p w14:paraId="6D7699CC" w14:textId="77777777" w:rsidR="00534FA2" w:rsidRDefault="00534FA2" w:rsidP="00684B39">
      <w:pPr>
        <w:spacing w:line="360" w:lineRule="auto"/>
        <w:ind w:left="426"/>
        <w:jc w:val="both"/>
        <w:rPr>
          <w:rFonts w:ascii="Arial" w:hAnsi="Arial" w:cs="Arial"/>
          <w:sz w:val="24"/>
          <w:szCs w:val="24"/>
        </w:rPr>
      </w:pPr>
    </w:p>
    <w:p w14:paraId="187587C7" w14:textId="44F4D74B" w:rsidR="00534FA2" w:rsidRPr="009E4A3F" w:rsidRDefault="00E51F52" w:rsidP="00684B39">
      <w:pPr>
        <w:spacing w:line="360" w:lineRule="auto"/>
        <w:ind w:left="426"/>
        <w:jc w:val="both"/>
        <w:rPr>
          <w:rFonts w:ascii="Arial" w:hAnsi="Arial" w:cs="Arial"/>
          <w:sz w:val="24"/>
          <w:szCs w:val="24"/>
        </w:rPr>
      </w:pPr>
      <w:r w:rsidRPr="00E51F52">
        <w:rPr>
          <w:rFonts w:ascii="Arial" w:hAnsi="Arial" w:cs="Arial"/>
          <w:noProof/>
          <w:sz w:val="24"/>
          <w:szCs w:val="24"/>
        </w:rPr>
        <w:drawing>
          <wp:inline distT="0" distB="0" distL="0" distR="0" wp14:anchorId="7FF4317B" wp14:editId="561B48B3">
            <wp:extent cx="5506218" cy="3086531"/>
            <wp:effectExtent l="0" t="0" r="0" b="0"/>
            <wp:docPr id="7815306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30641" name=""/>
                    <pic:cNvPicPr/>
                  </pic:nvPicPr>
                  <pic:blipFill>
                    <a:blip r:embed="rId11"/>
                    <a:stretch>
                      <a:fillRect/>
                    </a:stretch>
                  </pic:blipFill>
                  <pic:spPr>
                    <a:xfrm>
                      <a:off x="0" y="0"/>
                      <a:ext cx="5506218" cy="3086531"/>
                    </a:xfrm>
                    <a:prstGeom prst="rect">
                      <a:avLst/>
                    </a:prstGeom>
                  </pic:spPr>
                </pic:pic>
              </a:graphicData>
            </a:graphic>
          </wp:inline>
        </w:drawing>
      </w:r>
    </w:p>
    <w:p w14:paraId="0F048193" w14:textId="5094C023" w:rsidR="009E4A3F" w:rsidRPr="00BD02BB" w:rsidRDefault="00E51F52" w:rsidP="00BD02BB">
      <w:pPr>
        <w:spacing w:line="240" w:lineRule="auto"/>
        <w:ind w:left="425"/>
        <w:contextualSpacing/>
        <w:jc w:val="both"/>
        <w:rPr>
          <w:rFonts w:ascii="Arial" w:hAnsi="Arial" w:cs="Arial"/>
          <w:sz w:val="18"/>
          <w:szCs w:val="18"/>
        </w:rPr>
      </w:pPr>
      <w:r w:rsidRPr="00BD02BB">
        <w:rPr>
          <w:rFonts w:ascii="Arial" w:hAnsi="Arial" w:cs="Arial"/>
          <w:sz w:val="18"/>
          <w:szCs w:val="18"/>
        </w:rPr>
        <w:t>Fuente: Reporte de ejecución 2025, emitido por el Dpto. Financiero Contable</w:t>
      </w:r>
    </w:p>
    <w:p w14:paraId="4DE2A61D" w14:textId="54C2572A" w:rsidR="00BD02BB" w:rsidRPr="00BD02BB" w:rsidRDefault="00BD02BB" w:rsidP="00BD02BB">
      <w:pPr>
        <w:spacing w:line="240" w:lineRule="auto"/>
        <w:ind w:left="425"/>
        <w:contextualSpacing/>
        <w:jc w:val="both"/>
        <w:rPr>
          <w:rFonts w:ascii="Arial" w:hAnsi="Arial" w:cs="Arial"/>
          <w:sz w:val="18"/>
          <w:szCs w:val="18"/>
        </w:rPr>
      </w:pPr>
      <w:r w:rsidRPr="00BD02BB">
        <w:rPr>
          <w:rFonts w:ascii="Arial" w:hAnsi="Arial" w:cs="Arial"/>
          <w:sz w:val="18"/>
          <w:szCs w:val="18"/>
        </w:rPr>
        <w:t>Dirección General= Dirección Ejecutiva</w:t>
      </w:r>
    </w:p>
    <w:p w14:paraId="4425C27B" w14:textId="77777777" w:rsidR="00AF4F13" w:rsidRDefault="00AF4F13" w:rsidP="00BD02BB">
      <w:pPr>
        <w:spacing w:line="240" w:lineRule="auto"/>
        <w:ind w:left="425"/>
        <w:contextualSpacing/>
        <w:jc w:val="both"/>
        <w:rPr>
          <w:rFonts w:ascii="Arial" w:hAnsi="Arial" w:cs="Arial"/>
          <w:sz w:val="20"/>
          <w:szCs w:val="20"/>
        </w:rPr>
      </w:pPr>
    </w:p>
    <w:p w14:paraId="5DAC9347" w14:textId="6851AFDC" w:rsidR="00BD02BB" w:rsidRDefault="00BD02BB" w:rsidP="00684B39">
      <w:pPr>
        <w:spacing w:line="360" w:lineRule="auto"/>
        <w:ind w:left="426"/>
        <w:jc w:val="both"/>
        <w:rPr>
          <w:rFonts w:ascii="Arial" w:hAnsi="Arial" w:cs="Arial"/>
          <w:sz w:val="24"/>
          <w:szCs w:val="24"/>
        </w:rPr>
      </w:pPr>
      <w:r w:rsidRPr="00BD02BB">
        <w:rPr>
          <w:rFonts w:ascii="Arial" w:hAnsi="Arial" w:cs="Arial"/>
          <w:sz w:val="24"/>
          <w:szCs w:val="24"/>
        </w:rPr>
        <w:t>En</w:t>
      </w:r>
      <w:r>
        <w:rPr>
          <w:rFonts w:ascii="Arial" w:hAnsi="Arial" w:cs="Arial"/>
          <w:sz w:val="24"/>
          <w:szCs w:val="24"/>
        </w:rPr>
        <w:t xml:space="preserve"> lo correspondiente a recursos del Fideicomiso 544 Fonafifo/BNCR </w:t>
      </w:r>
      <w:r w:rsidR="00EE5B93">
        <w:rPr>
          <w:rFonts w:ascii="Arial" w:hAnsi="Arial" w:cs="Arial"/>
          <w:sz w:val="24"/>
          <w:szCs w:val="24"/>
        </w:rPr>
        <w:t>se tiene el siguiente resultado</w:t>
      </w:r>
      <w:r w:rsidR="00FD7140">
        <w:rPr>
          <w:rFonts w:ascii="Arial" w:hAnsi="Arial" w:cs="Arial"/>
          <w:sz w:val="24"/>
          <w:szCs w:val="24"/>
        </w:rPr>
        <w:t>:</w:t>
      </w:r>
    </w:p>
    <w:p w14:paraId="125AB9C9" w14:textId="449F428A" w:rsidR="00FD7140" w:rsidRPr="00BD02BB" w:rsidRDefault="00FD7140" w:rsidP="00684B39">
      <w:pPr>
        <w:spacing w:line="360" w:lineRule="auto"/>
        <w:ind w:left="426"/>
        <w:jc w:val="both"/>
        <w:rPr>
          <w:rFonts w:ascii="Arial" w:hAnsi="Arial" w:cs="Arial"/>
          <w:sz w:val="24"/>
          <w:szCs w:val="24"/>
        </w:rPr>
      </w:pPr>
      <w:r w:rsidRPr="00FD7140">
        <w:rPr>
          <w:noProof/>
        </w:rPr>
        <w:lastRenderedPageBreak/>
        <w:drawing>
          <wp:inline distT="0" distB="0" distL="0" distR="0" wp14:anchorId="3282C8C9" wp14:editId="620DA74F">
            <wp:extent cx="4898003" cy="2775294"/>
            <wp:effectExtent l="0" t="0" r="0" b="6350"/>
            <wp:docPr id="86404660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9088" cy="2781575"/>
                    </a:xfrm>
                    <a:prstGeom prst="rect">
                      <a:avLst/>
                    </a:prstGeom>
                    <a:noFill/>
                    <a:ln>
                      <a:noFill/>
                    </a:ln>
                  </pic:spPr>
                </pic:pic>
              </a:graphicData>
            </a:graphic>
          </wp:inline>
        </w:drawing>
      </w:r>
    </w:p>
    <w:p w14:paraId="56FC066F" w14:textId="5E08A410" w:rsidR="00947914" w:rsidRDefault="00FD7140" w:rsidP="006B737C">
      <w:pPr>
        <w:spacing w:after="160" w:line="259" w:lineRule="auto"/>
        <w:jc w:val="both"/>
        <w:rPr>
          <w:rFonts w:ascii="Arial" w:hAnsi="Arial" w:cs="Arial"/>
          <w:bCs/>
          <w:sz w:val="24"/>
          <w:szCs w:val="24"/>
        </w:rPr>
      </w:pPr>
      <w:r>
        <w:rPr>
          <w:rFonts w:ascii="Arial" w:hAnsi="Arial" w:cs="Arial"/>
          <w:bCs/>
          <w:sz w:val="24"/>
          <w:szCs w:val="24"/>
        </w:rPr>
        <w:t xml:space="preserve">Del cuadro anterior se tiene que </w:t>
      </w:r>
      <w:r w:rsidR="00947914">
        <w:rPr>
          <w:rFonts w:ascii="Arial" w:hAnsi="Arial" w:cs="Arial"/>
          <w:bCs/>
          <w:sz w:val="24"/>
          <w:szCs w:val="24"/>
        </w:rPr>
        <w:t>la ejecución de recursos derivados del Convenio Fonafifo Sinac tiene una importante influencia en el porcentaje de ejecución total</w:t>
      </w:r>
      <w:r w:rsidR="00987E1D">
        <w:rPr>
          <w:rFonts w:ascii="Arial" w:hAnsi="Arial" w:cs="Arial"/>
          <w:bCs/>
          <w:sz w:val="24"/>
          <w:szCs w:val="24"/>
        </w:rPr>
        <w:t xml:space="preserve"> y que corresponde a contrataciones</w:t>
      </w:r>
      <w:r w:rsidR="00880CAF">
        <w:rPr>
          <w:rFonts w:ascii="Arial" w:hAnsi="Arial" w:cs="Arial"/>
          <w:bCs/>
          <w:sz w:val="24"/>
          <w:szCs w:val="24"/>
        </w:rPr>
        <w:t>,</w:t>
      </w:r>
      <w:r w:rsidR="00262028">
        <w:rPr>
          <w:rFonts w:ascii="Arial" w:hAnsi="Arial" w:cs="Arial"/>
          <w:bCs/>
          <w:sz w:val="24"/>
          <w:szCs w:val="24"/>
        </w:rPr>
        <w:t xml:space="preserve"> que por su cuantía o complejidad los insumos para iniciar estos procedimientos de compra que prepara Sinac</w:t>
      </w:r>
      <w:r w:rsidR="006B737C">
        <w:rPr>
          <w:rFonts w:ascii="Arial" w:hAnsi="Arial" w:cs="Arial"/>
          <w:bCs/>
          <w:sz w:val="24"/>
          <w:szCs w:val="24"/>
        </w:rPr>
        <w:t xml:space="preserve"> </w:t>
      </w:r>
      <w:r w:rsidR="00C17A91">
        <w:rPr>
          <w:rFonts w:ascii="Arial" w:hAnsi="Arial" w:cs="Arial"/>
          <w:bCs/>
          <w:sz w:val="24"/>
          <w:szCs w:val="24"/>
        </w:rPr>
        <w:t xml:space="preserve">involucran </w:t>
      </w:r>
      <w:r w:rsidR="006B737C">
        <w:rPr>
          <w:rFonts w:ascii="Arial" w:hAnsi="Arial" w:cs="Arial"/>
          <w:bCs/>
          <w:sz w:val="24"/>
          <w:szCs w:val="24"/>
        </w:rPr>
        <w:t xml:space="preserve">un proceso de coordinación </w:t>
      </w:r>
      <w:r w:rsidR="00C17A91">
        <w:rPr>
          <w:rFonts w:ascii="Arial" w:hAnsi="Arial" w:cs="Arial"/>
          <w:bCs/>
          <w:sz w:val="24"/>
          <w:szCs w:val="24"/>
        </w:rPr>
        <w:t>c</w:t>
      </w:r>
      <w:r w:rsidR="006B737C">
        <w:rPr>
          <w:rFonts w:ascii="Arial" w:hAnsi="Arial" w:cs="Arial"/>
          <w:bCs/>
          <w:sz w:val="24"/>
          <w:szCs w:val="24"/>
        </w:rPr>
        <w:t>on las diferentes dependencias</w:t>
      </w:r>
      <w:r w:rsidR="00C17A91">
        <w:rPr>
          <w:rFonts w:ascii="Arial" w:hAnsi="Arial" w:cs="Arial"/>
          <w:bCs/>
          <w:sz w:val="24"/>
          <w:szCs w:val="24"/>
        </w:rPr>
        <w:t>, lo que influye en su duración</w:t>
      </w:r>
      <w:r w:rsidR="008D178A">
        <w:rPr>
          <w:rFonts w:ascii="Arial" w:hAnsi="Arial" w:cs="Arial"/>
          <w:bCs/>
          <w:sz w:val="24"/>
          <w:szCs w:val="24"/>
        </w:rPr>
        <w:t>. S</w:t>
      </w:r>
      <w:r w:rsidR="00880CAF">
        <w:rPr>
          <w:rFonts w:ascii="Arial" w:hAnsi="Arial" w:cs="Arial"/>
          <w:bCs/>
          <w:sz w:val="24"/>
          <w:szCs w:val="24"/>
        </w:rPr>
        <w:t xml:space="preserve">i se muestran los resultados sin </w:t>
      </w:r>
      <w:r w:rsidR="008D178A">
        <w:rPr>
          <w:rFonts w:ascii="Arial" w:hAnsi="Arial" w:cs="Arial"/>
          <w:bCs/>
          <w:sz w:val="24"/>
          <w:szCs w:val="24"/>
        </w:rPr>
        <w:t>incluir la ejecución de recursos Sinac</w:t>
      </w:r>
      <w:r w:rsidR="008865A2">
        <w:rPr>
          <w:rFonts w:ascii="Arial" w:hAnsi="Arial" w:cs="Arial"/>
          <w:bCs/>
          <w:sz w:val="24"/>
          <w:szCs w:val="24"/>
        </w:rPr>
        <w:t>, se obtiene:</w:t>
      </w:r>
    </w:p>
    <w:p w14:paraId="2C6E7432" w14:textId="35DD9FE0" w:rsidR="00947914" w:rsidRDefault="008865A2">
      <w:pPr>
        <w:spacing w:after="160" w:line="259" w:lineRule="auto"/>
        <w:rPr>
          <w:rFonts w:ascii="Arial" w:hAnsi="Arial" w:cs="Arial"/>
          <w:bCs/>
          <w:sz w:val="24"/>
          <w:szCs w:val="24"/>
        </w:rPr>
      </w:pPr>
      <w:r w:rsidRPr="008865A2">
        <w:rPr>
          <w:noProof/>
        </w:rPr>
        <w:lastRenderedPageBreak/>
        <w:drawing>
          <wp:inline distT="0" distB="0" distL="0" distR="0" wp14:anchorId="7A9938FE" wp14:editId="11DC425D">
            <wp:extent cx="5581015" cy="2984500"/>
            <wp:effectExtent l="0" t="0" r="635" b="6350"/>
            <wp:docPr id="149726203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015" cy="2984500"/>
                    </a:xfrm>
                    <a:prstGeom prst="rect">
                      <a:avLst/>
                    </a:prstGeom>
                    <a:noFill/>
                    <a:ln>
                      <a:noFill/>
                    </a:ln>
                  </pic:spPr>
                </pic:pic>
              </a:graphicData>
            </a:graphic>
          </wp:inline>
        </w:drawing>
      </w:r>
    </w:p>
    <w:p w14:paraId="466A8DE1" w14:textId="77777777" w:rsidR="008D178A" w:rsidRDefault="008D178A">
      <w:pPr>
        <w:spacing w:after="160" w:line="259" w:lineRule="auto"/>
        <w:rPr>
          <w:rFonts w:ascii="Arial" w:hAnsi="Arial" w:cs="Arial"/>
          <w:bCs/>
          <w:sz w:val="24"/>
          <w:szCs w:val="24"/>
        </w:rPr>
      </w:pPr>
    </w:p>
    <w:p w14:paraId="19270451" w14:textId="68291749" w:rsidR="00E51F52" w:rsidRDefault="008D178A" w:rsidP="00B83A1D">
      <w:pPr>
        <w:spacing w:after="160" w:line="259" w:lineRule="auto"/>
        <w:jc w:val="both"/>
        <w:rPr>
          <w:rFonts w:ascii="Arial" w:hAnsi="Arial" w:cs="Arial"/>
          <w:bCs/>
          <w:sz w:val="24"/>
          <w:szCs w:val="24"/>
        </w:rPr>
      </w:pPr>
      <w:r>
        <w:rPr>
          <w:rFonts w:ascii="Arial" w:hAnsi="Arial" w:cs="Arial"/>
          <w:bCs/>
          <w:sz w:val="24"/>
          <w:szCs w:val="24"/>
        </w:rPr>
        <w:t xml:space="preserve">En la ejecución </w:t>
      </w:r>
      <w:r w:rsidR="00B83A1D">
        <w:rPr>
          <w:rFonts w:ascii="Arial" w:hAnsi="Arial" w:cs="Arial"/>
          <w:bCs/>
          <w:sz w:val="24"/>
          <w:szCs w:val="24"/>
        </w:rPr>
        <w:t>de recursos de fideicomiso puede señalarse que algun</w:t>
      </w:r>
      <w:r w:rsidR="003E1D40">
        <w:rPr>
          <w:rFonts w:ascii="Arial" w:hAnsi="Arial" w:cs="Arial"/>
          <w:bCs/>
          <w:sz w:val="24"/>
          <w:szCs w:val="24"/>
        </w:rPr>
        <w:t xml:space="preserve">as subpartidas no se ejecutaron en su totalidad debido a varias razones (disminución de valores fiscales de algunos vehículos en el pago de marchamos, </w:t>
      </w:r>
      <w:r w:rsidR="0046347F">
        <w:rPr>
          <w:rFonts w:ascii="Arial" w:hAnsi="Arial" w:cs="Arial"/>
          <w:bCs/>
          <w:sz w:val="24"/>
          <w:szCs w:val="24"/>
        </w:rPr>
        <w:t xml:space="preserve">no se pagaron deducibles por eventos de tránsito, </w:t>
      </w:r>
      <w:r w:rsidR="005C1EC6">
        <w:rPr>
          <w:rFonts w:ascii="Arial" w:hAnsi="Arial" w:cs="Arial"/>
          <w:bCs/>
          <w:sz w:val="24"/>
          <w:szCs w:val="24"/>
        </w:rPr>
        <w:t xml:space="preserve">no fue necesario reponer placas, </w:t>
      </w:r>
      <w:r w:rsidR="0059783B">
        <w:rPr>
          <w:rFonts w:ascii="Arial" w:hAnsi="Arial" w:cs="Arial"/>
          <w:bCs/>
          <w:sz w:val="24"/>
          <w:szCs w:val="24"/>
        </w:rPr>
        <w:t xml:space="preserve">debido a una valoración adicional en la ejecución de una contratación de bienes el pago se realizó hasta en el </w:t>
      </w:r>
      <w:r w:rsidR="007D57FD">
        <w:rPr>
          <w:rFonts w:ascii="Arial" w:hAnsi="Arial" w:cs="Arial"/>
          <w:bCs/>
          <w:sz w:val="24"/>
          <w:szCs w:val="24"/>
        </w:rPr>
        <w:t>2026, las cámaras de vigilancia</w:t>
      </w:r>
      <w:r w:rsidR="009E6C23">
        <w:rPr>
          <w:rFonts w:ascii="Arial" w:hAnsi="Arial" w:cs="Arial"/>
          <w:bCs/>
          <w:sz w:val="24"/>
          <w:szCs w:val="24"/>
        </w:rPr>
        <w:t xml:space="preserve"> y el mobiliario</w:t>
      </w:r>
      <w:r w:rsidR="007D57FD">
        <w:rPr>
          <w:rFonts w:ascii="Arial" w:hAnsi="Arial" w:cs="Arial"/>
          <w:bCs/>
          <w:sz w:val="24"/>
          <w:szCs w:val="24"/>
        </w:rPr>
        <w:t xml:space="preserve"> se adquirieron a un menor costo del presupuestado</w:t>
      </w:r>
      <w:r w:rsidR="009E6C23">
        <w:rPr>
          <w:rFonts w:ascii="Arial" w:hAnsi="Arial" w:cs="Arial"/>
          <w:bCs/>
          <w:sz w:val="24"/>
          <w:szCs w:val="24"/>
        </w:rPr>
        <w:t xml:space="preserve">, </w:t>
      </w:r>
      <w:r w:rsidR="008A37BC">
        <w:rPr>
          <w:rFonts w:ascii="Arial" w:hAnsi="Arial" w:cs="Arial"/>
          <w:bCs/>
          <w:sz w:val="24"/>
          <w:szCs w:val="24"/>
        </w:rPr>
        <w:t>algunos materiales como kits de supervivencia y otros artículos de protección</w:t>
      </w:r>
      <w:r w:rsidR="00B80EE8">
        <w:rPr>
          <w:rFonts w:ascii="Arial" w:hAnsi="Arial" w:cs="Arial"/>
          <w:bCs/>
          <w:sz w:val="24"/>
          <w:szCs w:val="24"/>
        </w:rPr>
        <w:t xml:space="preserve"> no se pudieron adquirir por incumplimientos de los proveedores que participaron en los procedimientos de compra, entre otros.</w:t>
      </w:r>
      <w:r w:rsidR="008A37BC">
        <w:rPr>
          <w:rFonts w:ascii="Arial" w:hAnsi="Arial" w:cs="Arial"/>
          <w:bCs/>
          <w:sz w:val="24"/>
          <w:szCs w:val="24"/>
        </w:rPr>
        <w:t xml:space="preserve"> </w:t>
      </w:r>
      <w:r w:rsidR="00E51F52">
        <w:rPr>
          <w:rFonts w:ascii="Arial" w:hAnsi="Arial" w:cs="Arial"/>
          <w:bCs/>
          <w:sz w:val="24"/>
          <w:szCs w:val="24"/>
        </w:rPr>
        <w:br w:type="page"/>
      </w:r>
    </w:p>
    <w:p w14:paraId="68FEE46D" w14:textId="77777777" w:rsidR="00D65597" w:rsidRDefault="00D65597" w:rsidP="00684B39">
      <w:pPr>
        <w:spacing w:line="360" w:lineRule="auto"/>
        <w:ind w:left="426"/>
        <w:jc w:val="both"/>
        <w:rPr>
          <w:rFonts w:ascii="Arial" w:hAnsi="Arial" w:cs="Arial"/>
          <w:bCs/>
          <w:sz w:val="24"/>
          <w:szCs w:val="24"/>
        </w:rPr>
      </w:pPr>
    </w:p>
    <w:p w14:paraId="4C74BAA2" w14:textId="77777777" w:rsidR="00AD3C56" w:rsidRPr="000B61AA" w:rsidRDefault="00AD3C56" w:rsidP="00AD3C56">
      <w:pPr>
        <w:spacing w:line="360" w:lineRule="auto"/>
        <w:jc w:val="center"/>
        <w:rPr>
          <w:rFonts w:ascii="Arial" w:hAnsi="Arial" w:cs="Arial"/>
          <w:b/>
          <w:sz w:val="28"/>
          <w:szCs w:val="28"/>
        </w:rPr>
      </w:pPr>
      <w:r w:rsidRPr="000B61AA">
        <w:rPr>
          <w:rFonts w:ascii="Arial" w:hAnsi="Arial" w:cs="Arial"/>
          <w:b/>
          <w:sz w:val="28"/>
          <w:szCs w:val="28"/>
        </w:rPr>
        <w:t>CONCLUSIONES</w:t>
      </w:r>
    </w:p>
    <w:p w14:paraId="3528A894" w14:textId="77777777" w:rsidR="0085515B" w:rsidRPr="000B61AA" w:rsidRDefault="00AD3C56" w:rsidP="00AD3C56">
      <w:pPr>
        <w:pStyle w:val="Prrafodelista"/>
        <w:numPr>
          <w:ilvl w:val="0"/>
          <w:numId w:val="17"/>
        </w:numPr>
        <w:spacing w:line="360" w:lineRule="auto"/>
        <w:jc w:val="both"/>
        <w:rPr>
          <w:rFonts w:ascii="Arial" w:hAnsi="Arial" w:cs="Arial"/>
          <w:lang w:val="es-ES_tradnl"/>
        </w:rPr>
      </w:pPr>
      <w:r w:rsidRPr="000B61AA">
        <w:rPr>
          <w:rFonts w:ascii="Arial" w:hAnsi="Arial" w:cs="Arial"/>
          <w:lang w:val="es-ES_tradnl"/>
        </w:rPr>
        <w:t xml:space="preserve">El </w:t>
      </w:r>
      <w:r w:rsidR="0085515B" w:rsidRPr="000B61AA">
        <w:rPr>
          <w:rFonts w:ascii="Arial" w:hAnsi="Arial" w:cs="Arial"/>
          <w:lang w:val="es-ES_tradnl"/>
        </w:rPr>
        <w:t xml:space="preserve">indicador de desempeño referido a la gestión de las Decisiones Iniciales es de un </w:t>
      </w:r>
      <w:r w:rsidR="00365316">
        <w:rPr>
          <w:rFonts w:ascii="Arial" w:hAnsi="Arial" w:cs="Arial"/>
          <w:lang w:val="es-ES_tradnl"/>
        </w:rPr>
        <w:t>100</w:t>
      </w:r>
      <w:r w:rsidR="0085515B" w:rsidRPr="000B61AA">
        <w:rPr>
          <w:rFonts w:ascii="Arial" w:hAnsi="Arial" w:cs="Arial"/>
          <w:lang w:val="es-ES_tradnl"/>
        </w:rPr>
        <w:t>%</w:t>
      </w:r>
    </w:p>
    <w:p w14:paraId="73D7F36E" w14:textId="77777777" w:rsidR="0085515B" w:rsidRPr="000B61AA" w:rsidRDefault="0085515B" w:rsidP="0085515B">
      <w:pPr>
        <w:pStyle w:val="Prrafodelista"/>
        <w:spacing w:line="360" w:lineRule="auto"/>
        <w:jc w:val="both"/>
        <w:rPr>
          <w:rFonts w:ascii="Arial" w:hAnsi="Arial" w:cs="Arial"/>
          <w:lang w:val="es-ES_tradnl"/>
        </w:rPr>
      </w:pPr>
    </w:p>
    <w:p w14:paraId="3EA2AF9B" w14:textId="1B4BDEDA" w:rsidR="00AD3C56" w:rsidRPr="000B61AA" w:rsidRDefault="0085515B" w:rsidP="00AD3C56">
      <w:pPr>
        <w:pStyle w:val="Prrafodelista"/>
        <w:numPr>
          <w:ilvl w:val="0"/>
          <w:numId w:val="17"/>
        </w:numPr>
        <w:spacing w:line="360" w:lineRule="auto"/>
        <w:jc w:val="both"/>
        <w:rPr>
          <w:rFonts w:ascii="Arial" w:hAnsi="Arial" w:cs="Arial"/>
          <w:lang w:val="es-ES_tradnl"/>
        </w:rPr>
      </w:pPr>
      <w:r w:rsidRPr="000B61AA">
        <w:rPr>
          <w:rFonts w:ascii="Arial" w:hAnsi="Arial" w:cs="Arial"/>
          <w:lang w:val="es-ES_tradnl"/>
        </w:rPr>
        <w:t xml:space="preserve">El indicador </w:t>
      </w:r>
      <w:r w:rsidR="00AD3C56" w:rsidRPr="000B61AA">
        <w:rPr>
          <w:rFonts w:ascii="Arial" w:hAnsi="Arial" w:cs="Arial"/>
          <w:lang w:val="es-ES_tradnl"/>
        </w:rPr>
        <w:t xml:space="preserve">de eficacia obtenido en el periodo 2021 al adquirir bienes y servicios es de </w:t>
      </w:r>
      <w:r w:rsidR="00365316">
        <w:rPr>
          <w:rFonts w:ascii="Arial" w:hAnsi="Arial" w:cs="Arial"/>
          <w:lang w:val="es-ES_tradnl"/>
        </w:rPr>
        <w:t>8</w:t>
      </w:r>
      <w:r w:rsidR="008E214F">
        <w:rPr>
          <w:rFonts w:ascii="Arial" w:hAnsi="Arial" w:cs="Arial"/>
          <w:lang w:val="es-ES_tradnl"/>
        </w:rPr>
        <w:t>9</w:t>
      </w:r>
      <w:r w:rsidR="00365316">
        <w:rPr>
          <w:rFonts w:ascii="Arial" w:hAnsi="Arial" w:cs="Arial"/>
          <w:lang w:val="es-ES_tradnl"/>
        </w:rPr>
        <w:t>.</w:t>
      </w:r>
      <w:r w:rsidR="008E214F">
        <w:rPr>
          <w:rFonts w:ascii="Arial" w:hAnsi="Arial" w:cs="Arial"/>
          <w:lang w:val="es-ES_tradnl"/>
        </w:rPr>
        <w:t>11</w:t>
      </w:r>
      <w:r w:rsidR="00AD3C56" w:rsidRPr="000B61AA">
        <w:rPr>
          <w:rFonts w:ascii="Arial" w:hAnsi="Arial" w:cs="Arial"/>
          <w:lang w:val="es-ES_tradnl"/>
        </w:rPr>
        <w:t>%.</w:t>
      </w:r>
    </w:p>
    <w:p w14:paraId="0237B5D6" w14:textId="77777777" w:rsidR="00AD3C56" w:rsidRPr="000B61AA" w:rsidRDefault="00AD3C56" w:rsidP="00AD3C56">
      <w:pPr>
        <w:pStyle w:val="Prrafodelista"/>
        <w:spacing w:line="360" w:lineRule="auto"/>
        <w:jc w:val="both"/>
        <w:rPr>
          <w:rFonts w:ascii="Arial" w:hAnsi="Arial" w:cs="Arial"/>
          <w:lang w:val="es-ES_tradnl"/>
        </w:rPr>
      </w:pPr>
    </w:p>
    <w:p w14:paraId="2E479521" w14:textId="2CB44040" w:rsidR="00AD3C56" w:rsidRPr="000B61AA" w:rsidRDefault="00AD3C56" w:rsidP="00AD3C56">
      <w:pPr>
        <w:pStyle w:val="Prrafodelista"/>
        <w:numPr>
          <w:ilvl w:val="0"/>
          <w:numId w:val="17"/>
        </w:numPr>
        <w:spacing w:line="360" w:lineRule="auto"/>
        <w:jc w:val="both"/>
        <w:rPr>
          <w:rFonts w:ascii="Arial" w:hAnsi="Arial" w:cs="Arial"/>
          <w:lang w:val="es-ES_tradnl"/>
        </w:rPr>
      </w:pPr>
      <w:r w:rsidRPr="000B61AA">
        <w:rPr>
          <w:rFonts w:ascii="Arial" w:hAnsi="Arial" w:cs="Arial"/>
          <w:lang w:val="es-ES_tradnl"/>
        </w:rPr>
        <w:t>La cantidad de solicitudes de contratación recibidas en el 202</w:t>
      </w:r>
      <w:r w:rsidR="00365316">
        <w:rPr>
          <w:rFonts w:ascii="Arial" w:hAnsi="Arial" w:cs="Arial"/>
          <w:lang w:val="es-ES_tradnl"/>
        </w:rPr>
        <w:t>4</w:t>
      </w:r>
      <w:r w:rsidRPr="000B61AA">
        <w:rPr>
          <w:rFonts w:ascii="Arial" w:hAnsi="Arial" w:cs="Arial"/>
          <w:lang w:val="es-ES_tradnl"/>
        </w:rPr>
        <w:t xml:space="preserve"> fue de </w:t>
      </w:r>
      <w:r w:rsidR="0085515B" w:rsidRPr="000B61AA">
        <w:rPr>
          <w:rFonts w:ascii="Arial" w:hAnsi="Arial" w:cs="Arial"/>
          <w:lang w:val="es-ES_tradnl"/>
        </w:rPr>
        <w:t>2</w:t>
      </w:r>
      <w:r w:rsidR="00E51F52">
        <w:rPr>
          <w:rFonts w:ascii="Arial" w:hAnsi="Arial" w:cs="Arial"/>
          <w:lang w:val="es-ES_tradnl"/>
        </w:rPr>
        <w:t>52, de las cuales se dejaron sin efecto inicialmente 4</w:t>
      </w:r>
      <w:r w:rsidR="0085515B" w:rsidRPr="000B61AA">
        <w:rPr>
          <w:rFonts w:ascii="Arial" w:hAnsi="Arial" w:cs="Arial"/>
          <w:lang w:val="es-ES_tradnl"/>
        </w:rPr>
        <w:t>.</w:t>
      </w:r>
      <w:r w:rsidRPr="000B61AA">
        <w:rPr>
          <w:rFonts w:ascii="Arial" w:hAnsi="Arial" w:cs="Arial"/>
          <w:lang w:val="es-ES_tradnl"/>
        </w:rPr>
        <w:t xml:space="preserve"> </w:t>
      </w:r>
    </w:p>
    <w:p w14:paraId="0B30EA49" w14:textId="77777777" w:rsidR="00AD3C56" w:rsidRPr="000B61AA" w:rsidRDefault="00AD3C56" w:rsidP="00AD3C56">
      <w:pPr>
        <w:pStyle w:val="Prrafodelista"/>
        <w:spacing w:line="360" w:lineRule="auto"/>
        <w:ind w:left="1080"/>
        <w:jc w:val="both"/>
        <w:rPr>
          <w:rFonts w:ascii="Arial" w:hAnsi="Arial" w:cs="Arial"/>
          <w:lang w:val="es-ES_tradnl"/>
        </w:rPr>
      </w:pPr>
    </w:p>
    <w:p w14:paraId="6E98AE16" w14:textId="7199B9BD" w:rsidR="00AD3C56" w:rsidRPr="00D65597" w:rsidRDefault="00AD3C56" w:rsidP="00AD3C56">
      <w:pPr>
        <w:pStyle w:val="Prrafodelista"/>
        <w:numPr>
          <w:ilvl w:val="0"/>
          <w:numId w:val="17"/>
        </w:numPr>
        <w:spacing w:line="360" w:lineRule="auto"/>
        <w:jc w:val="both"/>
        <w:rPr>
          <w:rFonts w:ascii="Arial" w:hAnsi="Arial" w:cs="Arial"/>
          <w:lang w:val="es-ES_tradnl"/>
        </w:rPr>
      </w:pPr>
      <w:r w:rsidRPr="00D65597">
        <w:rPr>
          <w:rFonts w:ascii="Arial" w:hAnsi="Arial" w:cs="Arial"/>
          <w:lang w:val="es-ES_tradnl"/>
        </w:rPr>
        <w:t>La cantidad de contrataciones efectuadas en el 202</w:t>
      </w:r>
      <w:r w:rsidR="00E51F52">
        <w:rPr>
          <w:rFonts w:ascii="Arial" w:hAnsi="Arial" w:cs="Arial"/>
          <w:lang w:val="es-ES_tradnl"/>
        </w:rPr>
        <w:t>5</w:t>
      </w:r>
      <w:r w:rsidRPr="00D65597">
        <w:rPr>
          <w:rFonts w:ascii="Arial" w:hAnsi="Arial" w:cs="Arial"/>
          <w:lang w:val="es-ES_tradnl"/>
        </w:rPr>
        <w:t xml:space="preserve"> fue de </w:t>
      </w:r>
      <w:r w:rsidR="00E51F52">
        <w:rPr>
          <w:rFonts w:ascii="Arial" w:hAnsi="Arial" w:cs="Arial"/>
          <w:lang w:val="es-ES_tradnl"/>
        </w:rPr>
        <w:t>48</w:t>
      </w:r>
      <w:r w:rsidR="00573393">
        <w:rPr>
          <w:rFonts w:ascii="Arial" w:hAnsi="Arial" w:cs="Arial"/>
          <w:lang w:val="es-ES_tradnl"/>
        </w:rPr>
        <w:t>.</w:t>
      </w:r>
    </w:p>
    <w:p w14:paraId="725B6B57" w14:textId="77777777" w:rsidR="00AD3C56" w:rsidRPr="000B61AA" w:rsidRDefault="00AD3C56" w:rsidP="00AD3C56">
      <w:pPr>
        <w:pStyle w:val="Prrafodelista"/>
        <w:spacing w:line="360" w:lineRule="auto"/>
        <w:rPr>
          <w:rFonts w:ascii="Arial" w:hAnsi="Arial" w:cs="Arial"/>
          <w:lang w:val="es-ES_tradnl"/>
        </w:rPr>
      </w:pPr>
    </w:p>
    <w:p w14:paraId="2587FC63" w14:textId="77777777" w:rsidR="00AD3C56" w:rsidRPr="000B61AA" w:rsidRDefault="00AD3C56" w:rsidP="00AD3C56">
      <w:pPr>
        <w:pStyle w:val="Prrafodelista"/>
        <w:numPr>
          <w:ilvl w:val="0"/>
          <w:numId w:val="17"/>
        </w:numPr>
        <w:spacing w:line="360" w:lineRule="auto"/>
        <w:jc w:val="both"/>
        <w:rPr>
          <w:rFonts w:ascii="Arial" w:hAnsi="Arial" w:cs="Arial"/>
          <w:lang w:val="es-ES_tradnl"/>
        </w:rPr>
      </w:pPr>
      <w:r w:rsidRPr="000B61AA">
        <w:rPr>
          <w:rFonts w:ascii="Arial" w:hAnsi="Arial" w:cs="Arial"/>
          <w:lang w:val="es-ES_tradnl"/>
        </w:rPr>
        <w:t xml:space="preserve">La gestión contractual brinda respaldo a la operatividad institucional a través de contratos de </w:t>
      </w:r>
      <w:r w:rsidR="004762AC">
        <w:rPr>
          <w:rFonts w:ascii="Arial" w:hAnsi="Arial" w:cs="Arial"/>
          <w:lang w:val="es-ES_tradnl"/>
        </w:rPr>
        <w:t>objeto continuo</w:t>
      </w:r>
      <w:r w:rsidRPr="000B61AA">
        <w:rPr>
          <w:rFonts w:ascii="Arial" w:hAnsi="Arial" w:cs="Arial"/>
          <w:lang w:val="es-ES_tradnl"/>
        </w:rPr>
        <w:t xml:space="preserve"> y entrega según demanda que proporcionan estabilidad y regularidad en la Institución.</w:t>
      </w:r>
    </w:p>
    <w:p w14:paraId="6CEA2A45" w14:textId="77777777" w:rsidR="00AD3C56" w:rsidRPr="000B61AA" w:rsidRDefault="00AD3C56" w:rsidP="00AD3C56">
      <w:pPr>
        <w:pStyle w:val="Prrafodelista"/>
        <w:spacing w:line="360" w:lineRule="auto"/>
        <w:rPr>
          <w:rFonts w:ascii="Arial" w:hAnsi="Arial" w:cs="Arial"/>
          <w:lang w:val="es-ES_tradnl"/>
        </w:rPr>
      </w:pPr>
    </w:p>
    <w:p w14:paraId="6E647DC4" w14:textId="5F0FB6C0" w:rsidR="00573393" w:rsidRDefault="00AD3C56" w:rsidP="00D021BF">
      <w:pPr>
        <w:pStyle w:val="Prrafodelista"/>
        <w:numPr>
          <w:ilvl w:val="0"/>
          <w:numId w:val="17"/>
        </w:numPr>
        <w:spacing w:line="360" w:lineRule="auto"/>
        <w:jc w:val="both"/>
        <w:rPr>
          <w:rFonts w:ascii="Arial" w:hAnsi="Arial" w:cs="Arial"/>
          <w:lang w:val="es-ES_tradnl"/>
        </w:rPr>
      </w:pPr>
      <w:r w:rsidRPr="004762AC">
        <w:rPr>
          <w:rFonts w:ascii="Arial" w:hAnsi="Arial" w:cs="Arial"/>
          <w:lang w:val="es-ES_tradnl"/>
        </w:rPr>
        <w:t>La gestión contractual si contribuye al logro de los objetivos estratégicos puesto que tramita requerimientos de todas las Direcciones y para el cumplimiento de dichos objetivos.</w:t>
      </w:r>
    </w:p>
    <w:p w14:paraId="78E2C7B4" w14:textId="77777777" w:rsidR="00573393" w:rsidRDefault="00573393">
      <w:pPr>
        <w:spacing w:after="160" w:line="259" w:lineRule="auto"/>
        <w:rPr>
          <w:rFonts w:ascii="Arial" w:eastAsia="MS Mincho" w:hAnsi="Arial" w:cs="Arial"/>
          <w:sz w:val="24"/>
          <w:szCs w:val="24"/>
          <w:lang w:eastAsia="es-ES"/>
        </w:rPr>
      </w:pPr>
      <w:r>
        <w:rPr>
          <w:rFonts w:ascii="Arial" w:hAnsi="Arial" w:cs="Arial"/>
        </w:rPr>
        <w:br w:type="page"/>
      </w:r>
    </w:p>
    <w:p w14:paraId="037C3136" w14:textId="2A375D80" w:rsidR="00573393" w:rsidRPr="00B80EE8" w:rsidRDefault="00573393" w:rsidP="00573393">
      <w:pPr>
        <w:spacing w:line="360" w:lineRule="auto"/>
        <w:jc w:val="center"/>
        <w:rPr>
          <w:rFonts w:ascii="Arial" w:hAnsi="Arial" w:cs="Arial"/>
          <w:b/>
          <w:sz w:val="28"/>
          <w:szCs w:val="28"/>
        </w:rPr>
      </w:pPr>
      <w:r w:rsidRPr="00B80EE8">
        <w:rPr>
          <w:rFonts w:ascii="Arial" w:hAnsi="Arial" w:cs="Arial"/>
          <w:b/>
          <w:sz w:val="28"/>
          <w:szCs w:val="28"/>
        </w:rPr>
        <w:lastRenderedPageBreak/>
        <w:t>RECOMENDA</w:t>
      </w:r>
      <w:r w:rsidR="0084683B" w:rsidRPr="00B80EE8">
        <w:rPr>
          <w:rFonts w:ascii="Arial" w:hAnsi="Arial" w:cs="Arial"/>
          <w:b/>
          <w:sz w:val="28"/>
          <w:szCs w:val="28"/>
        </w:rPr>
        <w:t>CIO</w:t>
      </w:r>
      <w:r w:rsidRPr="00B80EE8">
        <w:rPr>
          <w:rFonts w:ascii="Arial" w:hAnsi="Arial" w:cs="Arial"/>
          <w:b/>
          <w:sz w:val="28"/>
          <w:szCs w:val="28"/>
        </w:rPr>
        <w:t>NES</w:t>
      </w:r>
    </w:p>
    <w:p w14:paraId="473533C4" w14:textId="77777777" w:rsidR="00486B54" w:rsidRPr="00B80EE8" w:rsidRDefault="00486B54" w:rsidP="00573393">
      <w:pPr>
        <w:pStyle w:val="Prrafodelista"/>
        <w:spacing w:line="360" w:lineRule="auto"/>
        <w:jc w:val="center"/>
      </w:pPr>
    </w:p>
    <w:p w14:paraId="6B6F12CB" w14:textId="5E63D940" w:rsidR="00573393" w:rsidRPr="00B80EE8" w:rsidRDefault="00573393" w:rsidP="003D7BB3">
      <w:pPr>
        <w:pStyle w:val="Prrafodelista"/>
        <w:numPr>
          <w:ilvl w:val="0"/>
          <w:numId w:val="23"/>
        </w:numPr>
        <w:spacing w:line="360" w:lineRule="auto"/>
        <w:ind w:left="426"/>
        <w:jc w:val="both"/>
        <w:rPr>
          <w:rFonts w:ascii="Arial" w:hAnsi="Arial" w:cs="Arial"/>
          <w:bCs/>
        </w:rPr>
      </w:pPr>
      <w:r w:rsidRPr="00B80EE8">
        <w:rPr>
          <w:rFonts w:ascii="Arial" w:hAnsi="Arial" w:cs="Arial"/>
          <w:bCs/>
        </w:rPr>
        <w:t xml:space="preserve">A fin de procurar mayor efectividad y eficiencia en los resultados, </w:t>
      </w:r>
      <w:r w:rsidR="009770DF">
        <w:rPr>
          <w:rFonts w:ascii="Arial" w:hAnsi="Arial" w:cs="Arial"/>
          <w:bCs/>
        </w:rPr>
        <w:t>de cara al periodo 2026</w:t>
      </w:r>
      <w:r w:rsidRPr="00B80EE8">
        <w:rPr>
          <w:rFonts w:ascii="Arial" w:hAnsi="Arial" w:cs="Arial"/>
          <w:bCs/>
        </w:rPr>
        <w:t xml:space="preserve">, </w:t>
      </w:r>
      <w:r w:rsidR="0058552F">
        <w:rPr>
          <w:rFonts w:ascii="Arial" w:hAnsi="Arial" w:cs="Arial"/>
          <w:bCs/>
        </w:rPr>
        <w:t xml:space="preserve">se hace necesario un mayor seguimiento de la ejecución presupuestaria por Dependencia razón por la cual se programarán </w:t>
      </w:r>
      <w:r w:rsidR="009F7EA7">
        <w:rPr>
          <w:rFonts w:ascii="Arial" w:hAnsi="Arial" w:cs="Arial"/>
          <w:bCs/>
        </w:rPr>
        <w:t>sesiones de trabajo para revisión de la ejecución.</w:t>
      </w:r>
    </w:p>
    <w:p w14:paraId="3348D012" w14:textId="77777777" w:rsidR="00D1772C" w:rsidRPr="00B80EE8" w:rsidRDefault="00D1772C" w:rsidP="00D1772C">
      <w:pPr>
        <w:pStyle w:val="Prrafodelista"/>
        <w:spacing w:line="360" w:lineRule="auto"/>
        <w:ind w:left="426"/>
        <w:jc w:val="both"/>
        <w:rPr>
          <w:rFonts w:ascii="Arial" w:hAnsi="Arial" w:cs="Arial"/>
          <w:bCs/>
        </w:rPr>
      </w:pPr>
    </w:p>
    <w:p w14:paraId="5B28A610" w14:textId="05E69827" w:rsidR="00BE2706" w:rsidRDefault="001079F0" w:rsidP="003D7BB3">
      <w:pPr>
        <w:pStyle w:val="Prrafodelista"/>
        <w:numPr>
          <w:ilvl w:val="0"/>
          <w:numId w:val="23"/>
        </w:numPr>
        <w:spacing w:line="360" w:lineRule="auto"/>
        <w:ind w:left="426"/>
        <w:jc w:val="both"/>
        <w:rPr>
          <w:rFonts w:ascii="Arial" w:hAnsi="Arial" w:cs="Arial"/>
          <w:bCs/>
        </w:rPr>
      </w:pPr>
      <w:r w:rsidRPr="00B80EE8">
        <w:rPr>
          <w:rFonts w:ascii="Arial" w:hAnsi="Arial" w:cs="Arial"/>
          <w:bCs/>
        </w:rPr>
        <w:t xml:space="preserve">Se requiere que cada encargado de presupuesto en cada Dependencia realice un seguimiento más detallado y exhaustivo </w:t>
      </w:r>
      <w:r w:rsidR="00BE2706" w:rsidRPr="00B80EE8">
        <w:rPr>
          <w:rFonts w:ascii="Arial" w:hAnsi="Arial" w:cs="Arial"/>
          <w:bCs/>
        </w:rPr>
        <w:t xml:space="preserve">que les permita tomar decisiones oportunas </w:t>
      </w:r>
      <w:r w:rsidRPr="00B80EE8">
        <w:rPr>
          <w:rFonts w:ascii="Arial" w:hAnsi="Arial" w:cs="Arial"/>
          <w:bCs/>
        </w:rPr>
        <w:t>para procurar una mayor ejecución</w:t>
      </w:r>
      <w:r w:rsidR="00BE2706" w:rsidRPr="00B80EE8">
        <w:rPr>
          <w:rFonts w:ascii="Arial" w:hAnsi="Arial" w:cs="Arial"/>
          <w:bCs/>
        </w:rPr>
        <w:t>.</w:t>
      </w:r>
    </w:p>
    <w:p w14:paraId="0FD298A0" w14:textId="77777777" w:rsidR="005C570B" w:rsidRPr="005C570B" w:rsidRDefault="005C570B" w:rsidP="005C570B">
      <w:pPr>
        <w:pStyle w:val="Prrafodelista"/>
        <w:rPr>
          <w:rFonts w:ascii="Arial" w:hAnsi="Arial" w:cs="Arial"/>
          <w:bCs/>
        </w:rPr>
      </w:pPr>
    </w:p>
    <w:p w14:paraId="3D032A4E" w14:textId="77777777" w:rsidR="005C570B" w:rsidRDefault="005C570B" w:rsidP="005C570B">
      <w:pPr>
        <w:pStyle w:val="Prrafodelista"/>
        <w:numPr>
          <w:ilvl w:val="0"/>
          <w:numId w:val="23"/>
        </w:numPr>
        <w:spacing w:line="360" w:lineRule="auto"/>
        <w:ind w:left="426"/>
        <w:jc w:val="both"/>
        <w:rPr>
          <w:rFonts w:ascii="Arial" w:hAnsi="Arial" w:cs="Arial"/>
          <w:bCs/>
        </w:rPr>
      </w:pPr>
      <w:r>
        <w:rPr>
          <w:rFonts w:ascii="Arial" w:hAnsi="Arial" w:cs="Arial"/>
          <w:bCs/>
        </w:rPr>
        <w:t>Para facilitar el acceso y conocimiento del ordenamiento jurídico en materia de contratación pública, por parte de las Dependencias solicitantes, cuyos profesionales tienen casi siempre formación en otras áreas, se trabajará en dotarles de algunos materiales de manejo más práctico que la normativa.</w:t>
      </w:r>
    </w:p>
    <w:p w14:paraId="36249ECD" w14:textId="77777777" w:rsidR="005C570B" w:rsidRPr="00B80EE8" w:rsidRDefault="005C570B" w:rsidP="005C570B">
      <w:pPr>
        <w:pStyle w:val="Prrafodelista"/>
        <w:spacing w:line="360" w:lineRule="auto"/>
        <w:ind w:left="426"/>
        <w:jc w:val="both"/>
        <w:rPr>
          <w:rFonts w:ascii="Arial" w:hAnsi="Arial" w:cs="Arial"/>
          <w:bCs/>
        </w:rPr>
      </w:pPr>
    </w:p>
    <w:p w14:paraId="31F7F083" w14:textId="5644BA56" w:rsidR="005C570B" w:rsidRPr="00B80EE8" w:rsidRDefault="00BC7764" w:rsidP="003D7BB3">
      <w:pPr>
        <w:pStyle w:val="Prrafodelista"/>
        <w:numPr>
          <w:ilvl w:val="0"/>
          <w:numId w:val="23"/>
        </w:numPr>
        <w:spacing w:line="360" w:lineRule="auto"/>
        <w:ind w:left="426"/>
        <w:jc w:val="both"/>
        <w:rPr>
          <w:rFonts w:ascii="Arial" w:hAnsi="Arial" w:cs="Arial"/>
          <w:bCs/>
        </w:rPr>
      </w:pPr>
      <w:r>
        <w:rPr>
          <w:rFonts w:ascii="Arial" w:hAnsi="Arial" w:cs="Arial"/>
          <w:bCs/>
        </w:rPr>
        <w:t xml:space="preserve">Para fortalecer las capacidades del personal de la Proveeduría Institucional se trabajará en realizar actividades internas de capacitación y análisis de </w:t>
      </w:r>
      <w:r w:rsidR="00580CA0">
        <w:rPr>
          <w:rFonts w:ascii="Arial" w:hAnsi="Arial" w:cs="Arial"/>
          <w:bCs/>
        </w:rPr>
        <w:t>normas, documentos</w:t>
      </w:r>
      <w:r>
        <w:rPr>
          <w:rFonts w:ascii="Arial" w:hAnsi="Arial" w:cs="Arial"/>
          <w:bCs/>
        </w:rPr>
        <w:t xml:space="preserve"> y herramientas</w:t>
      </w:r>
      <w:r w:rsidR="00BC57CD">
        <w:rPr>
          <w:rFonts w:ascii="Arial" w:hAnsi="Arial" w:cs="Arial"/>
          <w:bCs/>
        </w:rPr>
        <w:t xml:space="preserve"> a fin de estandarizar los conocimientos.</w:t>
      </w:r>
      <w:r>
        <w:rPr>
          <w:rFonts w:ascii="Arial" w:hAnsi="Arial" w:cs="Arial"/>
          <w:bCs/>
        </w:rPr>
        <w:t xml:space="preserve"> </w:t>
      </w:r>
    </w:p>
    <w:p w14:paraId="4177A5B4" w14:textId="77777777" w:rsidR="00BE2706" w:rsidRPr="00B80EE8" w:rsidRDefault="00BE2706" w:rsidP="00BE2706">
      <w:pPr>
        <w:pStyle w:val="Prrafodelista"/>
        <w:rPr>
          <w:rFonts w:ascii="Arial" w:hAnsi="Arial" w:cs="Arial"/>
          <w:bCs/>
        </w:rPr>
      </w:pPr>
    </w:p>
    <w:p w14:paraId="55C3E131" w14:textId="1ACC748D" w:rsidR="002033A2" w:rsidRPr="00B80EE8" w:rsidRDefault="002033A2" w:rsidP="005C570B">
      <w:pPr>
        <w:pStyle w:val="Prrafodelista"/>
        <w:spacing w:line="360" w:lineRule="auto"/>
        <w:ind w:left="426"/>
        <w:jc w:val="both"/>
        <w:rPr>
          <w:rFonts w:ascii="Arial" w:hAnsi="Arial" w:cs="Arial"/>
          <w:bCs/>
        </w:rPr>
      </w:pPr>
    </w:p>
    <w:p w14:paraId="339EBABF" w14:textId="77777777" w:rsidR="00573393" w:rsidRPr="00AD3C56" w:rsidRDefault="00573393" w:rsidP="00573393">
      <w:pPr>
        <w:pStyle w:val="Prrafodelista"/>
        <w:spacing w:line="360" w:lineRule="auto"/>
        <w:jc w:val="center"/>
      </w:pPr>
    </w:p>
    <w:sectPr w:rsidR="00573393" w:rsidRPr="00AD3C56" w:rsidSect="0029747D">
      <w:headerReference w:type="default" r:id="rId14"/>
      <w:footerReference w:type="default" r:id="rId15"/>
      <w:pgSz w:w="12240" w:h="15840"/>
      <w:pgMar w:top="1417" w:right="1750" w:bottom="1417" w:left="1701" w:header="708"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903F" w14:textId="77777777" w:rsidR="00DD3222" w:rsidRPr="000B61AA" w:rsidRDefault="00DD3222" w:rsidP="00285232">
      <w:pPr>
        <w:spacing w:after="0" w:line="240" w:lineRule="auto"/>
      </w:pPr>
      <w:r w:rsidRPr="000B61AA">
        <w:separator/>
      </w:r>
    </w:p>
  </w:endnote>
  <w:endnote w:type="continuationSeparator" w:id="0">
    <w:p w14:paraId="6AF28010" w14:textId="77777777" w:rsidR="00DD3222" w:rsidRPr="000B61AA" w:rsidRDefault="00DD3222" w:rsidP="00285232">
      <w:pPr>
        <w:spacing w:after="0" w:line="240" w:lineRule="auto"/>
      </w:pPr>
      <w:r w:rsidRPr="000B61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FEDE" w14:textId="77777777" w:rsidR="00136687" w:rsidRPr="000B61AA" w:rsidRDefault="00166622">
    <w:pPr>
      <w:pStyle w:val="Piedepgina"/>
      <w:jc w:val="right"/>
    </w:pPr>
    <w:r w:rsidRPr="000B61AA">
      <w:rPr>
        <w:noProof/>
        <w:lang w:val="es-CR" w:eastAsia="es-CR"/>
      </w:rPr>
      <mc:AlternateContent>
        <mc:Choice Requires="wps">
          <w:drawing>
            <wp:anchor distT="0" distB="0" distL="114300" distR="114300" simplePos="0" relativeHeight="251658240" behindDoc="0" locked="0" layoutInCell="1" allowOverlap="1" wp14:anchorId="2171710F" wp14:editId="180B0FD0">
              <wp:simplePos x="0" y="0"/>
              <wp:positionH relativeFrom="margin">
                <wp:align>left</wp:align>
              </wp:positionH>
              <wp:positionV relativeFrom="paragraph">
                <wp:posOffset>109855</wp:posOffset>
              </wp:positionV>
              <wp:extent cx="5916295" cy="0"/>
              <wp:effectExtent l="0" t="19050" r="27305" b="19050"/>
              <wp:wrapNone/>
              <wp:docPr id="683870516" name="Conector recto 1"/>
              <wp:cNvGraphicFramePr/>
              <a:graphic xmlns:a="http://schemas.openxmlformats.org/drawingml/2006/main">
                <a:graphicData uri="http://schemas.microsoft.com/office/word/2010/wordprocessingShape">
                  <wps:wsp>
                    <wps:cNvCnPr/>
                    <wps:spPr>
                      <a:xfrm flipV="1">
                        <a:off x="0" y="0"/>
                        <a:ext cx="5916295" cy="0"/>
                      </a:xfrm>
                      <a:prstGeom prst="line">
                        <a:avLst/>
                      </a:prstGeom>
                      <a:ln w="28575">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FDDD1" id="Conector recto 1"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65pt" to="465.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" strokecolor="#323e4f [2415]" strokeweight="2.25pt">
              <v:stroke joinstyle="miter"/>
              <w10:wrap anchorx="margin"/>
            </v:line>
          </w:pict>
        </mc:Fallback>
      </mc:AlternateContent>
    </w:r>
  </w:p>
  <w:p w14:paraId="64945653" w14:textId="77777777" w:rsidR="00285232" w:rsidRPr="000B61AA" w:rsidRDefault="00285232">
    <w:pPr>
      <w:pStyle w:val="Piedepgina"/>
      <w:jc w:val="right"/>
    </w:pPr>
    <w:r w:rsidRPr="000B61AA">
      <w:rPr>
        <w:noProof/>
        <w:lang w:val="es-CR" w:eastAsia="es-CR"/>
      </w:rPr>
      <mc:AlternateContent>
        <mc:Choice Requires="wps">
          <w:drawing>
            <wp:anchor distT="45720" distB="45720" distL="114300" distR="114300" simplePos="0" relativeHeight="251660288" behindDoc="0" locked="0" layoutInCell="1" allowOverlap="1" wp14:anchorId="7B6A5D59" wp14:editId="3A8C27C7">
              <wp:simplePos x="0" y="0"/>
              <wp:positionH relativeFrom="margin">
                <wp:align>left</wp:align>
              </wp:positionH>
              <wp:positionV relativeFrom="paragraph">
                <wp:posOffset>12065</wp:posOffset>
              </wp:positionV>
              <wp:extent cx="328866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111" cy="1404620"/>
                      </a:xfrm>
                      <a:prstGeom prst="rect">
                        <a:avLst/>
                      </a:prstGeom>
                      <a:noFill/>
                      <a:ln w="9525">
                        <a:noFill/>
                        <a:miter lim="800000"/>
                        <a:headEnd/>
                        <a:tailEnd/>
                      </a:ln>
                    </wps:spPr>
                    <wps:txbx>
                      <w:txbxContent>
                        <w:p w14:paraId="3688C179" w14:textId="77777777" w:rsidR="00285232" w:rsidRPr="00EE05D4" w:rsidRDefault="00285232" w:rsidP="00285232">
                          <w:pPr>
                            <w:spacing w:after="0"/>
                            <w:jc w:val="center"/>
                            <w:rPr>
                              <w:lang w:val="en-US"/>
                            </w:rPr>
                          </w:pPr>
                          <w:r w:rsidRPr="00EE05D4">
                            <w:rPr>
                              <w:lang w:val="en-US"/>
                            </w:rPr>
                            <w:t xml:space="preserve">Web:  </w:t>
                          </w:r>
                          <w:hyperlink r:id="rId1" w:history="1">
                            <w:r w:rsidRPr="00EE05D4">
                              <w:rPr>
                                <w:rStyle w:val="Hipervnculo"/>
                                <w:lang w:val="en-US"/>
                              </w:rPr>
                              <w:t>https://www.fonafifo.go.cr/es/</w:t>
                            </w:r>
                          </w:hyperlink>
                        </w:p>
                        <w:p w14:paraId="37730757" w14:textId="77777777" w:rsidR="00285232" w:rsidRPr="000B61AA" w:rsidRDefault="00285232" w:rsidP="00285232">
                          <w:pPr>
                            <w:spacing w:after="0"/>
                            <w:jc w:val="center"/>
                          </w:pPr>
                          <w:r w:rsidRPr="000B61AA">
                            <w:t>Tel: +506 2545-3500                Fax: +506 2235-4803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A5D59" id="_x0000_t202" coordsize="21600,21600" o:spt="202" path="m,l,21600r21600,l21600,xe">
              <v:stroke joinstyle="miter"/>
              <v:path gradientshapeok="t" o:connecttype="rect"/>
            </v:shapetype>
            <v:shape id="Cuadro de texto 2" o:spid="_x0000_s1027" type="#_x0000_t202" style="position:absolute;left:0;text-align:left;margin-left:0;margin-top:.95pt;width:258.95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" filled="f" stroked="f">
              <v:textbox style="mso-fit-shape-to-text:t">
                <w:txbxContent>
                  <w:p w14:paraId="3688C179" w14:textId="77777777" w:rsidR="00285232" w:rsidRPr="00EE05D4" w:rsidRDefault="00285232" w:rsidP="00285232">
                    <w:pPr>
                      <w:spacing w:after="0"/>
                      <w:jc w:val="center"/>
                      <w:rPr>
                        <w:lang w:val="en-US"/>
                      </w:rPr>
                    </w:pPr>
                    <w:r w:rsidRPr="00EE05D4">
                      <w:rPr>
                        <w:lang w:val="en-US"/>
                      </w:rPr>
                      <w:t xml:space="preserve">Web:  </w:t>
                    </w:r>
                    <w:hyperlink r:id="rId2" w:history="1">
                      <w:r w:rsidRPr="00EE05D4">
                        <w:rPr>
                          <w:rStyle w:val="Hipervnculo"/>
                          <w:lang w:val="en-US"/>
                        </w:rPr>
                        <w:t>https://www.fonafifo.go.cr/es/</w:t>
                      </w:r>
                    </w:hyperlink>
                  </w:p>
                  <w:p w14:paraId="37730757" w14:textId="77777777" w:rsidR="00285232" w:rsidRPr="000B61AA" w:rsidRDefault="00285232" w:rsidP="00285232">
                    <w:pPr>
                      <w:spacing w:after="0"/>
                      <w:jc w:val="center"/>
                    </w:pPr>
                    <w:r w:rsidRPr="000B61AA">
                      <w:t>Tel: +506 2545-3500                Fax: +506 2235-4803</w:t>
                    </w:r>
                  </w:p>
                </w:txbxContent>
              </v:textbox>
              <w10:wrap type="square" anchorx="margin"/>
            </v:shape>
          </w:pict>
        </mc:Fallback>
      </mc:AlternateContent>
    </w:r>
    <w:sdt>
      <w:sdtPr>
        <w:id w:val="1011797631"/>
        <w:docPartObj>
          <w:docPartGallery w:val="Page Numbers (Bottom of Page)"/>
          <w:docPartUnique/>
        </w:docPartObj>
      </w:sdtPr>
      <w:sdtEndPr/>
      <w:sdtContent>
        <w:sdt>
          <w:sdtPr>
            <w:id w:val="-1769616900"/>
            <w:docPartObj>
              <w:docPartGallery w:val="Page Numbers (Top of Page)"/>
              <w:docPartUnique/>
            </w:docPartObj>
          </w:sdtPr>
          <w:sdtEndPr/>
          <w:sdtContent>
            <w:r w:rsidRPr="000B61AA">
              <w:rPr>
                <w:rFonts w:cs="Calibri"/>
              </w:rPr>
              <w:t>Página</w:t>
            </w:r>
            <w:r w:rsidRPr="000B61AA">
              <w:t xml:space="preserve"> </w:t>
            </w:r>
            <w:r w:rsidRPr="000B61AA">
              <w:rPr>
                <w:b/>
                <w:bCs/>
                <w:sz w:val="24"/>
                <w:szCs w:val="24"/>
              </w:rPr>
              <w:fldChar w:fldCharType="begin"/>
            </w:r>
            <w:r w:rsidRPr="000B61AA">
              <w:rPr>
                <w:b/>
                <w:bCs/>
              </w:rPr>
              <w:instrText>PAGE</w:instrText>
            </w:r>
            <w:r w:rsidRPr="000B61AA">
              <w:rPr>
                <w:b/>
                <w:bCs/>
                <w:sz w:val="24"/>
                <w:szCs w:val="24"/>
              </w:rPr>
              <w:fldChar w:fldCharType="separate"/>
            </w:r>
            <w:r w:rsidR="00465CD1">
              <w:rPr>
                <w:b/>
                <w:bCs/>
                <w:noProof/>
              </w:rPr>
              <w:t>16</w:t>
            </w:r>
            <w:r w:rsidRPr="000B61AA">
              <w:rPr>
                <w:b/>
                <w:bCs/>
                <w:sz w:val="24"/>
                <w:szCs w:val="24"/>
              </w:rPr>
              <w:fldChar w:fldCharType="end"/>
            </w:r>
            <w:r w:rsidRPr="000B61AA">
              <w:t xml:space="preserve"> de </w:t>
            </w:r>
            <w:r w:rsidRPr="000B61AA">
              <w:rPr>
                <w:b/>
                <w:bCs/>
                <w:sz w:val="24"/>
                <w:szCs w:val="24"/>
              </w:rPr>
              <w:fldChar w:fldCharType="begin"/>
            </w:r>
            <w:r w:rsidRPr="000B61AA">
              <w:rPr>
                <w:b/>
                <w:bCs/>
              </w:rPr>
              <w:instrText>NUMPAGES</w:instrText>
            </w:r>
            <w:r w:rsidRPr="000B61AA">
              <w:rPr>
                <w:b/>
                <w:bCs/>
                <w:sz w:val="24"/>
                <w:szCs w:val="24"/>
              </w:rPr>
              <w:fldChar w:fldCharType="separate"/>
            </w:r>
            <w:r w:rsidR="00465CD1">
              <w:rPr>
                <w:b/>
                <w:bCs/>
                <w:noProof/>
              </w:rPr>
              <w:t>18</w:t>
            </w:r>
            <w:r w:rsidRPr="000B61AA">
              <w:rPr>
                <w:b/>
                <w:bCs/>
                <w:sz w:val="24"/>
                <w:szCs w:val="24"/>
              </w:rPr>
              <w:fldChar w:fldCharType="end"/>
            </w:r>
          </w:sdtContent>
        </w:sdt>
      </w:sdtContent>
    </w:sdt>
  </w:p>
  <w:p w14:paraId="29C09987" w14:textId="77777777" w:rsidR="00285232" w:rsidRPr="000B61AA" w:rsidRDefault="00285232">
    <w:pPr>
      <w:pStyle w:val="Piedepgina"/>
    </w:pPr>
  </w:p>
  <w:p w14:paraId="5CCE8EAE" w14:textId="77777777" w:rsidR="007A49E1" w:rsidRPr="000B61AA" w:rsidRDefault="007A49E1"/>
  <w:p w14:paraId="7B44A3B7" w14:textId="77777777" w:rsidR="0056526B" w:rsidRPr="000B61AA" w:rsidRDefault="005652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A8FB" w14:textId="77777777" w:rsidR="00DD3222" w:rsidRPr="000B61AA" w:rsidRDefault="00DD3222" w:rsidP="00285232">
      <w:pPr>
        <w:spacing w:after="0" w:line="240" w:lineRule="auto"/>
      </w:pPr>
      <w:r w:rsidRPr="000B61AA">
        <w:separator/>
      </w:r>
    </w:p>
  </w:footnote>
  <w:footnote w:type="continuationSeparator" w:id="0">
    <w:p w14:paraId="2DA2201E" w14:textId="77777777" w:rsidR="00DD3222" w:rsidRPr="000B61AA" w:rsidRDefault="00DD3222" w:rsidP="00285232">
      <w:pPr>
        <w:spacing w:after="0" w:line="240" w:lineRule="auto"/>
      </w:pPr>
      <w:r w:rsidRPr="000B61AA">
        <w:continuationSeparator/>
      </w:r>
    </w:p>
  </w:footnote>
  <w:footnote w:id="1">
    <w:p w14:paraId="2DDECE4B" w14:textId="77777777" w:rsidR="007D0B8F" w:rsidRPr="007D0B8F" w:rsidRDefault="007D0B8F" w:rsidP="000306B2">
      <w:pPr>
        <w:pStyle w:val="Textonotapie"/>
        <w:jc w:val="both"/>
        <w:rPr>
          <w:lang w:val="es-CR"/>
        </w:rPr>
      </w:pPr>
      <w:r w:rsidRPr="000B61AA">
        <w:rPr>
          <w:rStyle w:val="Refdenotaalpie"/>
        </w:rPr>
        <w:footnoteRef/>
      </w:r>
      <w:r w:rsidRPr="000B61AA">
        <w:t xml:space="preserve"> Incluye compras de bienes y servicios realizadas con recursos del Fideicomiso 544 Fonafifo/BNCR</w:t>
      </w:r>
      <w:r w:rsidR="009C2BBF" w:rsidRPr="000B61AA">
        <w:t xml:space="preserve"> en el cual Fonafifo es el Fideicomitente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4C99" w14:textId="77777777" w:rsidR="00285232" w:rsidRPr="000B61AA" w:rsidRDefault="00285232" w:rsidP="0085543F">
    <w:pPr>
      <w:pStyle w:val="Encabezado"/>
      <w:jc w:val="center"/>
    </w:pPr>
    <w:r w:rsidRPr="000B61AA">
      <w:rPr>
        <w:noProof/>
        <w:lang w:val="es-CR" w:eastAsia="es-CR"/>
      </w:rPr>
      <w:drawing>
        <wp:inline distT="0" distB="0" distL="0" distR="0" wp14:anchorId="029B4B01" wp14:editId="1A9927FA">
          <wp:extent cx="5284447" cy="480998"/>
          <wp:effectExtent l="0" t="0" r="0" b="0"/>
          <wp:docPr id="967722857" name="Imagen 967722857" descr="Logo_MINISTERIO DE -AMBIENTE Y ENERGIA-7.png">
            <a:extLst xmlns:a="http://schemas.openxmlformats.org/drawingml/2006/main">
              <a:ext uri="{FF2B5EF4-FFF2-40B4-BE49-F238E27FC236}">
                <a16:creationId xmlns:a16="http://schemas.microsoft.com/office/drawing/2014/main" id="{11A0079D-473C-FEA0-6895-A2410A46F4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x_72214283-DEF4-476B-B768-1DAE36FF0505" descr="Logo_MINISTERIO DE -AMBIENTE Y ENERGIA-7.png">
                    <a:extLst>
                      <a:ext uri="{FF2B5EF4-FFF2-40B4-BE49-F238E27FC236}">
                        <a16:creationId xmlns:a16="http://schemas.microsoft.com/office/drawing/2014/main" id="{11A0079D-473C-FEA0-6895-A2410A46F40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58" cy="491293"/>
                  </a:xfrm>
                  <a:prstGeom prst="rect">
                    <a:avLst/>
                  </a:prstGeom>
                  <a:noFill/>
                  <a:ln>
                    <a:noFill/>
                  </a:ln>
                </pic:spPr>
              </pic:pic>
            </a:graphicData>
          </a:graphic>
        </wp:inline>
      </w:drawing>
    </w:r>
  </w:p>
  <w:p w14:paraId="1FDF4C92" w14:textId="77777777" w:rsidR="00285232" w:rsidRPr="000B61AA" w:rsidRDefault="00B107DC" w:rsidP="00285232">
    <w:pPr>
      <w:pStyle w:val="Encabezado"/>
      <w:jc w:val="center"/>
    </w:pPr>
    <w:r w:rsidRPr="000B61AA">
      <w:rPr>
        <w:noProof/>
        <w:lang w:val="es-CR" w:eastAsia="es-CR"/>
      </w:rPr>
      <mc:AlternateContent>
        <mc:Choice Requires="wps">
          <w:drawing>
            <wp:anchor distT="0" distB="0" distL="114300" distR="114300" simplePos="0" relativeHeight="251656192" behindDoc="0" locked="0" layoutInCell="1" allowOverlap="1" wp14:anchorId="009F67A9" wp14:editId="7E586D99">
              <wp:simplePos x="0" y="0"/>
              <wp:positionH relativeFrom="margin">
                <wp:align>center</wp:align>
              </wp:positionH>
              <wp:positionV relativeFrom="paragraph">
                <wp:posOffset>154305</wp:posOffset>
              </wp:positionV>
              <wp:extent cx="5916622" cy="0"/>
              <wp:effectExtent l="0" t="19050" r="27305" b="19050"/>
              <wp:wrapNone/>
              <wp:docPr id="1983004622" name="Conector recto 1"/>
              <wp:cNvGraphicFramePr/>
              <a:graphic xmlns:a="http://schemas.openxmlformats.org/drawingml/2006/main">
                <a:graphicData uri="http://schemas.microsoft.com/office/word/2010/wordprocessingShape">
                  <wps:wsp>
                    <wps:cNvCnPr/>
                    <wps:spPr>
                      <a:xfrm flipV="1">
                        <a:off x="0" y="0"/>
                        <a:ext cx="5916622" cy="0"/>
                      </a:xfrm>
                      <a:prstGeom prst="line">
                        <a:avLst/>
                      </a:prstGeom>
                      <a:ln w="28575">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84F88" id="Conector recto 1" o:spid="_x0000_s1026" style="position:absolute;flip:y;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15pt" to="465.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" strokecolor="#323e4f [2415]" strokeweight="2.25pt">
              <v:stroke joinstyle="miter"/>
              <w10:wrap anchorx="margin"/>
            </v:line>
          </w:pict>
        </mc:Fallback>
      </mc:AlternateContent>
    </w:r>
  </w:p>
  <w:p w14:paraId="54893F5A" w14:textId="77777777" w:rsidR="0056526B" w:rsidRPr="000B61AA" w:rsidRDefault="005652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5D2"/>
    <w:multiLevelType w:val="hybridMultilevel"/>
    <w:tmpl w:val="D18094BC"/>
    <w:lvl w:ilvl="0" w:tplc="8CAE6EE6">
      <w:start w:val="1"/>
      <w:numFmt w:val="decimal"/>
      <w:lvlText w:val="%1."/>
      <w:lvlJc w:val="left"/>
      <w:pPr>
        <w:tabs>
          <w:tab w:val="num" w:pos="720"/>
        </w:tabs>
        <w:ind w:left="720" w:hanging="360"/>
      </w:pPr>
    </w:lvl>
    <w:lvl w:ilvl="1" w:tplc="C83A036A" w:tentative="1">
      <w:start w:val="1"/>
      <w:numFmt w:val="decimal"/>
      <w:lvlText w:val="%2."/>
      <w:lvlJc w:val="left"/>
      <w:pPr>
        <w:tabs>
          <w:tab w:val="num" w:pos="1440"/>
        </w:tabs>
        <w:ind w:left="1440" w:hanging="360"/>
      </w:pPr>
    </w:lvl>
    <w:lvl w:ilvl="2" w:tplc="5EB25CB6" w:tentative="1">
      <w:start w:val="1"/>
      <w:numFmt w:val="decimal"/>
      <w:lvlText w:val="%3."/>
      <w:lvlJc w:val="left"/>
      <w:pPr>
        <w:tabs>
          <w:tab w:val="num" w:pos="2160"/>
        </w:tabs>
        <w:ind w:left="2160" w:hanging="360"/>
      </w:pPr>
    </w:lvl>
    <w:lvl w:ilvl="3" w:tplc="2D50C226" w:tentative="1">
      <w:start w:val="1"/>
      <w:numFmt w:val="decimal"/>
      <w:lvlText w:val="%4."/>
      <w:lvlJc w:val="left"/>
      <w:pPr>
        <w:tabs>
          <w:tab w:val="num" w:pos="2880"/>
        </w:tabs>
        <w:ind w:left="2880" w:hanging="360"/>
      </w:pPr>
    </w:lvl>
    <w:lvl w:ilvl="4" w:tplc="A0E02648" w:tentative="1">
      <w:start w:val="1"/>
      <w:numFmt w:val="decimal"/>
      <w:lvlText w:val="%5."/>
      <w:lvlJc w:val="left"/>
      <w:pPr>
        <w:tabs>
          <w:tab w:val="num" w:pos="3600"/>
        </w:tabs>
        <w:ind w:left="3600" w:hanging="360"/>
      </w:pPr>
    </w:lvl>
    <w:lvl w:ilvl="5" w:tplc="F8A8E532" w:tentative="1">
      <w:start w:val="1"/>
      <w:numFmt w:val="decimal"/>
      <w:lvlText w:val="%6."/>
      <w:lvlJc w:val="left"/>
      <w:pPr>
        <w:tabs>
          <w:tab w:val="num" w:pos="4320"/>
        </w:tabs>
        <w:ind w:left="4320" w:hanging="360"/>
      </w:pPr>
    </w:lvl>
    <w:lvl w:ilvl="6" w:tplc="7520D08C" w:tentative="1">
      <w:start w:val="1"/>
      <w:numFmt w:val="decimal"/>
      <w:lvlText w:val="%7."/>
      <w:lvlJc w:val="left"/>
      <w:pPr>
        <w:tabs>
          <w:tab w:val="num" w:pos="5040"/>
        </w:tabs>
        <w:ind w:left="5040" w:hanging="360"/>
      </w:pPr>
    </w:lvl>
    <w:lvl w:ilvl="7" w:tplc="3E5E177A" w:tentative="1">
      <w:start w:val="1"/>
      <w:numFmt w:val="decimal"/>
      <w:lvlText w:val="%8."/>
      <w:lvlJc w:val="left"/>
      <w:pPr>
        <w:tabs>
          <w:tab w:val="num" w:pos="5760"/>
        </w:tabs>
        <w:ind w:left="5760" w:hanging="360"/>
      </w:pPr>
    </w:lvl>
    <w:lvl w:ilvl="8" w:tplc="133EA282" w:tentative="1">
      <w:start w:val="1"/>
      <w:numFmt w:val="decimal"/>
      <w:lvlText w:val="%9."/>
      <w:lvlJc w:val="left"/>
      <w:pPr>
        <w:tabs>
          <w:tab w:val="num" w:pos="6480"/>
        </w:tabs>
        <w:ind w:left="6480" w:hanging="360"/>
      </w:pPr>
    </w:lvl>
  </w:abstractNum>
  <w:abstractNum w:abstractNumId="1" w15:restartNumberingAfterBreak="0">
    <w:nsid w:val="0BBF5DF7"/>
    <w:multiLevelType w:val="hybridMultilevel"/>
    <w:tmpl w:val="773E1C0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3804D84"/>
    <w:multiLevelType w:val="hybridMultilevel"/>
    <w:tmpl w:val="F2069A24"/>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7164F85"/>
    <w:multiLevelType w:val="multilevel"/>
    <w:tmpl w:val="7A5CBE86"/>
    <w:lvl w:ilvl="0">
      <w:start w:val="1"/>
      <w:numFmt w:val="decimal"/>
      <w:lvlText w:val="%1."/>
      <w:lvlJc w:val="left"/>
      <w:pPr>
        <w:ind w:left="436" w:hanging="360"/>
      </w:pPr>
      <w:rPr>
        <w:rFonts w:ascii="Arial" w:eastAsia="Times New Roman" w:hAnsi="Arial" w:cs="Arial"/>
      </w:rPr>
    </w:lvl>
    <w:lvl w:ilvl="1">
      <w:start w:val="1"/>
      <w:numFmt w:val="decimal"/>
      <w:lvlText w:val="%2."/>
      <w:lvlJc w:val="left"/>
      <w:pPr>
        <w:ind w:left="1156" w:hanging="360"/>
      </w:pPr>
      <w:rPr>
        <w:b w:val="0"/>
      </w:rPr>
    </w:lvl>
    <w:lvl w:ilvl="2">
      <w:start w:val="1"/>
      <w:numFmt w:val="lowerRoman"/>
      <w:lvlText w:val="%3."/>
      <w:lvlJc w:val="right"/>
      <w:pPr>
        <w:ind w:left="1876" w:hanging="180"/>
      </w:pPr>
    </w:lvl>
    <w:lvl w:ilvl="3">
      <w:start w:val="1"/>
      <w:numFmt w:val="decimal"/>
      <w:lvlText w:val="%4."/>
      <w:lvlJc w:val="left"/>
      <w:pPr>
        <w:ind w:left="2596" w:hanging="360"/>
      </w:pPr>
      <w:rPr>
        <w:b/>
      </w:r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4" w15:restartNumberingAfterBreak="0">
    <w:nsid w:val="1F856577"/>
    <w:multiLevelType w:val="hybridMultilevel"/>
    <w:tmpl w:val="3FBC5E96"/>
    <w:lvl w:ilvl="0" w:tplc="08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6F65AFF"/>
    <w:multiLevelType w:val="hybridMultilevel"/>
    <w:tmpl w:val="773E1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760320"/>
    <w:multiLevelType w:val="hybridMultilevel"/>
    <w:tmpl w:val="20B2C244"/>
    <w:lvl w:ilvl="0" w:tplc="140A000F">
      <w:start w:val="1"/>
      <w:numFmt w:val="decimal"/>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7" w15:restartNumberingAfterBreak="0">
    <w:nsid w:val="2CE32D78"/>
    <w:multiLevelType w:val="hybridMultilevel"/>
    <w:tmpl w:val="2416AD88"/>
    <w:lvl w:ilvl="0" w:tplc="80B418F2">
      <w:start w:val="1"/>
      <w:numFmt w:val="upperRoman"/>
      <w:lvlText w:val="%1."/>
      <w:lvlJc w:val="left"/>
      <w:pPr>
        <w:ind w:left="1430" w:hanging="720"/>
      </w:pPr>
      <w:rPr>
        <w:rFonts w:hint="default"/>
        <w:b/>
        <w:i w:val="0"/>
      </w:rPr>
    </w:lvl>
    <w:lvl w:ilvl="1" w:tplc="140A0019" w:tentative="1">
      <w:start w:val="1"/>
      <w:numFmt w:val="lowerLetter"/>
      <w:lvlText w:val="%2."/>
      <w:lvlJc w:val="left"/>
      <w:pPr>
        <w:ind w:left="1298" w:hanging="360"/>
      </w:pPr>
    </w:lvl>
    <w:lvl w:ilvl="2" w:tplc="140A001B" w:tentative="1">
      <w:start w:val="1"/>
      <w:numFmt w:val="lowerRoman"/>
      <w:lvlText w:val="%3."/>
      <w:lvlJc w:val="right"/>
      <w:pPr>
        <w:ind w:left="2018" w:hanging="180"/>
      </w:pPr>
    </w:lvl>
    <w:lvl w:ilvl="3" w:tplc="140A000F" w:tentative="1">
      <w:start w:val="1"/>
      <w:numFmt w:val="decimal"/>
      <w:lvlText w:val="%4."/>
      <w:lvlJc w:val="left"/>
      <w:pPr>
        <w:ind w:left="2738" w:hanging="360"/>
      </w:pPr>
    </w:lvl>
    <w:lvl w:ilvl="4" w:tplc="140A0019" w:tentative="1">
      <w:start w:val="1"/>
      <w:numFmt w:val="lowerLetter"/>
      <w:lvlText w:val="%5."/>
      <w:lvlJc w:val="left"/>
      <w:pPr>
        <w:ind w:left="3458" w:hanging="360"/>
      </w:pPr>
    </w:lvl>
    <w:lvl w:ilvl="5" w:tplc="140A001B" w:tentative="1">
      <w:start w:val="1"/>
      <w:numFmt w:val="lowerRoman"/>
      <w:lvlText w:val="%6."/>
      <w:lvlJc w:val="right"/>
      <w:pPr>
        <w:ind w:left="4178" w:hanging="180"/>
      </w:pPr>
    </w:lvl>
    <w:lvl w:ilvl="6" w:tplc="140A000F" w:tentative="1">
      <w:start w:val="1"/>
      <w:numFmt w:val="decimal"/>
      <w:lvlText w:val="%7."/>
      <w:lvlJc w:val="left"/>
      <w:pPr>
        <w:ind w:left="4898" w:hanging="360"/>
      </w:pPr>
    </w:lvl>
    <w:lvl w:ilvl="7" w:tplc="140A0019" w:tentative="1">
      <w:start w:val="1"/>
      <w:numFmt w:val="lowerLetter"/>
      <w:lvlText w:val="%8."/>
      <w:lvlJc w:val="left"/>
      <w:pPr>
        <w:ind w:left="5618" w:hanging="360"/>
      </w:pPr>
    </w:lvl>
    <w:lvl w:ilvl="8" w:tplc="140A001B" w:tentative="1">
      <w:start w:val="1"/>
      <w:numFmt w:val="lowerRoman"/>
      <w:lvlText w:val="%9."/>
      <w:lvlJc w:val="right"/>
      <w:pPr>
        <w:ind w:left="6338" w:hanging="180"/>
      </w:pPr>
    </w:lvl>
  </w:abstractNum>
  <w:abstractNum w:abstractNumId="8" w15:restartNumberingAfterBreak="0">
    <w:nsid w:val="30C40D17"/>
    <w:multiLevelType w:val="hybridMultilevel"/>
    <w:tmpl w:val="D414C134"/>
    <w:lvl w:ilvl="0" w:tplc="FFFFFFF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9" w15:restartNumberingAfterBreak="0">
    <w:nsid w:val="34612A19"/>
    <w:multiLevelType w:val="hybridMultilevel"/>
    <w:tmpl w:val="3FBC5E96"/>
    <w:lvl w:ilvl="0" w:tplc="08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4B379DE"/>
    <w:multiLevelType w:val="hybridMultilevel"/>
    <w:tmpl w:val="DCD0C298"/>
    <w:lvl w:ilvl="0" w:tplc="2C04EE3A">
      <w:start w:val="1"/>
      <w:numFmt w:val="decimal"/>
      <w:lvlText w:val="%1-"/>
      <w:lvlJc w:val="left"/>
      <w:pPr>
        <w:ind w:left="720" w:hanging="360"/>
      </w:pPr>
      <w:rPr>
        <w:rFonts w:eastAsia="Times New Roman"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81410F1"/>
    <w:multiLevelType w:val="multilevel"/>
    <w:tmpl w:val="B2C6F66C"/>
    <w:lvl w:ilvl="0">
      <w:start w:val="1"/>
      <w:numFmt w:val="decimal"/>
      <w:lvlText w:val="%1."/>
      <w:lvlJc w:val="left"/>
      <w:pPr>
        <w:ind w:left="436" w:hanging="360"/>
      </w:pPr>
      <w:rPr>
        <w:rFonts w:hint="default"/>
      </w:rPr>
    </w:lvl>
    <w:lvl w:ilvl="1">
      <w:start w:val="1"/>
      <w:numFmt w:val="decimal"/>
      <w:lvlText w:val="%2."/>
      <w:lvlJc w:val="left"/>
      <w:pPr>
        <w:ind w:left="1156" w:hanging="360"/>
      </w:pPr>
      <w:rPr>
        <w:b/>
        <w:color w:val="auto"/>
      </w:rPr>
    </w:lvl>
    <w:lvl w:ilvl="2">
      <w:start w:val="1"/>
      <w:numFmt w:val="lowerRoman"/>
      <w:lvlText w:val="%3."/>
      <w:lvlJc w:val="right"/>
      <w:pPr>
        <w:ind w:left="1876" w:hanging="180"/>
      </w:pPr>
    </w:lvl>
    <w:lvl w:ilvl="3">
      <w:start w:val="1"/>
      <w:numFmt w:val="decimal"/>
      <w:lvlText w:val="%4."/>
      <w:lvlJc w:val="left"/>
      <w:pPr>
        <w:ind w:left="2596" w:hanging="360"/>
      </w:pPr>
      <w:rPr>
        <w:b/>
      </w:r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2" w15:restartNumberingAfterBreak="0">
    <w:nsid w:val="40DF7E53"/>
    <w:multiLevelType w:val="hybridMultilevel"/>
    <w:tmpl w:val="F2069A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AD2F20"/>
    <w:multiLevelType w:val="hybridMultilevel"/>
    <w:tmpl w:val="0F72C6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3067295"/>
    <w:multiLevelType w:val="hybridMultilevel"/>
    <w:tmpl w:val="940E818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43846B6F"/>
    <w:multiLevelType w:val="hybridMultilevel"/>
    <w:tmpl w:val="8750AF60"/>
    <w:lvl w:ilvl="0" w:tplc="756E5E34">
      <w:numFmt w:val="bullet"/>
      <w:lvlText w:val=""/>
      <w:lvlJc w:val="left"/>
      <w:pPr>
        <w:ind w:left="822" w:hanging="348"/>
      </w:pPr>
      <w:rPr>
        <w:rFonts w:ascii="Symbol" w:eastAsia="Symbol" w:hAnsi="Symbol" w:cs="Symbol" w:hint="default"/>
        <w:w w:val="100"/>
        <w:sz w:val="24"/>
        <w:szCs w:val="24"/>
        <w:lang w:val="es-ES" w:eastAsia="en-US" w:bidi="ar-SA"/>
      </w:rPr>
    </w:lvl>
    <w:lvl w:ilvl="1" w:tplc="4A3C45C2">
      <w:numFmt w:val="bullet"/>
      <w:lvlText w:val="•"/>
      <w:lvlJc w:val="left"/>
      <w:pPr>
        <w:ind w:left="1644" w:hanging="348"/>
      </w:pPr>
      <w:rPr>
        <w:rFonts w:hint="default"/>
        <w:lang w:val="es-ES" w:eastAsia="en-US" w:bidi="ar-SA"/>
      </w:rPr>
    </w:lvl>
    <w:lvl w:ilvl="2" w:tplc="A22CF74A">
      <w:numFmt w:val="bullet"/>
      <w:lvlText w:val="•"/>
      <w:lvlJc w:val="left"/>
      <w:pPr>
        <w:ind w:left="2468" w:hanging="348"/>
      </w:pPr>
      <w:rPr>
        <w:rFonts w:hint="default"/>
        <w:lang w:val="es-ES" w:eastAsia="en-US" w:bidi="ar-SA"/>
      </w:rPr>
    </w:lvl>
    <w:lvl w:ilvl="3" w:tplc="55482CB4">
      <w:numFmt w:val="bullet"/>
      <w:lvlText w:val="•"/>
      <w:lvlJc w:val="left"/>
      <w:pPr>
        <w:ind w:left="3292" w:hanging="348"/>
      </w:pPr>
      <w:rPr>
        <w:rFonts w:hint="default"/>
        <w:lang w:val="es-ES" w:eastAsia="en-US" w:bidi="ar-SA"/>
      </w:rPr>
    </w:lvl>
    <w:lvl w:ilvl="4" w:tplc="6852AC34">
      <w:numFmt w:val="bullet"/>
      <w:lvlText w:val="•"/>
      <w:lvlJc w:val="left"/>
      <w:pPr>
        <w:ind w:left="4116" w:hanging="348"/>
      </w:pPr>
      <w:rPr>
        <w:rFonts w:hint="default"/>
        <w:lang w:val="es-ES" w:eastAsia="en-US" w:bidi="ar-SA"/>
      </w:rPr>
    </w:lvl>
    <w:lvl w:ilvl="5" w:tplc="E6FCE398">
      <w:numFmt w:val="bullet"/>
      <w:lvlText w:val="•"/>
      <w:lvlJc w:val="left"/>
      <w:pPr>
        <w:ind w:left="4940" w:hanging="348"/>
      </w:pPr>
      <w:rPr>
        <w:rFonts w:hint="default"/>
        <w:lang w:val="es-ES" w:eastAsia="en-US" w:bidi="ar-SA"/>
      </w:rPr>
    </w:lvl>
    <w:lvl w:ilvl="6" w:tplc="DB306E3A">
      <w:numFmt w:val="bullet"/>
      <w:lvlText w:val="•"/>
      <w:lvlJc w:val="left"/>
      <w:pPr>
        <w:ind w:left="5764" w:hanging="348"/>
      </w:pPr>
      <w:rPr>
        <w:rFonts w:hint="default"/>
        <w:lang w:val="es-ES" w:eastAsia="en-US" w:bidi="ar-SA"/>
      </w:rPr>
    </w:lvl>
    <w:lvl w:ilvl="7" w:tplc="15F82E3E">
      <w:numFmt w:val="bullet"/>
      <w:lvlText w:val="•"/>
      <w:lvlJc w:val="left"/>
      <w:pPr>
        <w:ind w:left="6588" w:hanging="348"/>
      </w:pPr>
      <w:rPr>
        <w:rFonts w:hint="default"/>
        <w:lang w:val="es-ES" w:eastAsia="en-US" w:bidi="ar-SA"/>
      </w:rPr>
    </w:lvl>
    <w:lvl w:ilvl="8" w:tplc="65B09AAA">
      <w:numFmt w:val="bullet"/>
      <w:lvlText w:val="•"/>
      <w:lvlJc w:val="left"/>
      <w:pPr>
        <w:ind w:left="7412" w:hanging="348"/>
      </w:pPr>
      <w:rPr>
        <w:rFonts w:hint="default"/>
        <w:lang w:val="es-ES" w:eastAsia="en-US" w:bidi="ar-SA"/>
      </w:rPr>
    </w:lvl>
  </w:abstractNum>
  <w:abstractNum w:abstractNumId="16" w15:restartNumberingAfterBreak="0">
    <w:nsid w:val="475C6259"/>
    <w:multiLevelType w:val="hybridMultilevel"/>
    <w:tmpl w:val="8668D8E2"/>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9CB2E0B"/>
    <w:multiLevelType w:val="hybridMultilevel"/>
    <w:tmpl w:val="AD4CAF6A"/>
    <w:lvl w:ilvl="0" w:tplc="F60AA01C">
      <w:start w:val="2"/>
      <w:numFmt w:val="decimal"/>
      <w:lvlText w:val="%1-"/>
      <w:lvlJc w:val="left"/>
      <w:pPr>
        <w:ind w:left="720" w:hanging="360"/>
      </w:pPr>
      <w:rPr>
        <w:rFonts w:hint="default"/>
        <w:b/>
        <w:color w:val="auto"/>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0E76ADC"/>
    <w:multiLevelType w:val="hybridMultilevel"/>
    <w:tmpl w:val="143EF37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2A25A52"/>
    <w:multiLevelType w:val="hybridMultilevel"/>
    <w:tmpl w:val="0A98E2F8"/>
    <w:lvl w:ilvl="0" w:tplc="140A0013">
      <w:start w:val="1"/>
      <w:numFmt w:val="upperRoman"/>
      <w:lvlText w:val="%1."/>
      <w:lvlJc w:val="righ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0" w15:restartNumberingAfterBreak="0">
    <w:nsid w:val="54226E5D"/>
    <w:multiLevelType w:val="hybridMultilevel"/>
    <w:tmpl w:val="3A4E11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5E57282"/>
    <w:multiLevelType w:val="hybridMultilevel"/>
    <w:tmpl w:val="75BC38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5B0B6CEF"/>
    <w:multiLevelType w:val="hybridMultilevel"/>
    <w:tmpl w:val="CAACBD80"/>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5D5837E8"/>
    <w:multiLevelType w:val="hybridMultilevel"/>
    <w:tmpl w:val="B84CDE06"/>
    <w:lvl w:ilvl="0" w:tplc="B928CD3C">
      <w:start w:val="1"/>
      <w:numFmt w:val="upperLetter"/>
      <w:lvlText w:val="%1."/>
      <w:lvlJc w:val="left"/>
      <w:pPr>
        <w:ind w:left="862" w:hanging="360"/>
      </w:pPr>
      <w:rPr>
        <w:rFonts w:hint="default"/>
      </w:rPr>
    </w:lvl>
    <w:lvl w:ilvl="1" w:tplc="140A0019" w:tentative="1">
      <w:start w:val="1"/>
      <w:numFmt w:val="lowerLetter"/>
      <w:lvlText w:val="%2."/>
      <w:lvlJc w:val="left"/>
      <w:pPr>
        <w:ind w:left="1582" w:hanging="360"/>
      </w:pPr>
    </w:lvl>
    <w:lvl w:ilvl="2" w:tplc="140A001B" w:tentative="1">
      <w:start w:val="1"/>
      <w:numFmt w:val="lowerRoman"/>
      <w:lvlText w:val="%3."/>
      <w:lvlJc w:val="right"/>
      <w:pPr>
        <w:ind w:left="2302" w:hanging="180"/>
      </w:pPr>
    </w:lvl>
    <w:lvl w:ilvl="3" w:tplc="140A000F" w:tentative="1">
      <w:start w:val="1"/>
      <w:numFmt w:val="decimal"/>
      <w:lvlText w:val="%4."/>
      <w:lvlJc w:val="left"/>
      <w:pPr>
        <w:ind w:left="3022" w:hanging="360"/>
      </w:pPr>
    </w:lvl>
    <w:lvl w:ilvl="4" w:tplc="140A0019" w:tentative="1">
      <w:start w:val="1"/>
      <w:numFmt w:val="lowerLetter"/>
      <w:lvlText w:val="%5."/>
      <w:lvlJc w:val="left"/>
      <w:pPr>
        <w:ind w:left="3742" w:hanging="360"/>
      </w:pPr>
    </w:lvl>
    <w:lvl w:ilvl="5" w:tplc="140A001B" w:tentative="1">
      <w:start w:val="1"/>
      <w:numFmt w:val="lowerRoman"/>
      <w:lvlText w:val="%6."/>
      <w:lvlJc w:val="right"/>
      <w:pPr>
        <w:ind w:left="4462" w:hanging="180"/>
      </w:pPr>
    </w:lvl>
    <w:lvl w:ilvl="6" w:tplc="140A000F" w:tentative="1">
      <w:start w:val="1"/>
      <w:numFmt w:val="decimal"/>
      <w:lvlText w:val="%7."/>
      <w:lvlJc w:val="left"/>
      <w:pPr>
        <w:ind w:left="5182" w:hanging="360"/>
      </w:pPr>
    </w:lvl>
    <w:lvl w:ilvl="7" w:tplc="140A0019" w:tentative="1">
      <w:start w:val="1"/>
      <w:numFmt w:val="lowerLetter"/>
      <w:lvlText w:val="%8."/>
      <w:lvlJc w:val="left"/>
      <w:pPr>
        <w:ind w:left="5902" w:hanging="360"/>
      </w:pPr>
    </w:lvl>
    <w:lvl w:ilvl="8" w:tplc="140A001B" w:tentative="1">
      <w:start w:val="1"/>
      <w:numFmt w:val="lowerRoman"/>
      <w:lvlText w:val="%9."/>
      <w:lvlJc w:val="right"/>
      <w:pPr>
        <w:ind w:left="6622" w:hanging="180"/>
      </w:pPr>
    </w:lvl>
  </w:abstractNum>
  <w:abstractNum w:abstractNumId="24" w15:restartNumberingAfterBreak="0">
    <w:nsid w:val="653E4435"/>
    <w:multiLevelType w:val="hybridMultilevel"/>
    <w:tmpl w:val="2C68E15E"/>
    <w:lvl w:ilvl="0" w:tplc="20F0FB60">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5" w15:restartNumberingAfterBreak="0">
    <w:nsid w:val="665640A4"/>
    <w:multiLevelType w:val="hybridMultilevel"/>
    <w:tmpl w:val="230A7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01779D2"/>
    <w:multiLevelType w:val="hybridMultilevel"/>
    <w:tmpl w:val="00F06ADC"/>
    <w:lvl w:ilvl="0" w:tplc="ACB65A92">
      <w:numFmt w:val="bullet"/>
      <w:lvlText w:val=""/>
      <w:lvlJc w:val="left"/>
      <w:pPr>
        <w:ind w:left="720" w:hanging="360"/>
      </w:pPr>
      <w:rPr>
        <w:rFonts w:ascii="Symbol" w:eastAsia="Times New Roman"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7B3557F"/>
    <w:multiLevelType w:val="hybridMultilevel"/>
    <w:tmpl w:val="97E4B45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FC20068"/>
    <w:multiLevelType w:val="hybridMultilevel"/>
    <w:tmpl w:val="9F982F34"/>
    <w:lvl w:ilvl="0" w:tplc="FFFFFFF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num w:numId="1" w16cid:durableId="1698657395">
    <w:abstractNumId w:val="23"/>
  </w:num>
  <w:num w:numId="2" w16cid:durableId="788818157">
    <w:abstractNumId w:val="7"/>
  </w:num>
  <w:num w:numId="3" w16cid:durableId="835807861">
    <w:abstractNumId w:val="25"/>
  </w:num>
  <w:num w:numId="4" w16cid:durableId="1560362721">
    <w:abstractNumId w:val="11"/>
  </w:num>
  <w:num w:numId="5" w16cid:durableId="1718622663">
    <w:abstractNumId w:val="3"/>
  </w:num>
  <w:num w:numId="6" w16cid:durableId="696810019">
    <w:abstractNumId w:val="18"/>
  </w:num>
  <w:num w:numId="7" w16cid:durableId="59984615">
    <w:abstractNumId w:val="17"/>
  </w:num>
  <w:num w:numId="8" w16cid:durableId="1035497059">
    <w:abstractNumId w:val="10"/>
  </w:num>
  <w:num w:numId="9" w16cid:durableId="1839152133">
    <w:abstractNumId w:val="21"/>
  </w:num>
  <w:num w:numId="10" w16cid:durableId="45182082">
    <w:abstractNumId w:val="27"/>
  </w:num>
  <w:num w:numId="11" w16cid:durableId="1579553803">
    <w:abstractNumId w:val="26"/>
  </w:num>
  <w:num w:numId="12" w16cid:durableId="1365790181">
    <w:abstractNumId w:val="20"/>
  </w:num>
  <w:num w:numId="13" w16cid:durableId="456684713">
    <w:abstractNumId w:val="6"/>
  </w:num>
  <w:num w:numId="14" w16cid:durableId="407310253">
    <w:abstractNumId w:val="15"/>
  </w:num>
  <w:num w:numId="15" w16cid:durableId="1060247674">
    <w:abstractNumId w:val="13"/>
  </w:num>
  <w:num w:numId="16" w16cid:durableId="1115059788">
    <w:abstractNumId w:val="9"/>
  </w:num>
  <w:num w:numId="17" w16cid:durableId="135806936">
    <w:abstractNumId w:val="4"/>
  </w:num>
  <w:num w:numId="18" w16cid:durableId="558519096">
    <w:abstractNumId w:val="16"/>
  </w:num>
  <w:num w:numId="19" w16cid:durableId="1670675590">
    <w:abstractNumId w:val="22"/>
  </w:num>
  <w:num w:numId="20" w16cid:durableId="2064984783">
    <w:abstractNumId w:val="19"/>
  </w:num>
  <w:num w:numId="21" w16cid:durableId="641235488">
    <w:abstractNumId w:val="1"/>
  </w:num>
  <w:num w:numId="22" w16cid:durableId="1498040037">
    <w:abstractNumId w:val="24"/>
  </w:num>
  <w:num w:numId="23" w16cid:durableId="526407407">
    <w:abstractNumId w:val="5"/>
  </w:num>
  <w:num w:numId="24" w16cid:durableId="853423303">
    <w:abstractNumId w:val="28"/>
  </w:num>
  <w:num w:numId="25" w16cid:durableId="1181121995">
    <w:abstractNumId w:val="8"/>
  </w:num>
  <w:num w:numId="26" w16cid:durableId="1975672035">
    <w:abstractNumId w:val="14"/>
  </w:num>
  <w:num w:numId="27" w16cid:durableId="2019386919">
    <w:abstractNumId w:val="0"/>
  </w:num>
  <w:num w:numId="28" w16cid:durableId="561139717">
    <w:abstractNumId w:val="2"/>
  </w:num>
  <w:num w:numId="29" w16cid:durableId="296179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02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232"/>
    <w:rsid w:val="000058FA"/>
    <w:rsid w:val="000066DA"/>
    <w:rsid w:val="00007111"/>
    <w:rsid w:val="00007DD0"/>
    <w:rsid w:val="0001037E"/>
    <w:rsid w:val="00010AF4"/>
    <w:rsid w:val="00010D3C"/>
    <w:rsid w:val="000124EE"/>
    <w:rsid w:val="00012E74"/>
    <w:rsid w:val="00015BC1"/>
    <w:rsid w:val="0001624F"/>
    <w:rsid w:val="00020580"/>
    <w:rsid w:val="000208DE"/>
    <w:rsid w:val="00021FDF"/>
    <w:rsid w:val="0002371B"/>
    <w:rsid w:val="00023CC7"/>
    <w:rsid w:val="00025422"/>
    <w:rsid w:val="000270B4"/>
    <w:rsid w:val="000306B2"/>
    <w:rsid w:val="000307FD"/>
    <w:rsid w:val="000319CA"/>
    <w:rsid w:val="000345CF"/>
    <w:rsid w:val="000355E3"/>
    <w:rsid w:val="000378A3"/>
    <w:rsid w:val="000428A6"/>
    <w:rsid w:val="00043DF7"/>
    <w:rsid w:val="0005330F"/>
    <w:rsid w:val="00055D47"/>
    <w:rsid w:val="000657E2"/>
    <w:rsid w:val="0006707F"/>
    <w:rsid w:val="0007457F"/>
    <w:rsid w:val="0007687E"/>
    <w:rsid w:val="00080AB6"/>
    <w:rsid w:val="00081E32"/>
    <w:rsid w:val="00084DFE"/>
    <w:rsid w:val="00092902"/>
    <w:rsid w:val="00095E66"/>
    <w:rsid w:val="00096AE3"/>
    <w:rsid w:val="000A0B7D"/>
    <w:rsid w:val="000A2F68"/>
    <w:rsid w:val="000A48D4"/>
    <w:rsid w:val="000A4C38"/>
    <w:rsid w:val="000A5960"/>
    <w:rsid w:val="000A6270"/>
    <w:rsid w:val="000A7B0A"/>
    <w:rsid w:val="000B2689"/>
    <w:rsid w:val="000B2E80"/>
    <w:rsid w:val="000B61AA"/>
    <w:rsid w:val="000B7AAE"/>
    <w:rsid w:val="000C39B2"/>
    <w:rsid w:val="000C47DC"/>
    <w:rsid w:val="000D2967"/>
    <w:rsid w:val="000D3F3E"/>
    <w:rsid w:val="000D535C"/>
    <w:rsid w:val="000D7C79"/>
    <w:rsid w:val="000E1395"/>
    <w:rsid w:val="000E3578"/>
    <w:rsid w:val="000E42C3"/>
    <w:rsid w:val="000E566C"/>
    <w:rsid w:val="000F0938"/>
    <w:rsid w:val="000F0C19"/>
    <w:rsid w:val="000F592B"/>
    <w:rsid w:val="001012F5"/>
    <w:rsid w:val="00101F1F"/>
    <w:rsid w:val="001063D3"/>
    <w:rsid w:val="001070AA"/>
    <w:rsid w:val="001079F0"/>
    <w:rsid w:val="0011133E"/>
    <w:rsid w:val="00111DD8"/>
    <w:rsid w:val="001146D8"/>
    <w:rsid w:val="001171A2"/>
    <w:rsid w:val="00121723"/>
    <w:rsid w:val="00121B91"/>
    <w:rsid w:val="00124A1A"/>
    <w:rsid w:val="00127B09"/>
    <w:rsid w:val="00130BB1"/>
    <w:rsid w:val="00131469"/>
    <w:rsid w:val="00136687"/>
    <w:rsid w:val="00141DF0"/>
    <w:rsid w:val="00142D3D"/>
    <w:rsid w:val="00152C99"/>
    <w:rsid w:val="00152ED1"/>
    <w:rsid w:val="0015627E"/>
    <w:rsid w:val="001567AA"/>
    <w:rsid w:val="00160095"/>
    <w:rsid w:val="0016215A"/>
    <w:rsid w:val="0016313B"/>
    <w:rsid w:val="00164A76"/>
    <w:rsid w:val="00166622"/>
    <w:rsid w:val="00167737"/>
    <w:rsid w:val="00167B40"/>
    <w:rsid w:val="001706F8"/>
    <w:rsid w:val="001717BB"/>
    <w:rsid w:val="00171CCB"/>
    <w:rsid w:val="00172810"/>
    <w:rsid w:val="00173103"/>
    <w:rsid w:val="001829E6"/>
    <w:rsid w:val="001852B4"/>
    <w:rsid w:val="001857D2"/>
    <w:rsid w:val="001863C8"/>
    <w:rsid w:val="001877BC"/>
    <w:rsid w:val="00190E6C"/>
    <w:rsid w:val="0019366A"/>
    <w:rsid w:val="00195CFE"/>
    <w:rsid w:val="001A0058"/>
    <w:rsid w:val="001A252C"/>
    <w:rsid w:val="001A3957"/>
    <w:rsid w:val="001A428A"/>
    <w:rsid w:val="001A5A2E"/>
    <w:rsid w:val="001B3B34"/>
    <w:rsid w:val="001C0837"/>
    <w:rsid w:val="001C5847"/>
    <w:rsid w:val="001C7C00"/>
    <w:rsid w:val="001D0ADF"/>
    <w:rsid w:val="001D1BA0"/>
    <w:rsid w:val="001D32F4"/>
    <w:rsid w:val="001D72F2"/>
    <w:rsid w:val="001E0791"/>
    <w:rsid w:val="001E1B67"/>
    <w:rsid w:val="001E50F4"/>
    <w:rsid w:val="001E62E8"/>
    <w:rsid w:val="001F13A4"/>
    <w:rsid w:val="001F1B0E"/>
    <w:rsid w:val="001F3B05"/>
    <w:rsid w:val="001F5CDD"/>
    <w:rsid w:val="002033A2"/>
    <w:rsid w:val="00204CC1"/>
    <w:rsid w:val="00204ED2"/>
    <w:rsid w:val="002057FE"/>
    <w:rsid w:val="00205F61"/>
    <w:rsid w:val="00207BBE"/>
    <w:rsid w:val="002104DD"/>
    <w:rsid w:val="002139A1"/>
    <w:rsid w:val="00213E8C"/>
    <w:rsid w:val="00214DDD"/>
    <w:rsid w:val="00216F94"/>
    <w:rsid w:val="002219D5"/>
    <w:rsid w:val="00222B16"/>
    <w:rsid w:val="002233A1"/>
    <w:rsid w:val="00227068"/>
    <w:rsid w:val="00227793"/>
    <w:rsid w:val="002321B4"/>
    <w:rsid w:val="002324B7"/>
    <w:rsid w:val="00232913"/>
    <w:rsid w:val="0023566B"/>
    <w:rsid w:val="0023716E"/>
    <w:rsid w:val="0024035C"/>
    <w:rsid w:val="002430F8"/>
    <w:rsid w:val="002444B3"/>
    <w:rsid w:val="00244DF7"/>
    <w:rsid w:val="002459CF"/>
    <w:rsid w:val="002462AB"/>
    <w:rsid w:val="002524E7"/>
    <w:rsid w:val="00253367"/>
    <w:rsid w:val="00253B69"/>
    <w:rsid w:val="00262028"/>
    <w:rsid w:val="00263420"/>
    <w:rsid w:val="00264E8E"/>
    <w:rsid w:val="00266B1E"/>
    <w:rsid w:val="00274C5A"/>
    <w:rsid w:val="00280C82"/>
    <w:rsid w:val="00282984"/>
    <w:rsid w:val="002843CC"/>
    <w:rsid w:val="00284CEF"/>
    <w:rsid w:val="00285232"/>
    <w:rsid w:val="00291367"/>
    <w:rsid w:val="00291697"/>
    <w:rsid w:val="00295B29"/>
    <w:rsid w:val="0029709C"/>
    <w:rsid w:val="0029747D"/>
    <w:rsid w:val="002A0A52"/>
    <w:rsid w:val="002A1437"/>
    <w:rsid w:val="002A1DAE"/>
    <w:rsid w:val="002A6E0A"/>
    <w:rsid w:val="002A75BE"/>
    <w:rsid w:val="002B09F2"/>
    <w:rsid w:val="002B11AF"/>
    <w:rsid w:val="002B14C2"/>
    <w:rsid w:val="002B4F9F"/>
    <w:rsid w:val="002B6281"/>
    <w:rsid w:val="002B67DB"/>
    <w:rsid w:val="002C42F2"/>
    <w:rsid w:val="002D0578"/>
    <w:rsid w:val="002D122D"/>
    <w:rsid w:val="002D1DAC"/>
    <w:rsid w:val="002D5459"/>
    <w:rsid w:val="002E3859"/>
    <w:rsid w:val="002E399E"/>
    <w:rsid w:val="002E6795"/>
    <w:rsid w:val="002E7EC3"/>
    <w:rsid w:val="00301399"/>
    <w:rsid w:val="00304DCD"/>
    <w:rsid w:val="00305691"/>
    <w:rsid w:val="003068DA"/>
    <w:rsid w:val="00310935"/>
    <w:rsid w:val="003150F0"/>
    <w:rsid w:val="00315F2D"/>
    <w:rsid w:val="00316E4F"/>
    <w:rsid w:val="00323F75"/>
    <w:rsid w:val="003256D8"/>
    <w:rsid w:val="00326A93"/>
    <w:rsid w:val="00332326"/>
    <w:rsid w:val="00333362"/>
    <w:rsid w:val="00333935"/>
    <w:rsid w:val="0033431E"/>
    <w:rsid w:val="00334459"/>
    <w:rsid w:val="00341B3D"/>
    <w:rsid w:val="0034314A"/>
    <w:rsid w:val="0034767F"/>
    <w:rsid w:val="003510A1"/>
    <w:rsid w:val="00351894"/>
    <w:rsid w:val="0035491D"/>
    <w:rsid w:val="0035752D"/>
    <w:rsid w:val="003579A8"/>
    <w:rsid w:val="00357D34"/>
    <w:rsid w:val="00357DB8"/>
    <w:rsid w:val="003607F3"/>
    <w:rsid w:val="003613B9"/>
    <w:rsid w:val="00364FE8"/>
    <w:rsid w:val="00365316"/>
    <w:rsid w:val="003721BC"/>
    <w:rsid w:val="003804B0"/>
    <w:rsid w:val="00385DBC"/>
    <w:rsid w:val="00385E08"/>
    <w:rsid w:val="003913C3"/>
    <w:rsid w:val="00391776"/>
    <w:rsid w:val="00394873"/>
    <w:rsid w:val="0039581A"/>
    <w:rsid w:val="00395D17"/>
    <w:rsid w:val="003977AE"/>
    <w:rsid w:val="00397BA4"/>
    <w:rsid w:val="003A213E"/>
    <w:rsid w:val="003A2F4E"/>
    <w:rsid w:val="003A54F6"/>
    <w:rsid w:val="003A5673"/>
    <w:rsid w:val="003A5CC6"/>
    <w:rsid w:val="003A71CD"/>
    <w:rsid w:val="003B096B"/>
    <w:rsid w:val="003B09E3"/>
    <w:rsid w:val="003B258A"/>
    <w:rsid w:val="003C2171"/>
    <w:rsid w:val="003C65B4"/>
    <w:rsid w:val="003C73E1"/>
    <w:rsid w:val="003D4121"/>
    <w:rsid w:val="003D439C"/>
    <w:rsid w:val="003D4B8E"/>
    <w:rsid w:val="003D4BF2"/>
    <w:rsid w:val="003E1D40"/>
    <w:rsid w:val="003E30A4"/>
    <w:rsid w:val="003E7C96"/>
    <w:rsid w:val="003F0F00"/>
    <w:rsid w:val="003F69B5"/>
    <w:rsid w:val="003F75D7"/>
    <w:rsid w:val="00400DF9"/>
    <w:rsid w:val="00401DD1"/>
    <w:rsid w:val="004036D6"/>
    <w:rsid w:val="00403FF4"/>
    <w:rsid w:val="00405C58"/>
    <w:rsid w:val="00407436"/>
    <w:rsid w:val="004078DE"/>
    <w:rsid w:val="00413DFF"/>
    <w:rsid w:val="0041437F"/>
    <w:rsid w:val="0041602B"/>
    <w:rsid w:val="00416795"/>
    <w:rsid w:val="004231DC"/>
    <w:rsid w:val="0043127F"/>
    <w:rsid w:val="00431756"/>
    <w:rsid w:val="0043571F"/>
    <w:rsid w:val="00437902"/>
    <w:rsid w:val="00444873"/>
    <w:rsid w:val="00444E25"/>
    <w:rsid w:val="004453DE"/>
    <w:rsid w:val="00445E41"/>
    <w:rsid w:val="004470BE"/>
    <w:rsid w:val="00447F07"/>
    <w:rsid w:val="0045172D"/>
    <w:rsid w:val="004526C4"/>
    <w:rsid w:val="004542CB"/>
    <w:rsid w:val="00461F4A"/>
    <w:rsid w:val="0046347F"/>
    <w:rsid w:val="0046374A"/>
    <w:rsid w:val="004651E8"/>
    <w:rsid w:val="00465CD1"/>
    <w:rsid w:val="004663CF"/>
    <w:rsid w:val="00467113"/>
    <w:rsid w:val="004679EF"/>
    <w:rsid w:val="0047126C"/>
    <w:rsid w:val="004762AC"/>
    <w:rsid w:val="00483FA0"/>
    <w:rsid w:val="00485510"/>
    <w:rsid w:val="00485BA6"/>
    <w:rsid w:val="00486B54"/>
    <w:rsid w:val="00492911"/>
    <w:rsid w:val="00496B97"/>
    <w:rsid w:val="00497D5A"/>
    <w:rsid w:val="004A6164"/>
    <w:rsid w:val="004B0C89"/>
    <w:rsid w:val="004B3C47"/>
    <w:rsid w:val="004B4F21"/>
    <w:rsid w:val="004B579C"/>
    <w:rsid w:val="004C3E20"/>
    <w:rsid w:val="004C5B97"/>
    <w:rsid w:val="004C642F"/>
    <w:rsid w:val="004C69E9"/>
    <w:rsid w:val="004C716A"/>
    <w:rsid w:val="004D0327"/>
    <w:rsid w:val="004D1D66"/>
    <w:rsid w:val="004D237C"/>
    <w:rsid w:val="004D242F"/>
    <w:rsid w:val="004D6800"/>
    <w:rsid w:val="004E1331"/>
    <w:rsid w:val="004F020D"/>
    <w:rsid w:val="004F16ED"/>
    <w:rsid w:val="004F5EF1"/>
    <w:rsid w:val="004F73DE"/>
    <w:rsid w:val="004F75CD"/>
    <w:rsid w:val="00502315"/>
    <w:rsid w:val="005028A0"/>
    <w:rsid w:val="005130D8"/>
    <w:rsid w:val="00514E89"/>
    <w:rsid w:val="00517319"/>
    <w:rsid w:val="00527D21"/>
    <w:rsid w:val="005331DD"/>
    <w:rsid w:val="00533CE0"/>
    <w:rsid w:val="005340C3"/>
    <w:rsid w:val="0053456A"/>
    <w:rsid w:val="00534FA2"/>
    <w:rsid w:val="0053594A"/>
    <w:rsid w:val="0053639B"/>
    <w:rsid w:val="005433A8"/>
    <w:rsid w:val="00550C62"/>
    <w:rsid w:val="00552B98"/>
    <w:rsid w:val="005532E0"/>
    <w:rsid w:val="005562CC"/>
    <w:rsid w:val="00564753"/>
    <w:rsid w:val="0056526B"/>
    <w:rsid w:val="0056579E"/>
    <w:rsid w:val="0057285C"/>
    <w:rsid w:val="00573393"/>
    <w:rsid w:val="005735B8"/>
    <w:rsid w:val="00574571"/>
    <w:rsid w:val="00580CA0"/>
    <w:rsid w:val="00581B07"/>
    <w:rsid w:val="0058552F"/>
    <w:rsid w:val="005878B1"/>
    <w:rsid w:val="00587D02"/>
    <w:rsid w:val="005949D8"/>
    <w:rsid w:val="0059783B"/>
    <w:rsid w:val="005A2039"/>
    <w:rsid w:val="005A2099"/>
    <w:rsid w:val="005A36BC"/>
    <w:rsid w:val="005A48F8"/>
    <w:rsid w:val="005A51BA"/>
    <w:rsid w:val="005A5DA9"/>
    <w:rsid w:val="005A7192"/>
    <w:rsid w:val="005B0E85"/>
    <w:rsid w:val="005B20D9"/>
    <w:rsid w:val="005B286E"/>
    <w:rsid w:val="005B4F9A"/>
    <w:rsid w:val="005B5BD7"/>
    <w:rsid w:val="005B7848"/>
    <w:rsid w:val="005C0E93"/>
    <w:rsid w:val="005C1E26"/>
    <w:rsid w:val="005C1E65"/>
    <w:rsid w:val="005C1EC6"/>
    <w:rsid w:val="005C3507"/>
    <w:rsid w:val="005C43B1"/>
    <w:rsid w:val="005C570B"/>
    <w:rsid w:val="005C5983"/>
    <w:rsid w:val="005D116D"/>
    <w:rsid w:val="005D24E4"/>
    <w:rsid w:val="005E1E34"/>
    <w:rsid w:val="005E4A8C"/>
    <w:rsid w:val="005E6EAB"/>
    <w:rsid w:val="005E724F"/>
    <w:rsid w:val="005F16ED"/>
    <w:rsid w:val="005F6160"/>
    <w:rsid w:val="0060075A"/>
    <w:rsid w:val="00601684"/>
    <w:rsid w:val="006037C2"/>
    <w:rsid w:val="0060386D"/>
    <w:rsid w:val="006064C8"/>
    <w:rsid w:val="00612806"/>
    <w:rsid w:val="00614D07"/>
    <w:rsid w:val="00617921"/>
    <w:rsid w:val="00620CDB"/>
    <w:rsid w:val="00621C6A"/>
    <w:rsid w:val="006221A2"/>
    <w:rsid w:val="006311D4"/>
    <w:rsid w:val="006404BA"/>
    <w:rsid w:val="00640CEC"/>
    <w:rsid w:val="00641240"/>
    <w:rsid w:val="00641738"/>
    <w:rsid w:val="00644039"/>
    <w:rsid w:val="00644DAC"/>
    <w:rsid w:val="00646891"/>
    <w:rsid w:val="006507BA"/>
    <w:rsid w:val="00651C06"/>
    <w:rsid w:val="00653773"/>
    <w:rsid w:val="006578C2"/>
    <w:rsid w:val="00657B4E"/>
    <w:rsid w:val="0066111B"/>
    <w:rsid w:val="00662002"/>
    <w:rsid w:val="006629F1"/>
    <w:rsid w:val="00667B0A"/>
    <w:rsid w:val="006705E0"/>
    <w:rsid w:val="00675569"/>
    <w:rsid w:val="00675C53"/>
    <w:rsid w:val="00680686"/>
    <w:rsid w:val="00680F1C"/>
    <w:rsid w:val="00681BC0"/>
    <w:rsid w:val="006825E2"/>
    <w:rsid w:val="00683A5B"/>
    <w:rsid w:val="00684B39"/>
    <w:rsid w:val="00691403"/>
    <w:rsid w:val="00696016"/>
    <w:rsid w:val="006A0ECF"/>
    <w:rsid w:val="006A0FB1"/>
    <w:rsid w:val="006A241D"/>
    <w:rsid w:val="006A3173"/>
    <w:rsid w:val="006A3A5E"/>
    <w:rsid w:val="006A4219"/>
    <w:rsid w:val="006A4419"/>
    <w:rsid w:val="006A48F6"/>
    <w:rsid w:val="006A6088"/>
    <w:rsid w:val="006A76EA"/>
    <w:rsid w:val="006B48AD"/>
    <w:rsid w:val="006B5882"/>
    <w:rsid w:val="006B737C"/>
    <w:rsid w:val="006C2B83"/>
    <w:rsid w:val="006C71ED"/>
    <w:rsid w:val="006C73E5"/>
    <w:rsid w:val="006D2B2C"/>
    <w:rsid w:val="006D726E"/>
    <w:rsid w:val="006E1BC9"/>
    <w:rsid w:val="006E3C63"/>
    <w:rsid w:val="006E554C"/>
    <w:rsid w:val="006E607D"/>
    <w:rsid w:val="006F1072"/>
    <w:rsid w:val="006F2758"/>
    <w:rsid w:val="006F586C"/>
    <w:rsid w:val="006F6177"/>
    <w:rsid w:val="006F6B04"/>
    <w:rsid w:val="007002FF"/>
    <w:rsid w:val="00702C84"/>
    <w:rsid w:val="00703112"/>
    <w:rsid w:val="00703A96"/>
    <w:rsid w:val="007113C8"/>
    <w:rsid w:val="00712E5A"/>
    <w:rsid w:val="00717D31"/>
    <w:rsid w:val="00721A4F"/>
    <w:rsid w:val="0072596C"/>
    <w:rsid w:val="00727681"/>
    <w:rsid w:val="0073038B"/>
    <w:rsid w:val="007328F6"/>
    <w:rsid w:val="007344C1"/>
    <w:rsid w:val="007366E1"/>
    <w:rsid w:val="00736740"/>
    <w:rsid w:val="00741DF0"/>
    <w:rsid w:val="00742BD8"/>
    <w:rsid w:val="007436B9"/>
    <w:rsid w:val="0074461F"/>
    <w:rsid w:val="007456D8"/>
    <w:rsid w:val="00746FD0"/>
    <w:rsid w:val="007477FB"/>
    <w:rsid w:val="007479D0"/>
    <w:rsid w:val="0075338A"/>
    <w:rsid w:val="00753652"/>
    <w:rsid w:val="00756435"/>
    <w:rsid w:val="00756C15"/>
    <w:rsid w:val="00761B85"/>
    <w:rsid w:val="0076340C"/>
    <w:rsid w:val="007672BF"/>
    <w:rsid w:val="00767570"/>
    <w:rsid w:val="00771EEE"/>
    <w:rsid w:val="007809AD"/>
    <w:rsid w:val="007812CE"/>
    <w:rsid w:val="00782C83"/>
    <w:rsid w:val="00786D42"/>
    <w:rsid w:val="00793ED0"/>
    <w:rsid w:val="00795E1C"/>
    <w:rsid w:val="007A49E1"/>
    <w:rsid w:val="007A58DA"/>
    <w:rsid w:val="007B02F4"/>
    <w:rsid w:val="007B1416"/>
    <w:rsid w:val="007B1C06"/>
    <w:rsid w:val="007B22A1"/>
    <w:rsid w:val="007B4126"/>
    <w:rsid w:val="007B4548"/>
    <w:rsid w:val="007C19A6"/>
    <w:rsid w:val="007C5E47"/>
    <w:rsid w:val="007C626E"/>
    <w:rsid w:val="007D0B8F"/>
    <w:rsid w:val="007D0CFC"/>
    <w:rsid w:val="007D1B47"/>
    <w:rsid w:val="007D1F9F"/>
    <w:rsid w:val="007D54BE"/>
    <w:rsid w:val="007D57FD"/>
    <w:rsid w:val="007D789F"/>
    <w:rsid w:val="007E086F"/>
    <w:rsid w:val="007E265B"/>
    <w:rsid w:val="007E2E85"/>
    <w:rsid w:val="007F4519"/>
    <w:rsid w:val="007F56E4"/>
    <w:rsid w:val="007F5D28"/>
    <w:rsid w:val="007F6A80"/>
    <w:rsid w:val="007F71CA"/>
    <w:rsid w:val="008025F2"/>
    <w:rsid w:val="00812276"/>
    <w:rsid w:val="008129FE"/>
    <w:rsid w:val="008154EF"/>
    <w:rsid w:val="008212AB"/>
    <w:rsid w:val="0082222D"/>
    <w:rsid w:val="00822EC7"/>
    <w:rsid w:val="00825129"/>
    <w:rsid w:val="00830C26"/>
    <w:rsid w:val="008310D2"/>
    <w:rsid w:val="00836E98"/>
    <w:rsid w:val="0084011A"/>
    <w:rsid w:val="00841334"/>
    <w:rsid w:val="008443EA"/>
    <w:rsid w:val="00844D38"/>
    <w:rsid w:val="0084671E"/>
    <w:rsid w:val="0084683B"/>
    <w:rsid w:val="00846A10"/>
    <w:rsid w:val="00847816"/>
    <w:rsid w:val="0085515B"/>
    <w:rsid w:val="0085543F"/>
    <w:rsid w:val="008562C5"/>
    <w:rsid w:val="00861747"/>
    <w:rsid w:val="00862A91"/>
    <w:rsid w:val="00862E50"/>
    <w:rsid w:val="0086330D"/>
    <w:rsid w:val="00866136"/>
    <w:rsid w:val="008664CE"/>
    <w:rsid w:val="0086736B"/>
    <w:rsid w:val="00867A9F"/>
    <w:rsid w:val="00871427"/>
    <w:rsid w:val="008722E3"/>
    <w:rsid w:val="00875E0C"/>
    <w:rsid w:val="008765C6"/>
    <w:rsid w:val="00880B51"/>
    <w:rsid w:val="00880BAA"/>
    <w:rsid w:val="00880CAF"/>
    <w:rsid w:val="00881891"/>
    <w:rsid w:val="00882597"/>
    <w:rsid w:val="008865A2"/>
    <w:rsid w:val="00890B58"/>
    <w:rsid w:val="00892D02"/>
    <w:rsid w:val="008A078E"/>
    <w:rsid w:val="008A09E2"/>
    <w:rsid w:val="008A281F"/>
    <w:rsid w:val="008A37BC"/>
    <w:rsid w:val="008A38A0"/>
    <w:rsid w:val="008A79D9"/>
    <w:rsid w:val="008B1D93"/>
    <w:rsid w:val="008B3759"/>
    <w:rsid w:val="008B4A0F"/>
    <w:rsid w:val="008C234B"/>
    <w:rsid w:val="008C300B"/>
    <w:rsid w:val="008C4E2E"/>
    <w:rsid w:val="008D178A"/>
    <w:rsid w:val="008D2550"/>
    <w:rsid w:val="008D6BE7"/>
    <w:rsid w:val="008E214F"/>
    <w:rsid w:val="008E31BF"/>
    <w:rsid w:val="008E37ED"/>
    <w:rsid w:val="008F17BA"/>
    <w:rsid w:val="008F3D8F"/>
    <w:rsid w:val="008F5034"/>
    <w:rsid w:val="008F666C"/>
    <w:rsid w:val="009002CE"/>
    <w:rsid w:val="00901008"/>
    <w:rsid w:val="00903239"/>
    <w:rsid w:val="00904785"/>
    <w:rsid w:val="009048D9"/>
    <w:rsid w:val="00905864"/>
    <w:rsid w:val="00906755"/>
    <w:rsid w:val="009079F8"/>
    <w:rsid w:val="00907C12"/>
    <w:rsid w:val="009128C5"/>
    <w:rsid w:val="00914782"/>
    <w:rsid w:val="00914B51"/>
    <w:rsid w:val="009165E7"/>
    <w:rsid w:val="009171A4"/>
    <w:rsid w:val="0092240A"/>
    <w:rsid w:val="00923262"/>
    <w:rsid w:val="0092368B"/>
    <w:rsid w:val="00927581"/>
    <w:rsid w:val="0093184F"/>
    <w:rsid w:val="00934B82"/>
    <w:rsid w:val="00934C7C"/>
    <w:rsid w:val="009374DE"/>
    <w:rsid w:val="00942852"/>
    <w:rsid w:val="0094401A"/>
    <w:rsid w:val="00944B4F"/>
    <w:rsid w:val="00947914"/>
    <w:rsid w:val="00952721"/>
    <w:rsid w:val="0095577C"/>
    <w:rsid w:val="00955E4C"/>
    <w:rsid w:val="00957B2D"/>
    <w:rsid w:val="009621ED"/>
    <w:rsid w:val="00967573"/>
    <w:rsid w:val="00970575"/>
    <w:rsid w:val="0097148D"/>
    <w:rsid w:val="00971945"/>
    <w:rsid w:val="00976224"/>
    <w:rsid w:val="009766D3"/>
    <w:rsid w:val="009768E1"/>
    <w:rsid w:val="009770DF"/>
    <w:rsid w:val="00980FF8"/>
    <w:rsid w:val="009829AB"/>
    <w:rsid w:val="0098361C"/>
    <w:rsid w:val="00987E1D"/>
    <w:rsid w:val="00992169"/>
    <w:rsid w:val="00993F5B"/>
    <w:rsid w:val="009A145F"/>
    <w:rsid w:val="009A2795"/>
    <w:rsid w:val="009A551E"/>
    <w:rsid w:val="009B2287"/>
    <w:rsid w:val="009B2C15"/>
    <w:rsid w:val="009B3618"/>
    <w:rsid w:val="009B69B5"/>
    <w:rsid w:val="009B7632"/>
    <w:rsid w:val="009C1360"/>
    <w:rsid w:val="009C2BBF"/>
    <w:rsid w:val="009D1715"/>
    <w:rsid w:val="009D3CD6"/>
    <w:rsid w:val="009D480C"/>
    <w:rsid w:val="009E0B11"/>
    <w:rsid w:val="009E4999"/>
    <w:rsid w:val="009E4A3F"/>
    <w:rsid w:val="009E543C"/>
    <w:rsid w:val="009E6C23"/>
    <w:rsid w:val="009F37A6"/>
    <w:rsid w:val="009F3B21"/>
    <w:rsid w:val="009F54E9"/>
    <w:rsid w:val="009F583D"/>
    <w:rsid w:val="009F7EA7"/>
    <w:rsid w:val="00A019D4"/>
    <w:rsid w:val="00A024D2"/>
    <w:rsid w:val="00A0269A"/>
    <w:rsid w:val="00A1007E"/>
    <w:rsid w:val="00A108BB"/>
    <w:rsid w:val="00A13666"/>
    <w:rsid w:val="00A1450D"/>
    <w:rsid w:val="00A24D32"/>
    <w:rsid w:val="00A25050"/>
    <w:rsid w:val="00A26431"/>
    <w:rsid w:val="00A27DD9"/>
    <w:rsid w:val="00A41FCE"/>
    <w:rsid w:val="00A45687"/>
    <w:rsid w:val="00A46885"/>
    <w:rsid w:val="00A46B25"/>
    <w:rsid w:val="00A50938"/>
    <w:rsid w:val="00A5135B"/>
    <w:rsid w:val="00A51CAC"/>
    <w:rsid w:val="00A53FC0"/>
    <w:rsid w:val="00A544C0"/>
    <w:rsid w:val="00A56F8E"/>
    <w:rsid w:val="00A60FFF"/>
    <w:rsid w:val="00A6144B"/>
    <w:rsid w:val="00A62D9F"/>
    <w:rsid w:val="00A6492D"/>
    <w:rsid w:val="00A64E6F"/>
    <w:rsid w:val="00A650BE"/>
    <w:rsid w:val="00A65D5A"/>
    <w:rsid w:val="00A675D4"/>
    <w:rsid w:val="00A70763"/>
    <w:rsid w:val="00A718CF"/>
    <w:rsid w:val="00A82574"/>
    <w:rsid w:val="00A82F17"/>
    <w:rsid w:val="00A837DF"/>
    <w:rsid w:val="00A86C02"/>
    <w:rsid w:val="00A90460"/>
    <w:rsid w:val="00A91CFC"/>
    <w:rsid w:val="00A92A04"/>
    <w:rsid w:val="00A94292"/>
    <w:rsid w:val="00A96699"/>
    <w:rsid w:val="00A96FAD"/>
    <w:rsid w:val="00AA25DA"/>
    <w:rsid w:val="00AB0A25"/>
    <w:rsid w:val="00AB1025"/>
    <w:rsid w:val="00AC0EF9"/>
    <w:rsid w:val="00AC3D32"/>
    <w:rsid w:val="00AC4D54"/>
    <w:rsid w:val="00AC5F9E"/>
    <w:rsid w:val="00AD3857"/>
    <w:rsid w:val="00AD3C56"/>
    <w:rsid w:val="00AD5DD4"/>
    <w:rsid w:val="00AD6DDA"/>
    <w:rsid w:val="00AE3093"/>
    <w:rsid w:val="00AE33EE"/>
    <w:rsid w:val="00AE5099"/>
    <w:rsid w:val="00AF2F9F"/>
    <w:rsid w:val="00AF4542"/>
    <w:rsid w:val="00AF4F13"/>
    <w:rsid w:val="00B0505E"/>
    <w:rsid w:val="00B05A2F"/>
    <w:rsid w:val="00B07011"/>
    <w:rsid w:val="00B107DC"/>
    <w:rsid w:val="00B112A4"/>
    <w:rsid w:val="00B13E49"/>
    <w:rsid w:val="00B14001"/>
    <w:rsid w:val="00B15CF2"/>
    <w:rsid w:val="00B16034"/>
    <w:rsid w:val="00B1765E"/>
    <w:rsid w:val="00B1799C"/>
    <w:rsid w:val="00B20E09"/>
    <w:rsid w:val="00B220FB"/>
    <w:rsid w:val="00B23B78"/>
    <w:rsid w:val="00B256A9"/>
    <w:rsid w:val="00B31A0C"/>
    <w:rsid w:val="00B40CDA"/>
    <w:rsid w:val="00B44394"/>
    <w:rsid w:val="00B5086D"/>
    <w:rsid w:val="00B5284A"/>
    <w:rsid w:val="00B5449A"/>
    <w:rsid w:val="00B638D2"/>
    <w:rsid w:val="00B6470F"/>
    <w:rsid w:val="00B65C50"/>
    <w:rsid w:val="00B67684"/>
    <w:rsid w:val="00B6789A"/>
    <w:rsid w:val="00B67A7F"/>
    <w:rsid w:val="00B71742"/>
    <w:rsid w:val="00B74EFB"/>
    <w:rsid w:val="00B75EE3"/>
    <w:rsid w:val="00B77F2D"/>
    <w:rsid w:val="00B80EE8"/>
    <w:rsid w:val="00B82396"/>
    <w:rsid w:val="00B83A1D"/>
    <w:rsid w:val="00B907A2"/>
    <w:rsid w:val="00B91183"/>
    <w:rsid w:val="00B91964"/>
    <w:rsid w:val="00B94C3C"/>
    <w:rsid w:val="00BA0251"/>
    <w:rsid w:val="00BA5BD1"/>
    <w:rsid w:val="00BB0549"/>
    <w:rsid w:val="00BB5F3F"/>
    <w:rsid w:val="00BC0111"/>
    <w:rsid w:val="00BC0517"/>
    <w:rsid w:val="00BC197F"/>
    <w:rsid w:val="00BC27BE"/>
    <w:rsid w:val="00BC31E9"/>
    <w:rsid w:val="00BC47D9"/>
    <w:rsid w:val="00BC5080"/>
    <w:rsid w:val="00BC55F0"/>
    <w:rsid w:val="00BC57CD"/>
    <w:rsid w:val="00BC7764"/>
    <w:rsid w:val="00BC77A8"/>
    <w:rsid w:val="00BD02BB"/>
    <w:rsid w:val="00BD2672"/>
    <w:rsid w:val="00BD3B51"/>
    <w:rsid w:val="00BD592A"/>
    <w:rsid w:val="00BD5F85"/>
    <w:rsid w:val="00BD7172"/>
    <w:rsid w:val="00BD7FCD"/>
    <w:rsid w:val="00BE0630"/>
    <w:rsid w:val="00BE2706"/>
    <w:rsid w:val="00BF07B7"/>
    <w:rsid w:val="00BF0B05"/>
    <w:rsid w:val="00BF1EDA"/>
    <w:rsid w:val="00BF2E55"/>
    <w:rsid w:val="00BF525E"/>
    <w:rsid w:val="00BF5B37"/>
    <w:rsid w:val="00BF76A5"/>
    <w:rsid w:val="00C00861"/>
    <w:rsid w:val="00C03562"/>
    <w:rsid w:val="00C0446C"/>
    <w:rsid w:val="00C10E09"/>
    <w:rsid w:val="00C1210E"/>
    <w:rsid w:val="00C133B4"/>
    <w:rsid w:val="00C13917"/>
    <w:rsid w:val="00C17082"/>
    <w:rsid w:val="00C17A91"/>
    <w:rsid w:val="00C24909"/>
    <w:rsid w:val="00C30780"/>
    <w:rsid w:val="00C3165F"/>
    <w:rsid w:val="00C32BC7"/>
    <w:rsid w:val="00C34B07"/>
    <w:rsid w:val="00C370B2"/>
    <w:rsid w:val="00C37149"/>
    <w:rsid w:val="00C41650"/>
    <w:rsid w:val="00C41A1C"/>
    <w:rsid w:val="00C47E2B"/>
    <w:rsid w:val="00C533EA"/>
    <w:rsid w:val="00C54229"/>
    <w:rsid w:val="00C54E53"/>
    <w:rsid w:val="00C54F08"/>
    <w:rsid w:val="00C57C43"/>
    <w:rsid w:val="00C57E91"/>
    <w:rsid w:val="00C62A30"/>
    <w:rsid w:val="00C63DBF"/>
    <w:rsid w:val="00C65CDA"/>
    <w:rsid w:val="00C66992"/>
    <w:rsid w:val="00C67F53"/>
    <w:rsid w:val="00C720F8"/>
    <w:rsid w:val="00C75125"/>
    <w:rsid w:val="00C75642"/>
    <w:rsid w:val="00C76F34"/>
    <w:rsid w:val="00C80E46"/>
    <w:rsid w:val="00C82A32"/>
    <w:rsid w:val="00C83B81"/>
    <w:rsid w:val="00C8473B"/>
    <w:rsid w:val="00C85A9E"/>
    <w:rsid w:val="00C86A18"/>
    <w:rsid w:val="00C87432"/>
    <w:rsid w:val="00C9128F"/>
    <w:rsid w:val="00C972D0"/>
    <w:rsid w:val="00CA4919"/>
    <w:rsid w:val="00CA4D95"/>
    <w:rsid w:val="00CA7793"/>
    <w:rsid w:val="00CB0038"/>
    <w:rsid w:val="00CB14F4"/>
    <w:rsid w:val="00CB73BD"/>
    <w:rsid w:val="00CC1D82"/>
    <w:rsid w:val="00CC2202"/>
    <w:rsid w:val="00CC266B"/>
    <w:rsid w:val="00CC48A2"/>
    <w:rsid w:val="00CC557E"/>
    <w:rsid w:val="00CD0A43"/>
    <w:rsid w:val="00CD4B2E"/>
    <w:rsid w:val="00CD60FE"/>
    <w:rsid w:val="00CD7518"/>
    <w:rsid w:val="00CE1B4B"/>
    <w:rsid w:val="00CE5FAC"/>
    <w:rsid w:val="00CF0788"/>
    <w:rsid w:val="00CF316B"/>
    <w:rsid w:val="00CF5435"/>
    <w:rsid w:val="00CF5864"/>
    <w:rsid w:val="00CF6420"/>
    <w:rsid w:val="00D0119D"/>
    <w:rsid w:val="00D02852"/>
    <w:rsid w:val="00D04AF0"/>
    <w:rsid w:val="00D125D5"/>
    <w:rsid w:val="00D1295E"/>
    <w:rsid w:val="00D12E8F"/>
    <w:rsid w:val="00D13015"/>
    <w:rsid w:val="00D1772C"/>
    <w:rsid w:val="00D17B0B"/>
    <w:rsid w:val="00D202DD"/>
    <w:rsid w:val="00D26DFF"/>
    <w:rsid w:val="00D2787B"/>
    <w:rsid w:val="00D300F1"/>
    <w:rsid w:val="00D32CCD"/>
    <w:rsid w:val="00D32F56"/>
    <w:rsid w:val="00D40F32"/>
    <w:rsid w:val="00D433AD"/>
    <w:rsid w:val="00D46576"/>
    <w:rsid w:val="00D50561"/>
    <w:rsid w:val="00D50576"/>
    <w:rsid w:val="00D55B53"/>
    <w:rsid w:val="00D56009"/>
    <w:rsid w:val="00D56247"/>
    <w:rsid w:val="00D620A6"/>
    <w:rsid w:val="00D62FD0"/>
    <w:rsid w:val="00D64086"/>
    <w:rsid w:val="00D6533E"/>
    <w:rsid w:val="00D65597"/>
    <w:rsid w:val="00D71EF1"/>
    <w:rsid w:val="00D72561"/>
    <w:rsid w:val="00D725D6"/>
    <w:rsid w:val="00D82215"/>
    <w:rsid w:val="00D90815"/>
    <w:rsid w:val="00D91ADB"/>
    <w:rsid w:val="00D96D69"/>
    <w:rsid w:val="00D970E0"/>
    <w:rsid w:val="00DA663E"/>
    <w:rsid w:val="00DB0A47"/>
    <w:rsid w:val="00DB2564"/>
    <w:rsid w:val="00DB31C7"/>
    <w:rsid w:val="00DB6A03"/>
    <w:rsid w:val="00DB74AE"/>
    <w:rsid w:val="00DC068A"/>
    <w:rsid w:val="00DC1C94"/>
    <w:rsid w:val="00DC24DE"/>
    <w:rsid w:val="00DC25EE"/>
    <w:rsid w:val="00DC4B10"/>
    <w:rsid w:val="00DC6599"/>
    <w:rsid w:val="00DC7381"/>
    <w:rsid w:val="00DC7C45"/>
    <w:rsid w:val="00DD0F8A"/>
    <w:rsid w:val="00DD1842"/>
    <w:rsid w:val="00DD1AE7"/>
    <w:rsid w:val="00DD2565"/>
    <w:rsid w:val="00DD3222"/>
    <w:rsid w:val="00DD45F7"/>
    <w:rsid w:val="00DD7867"/>
    <w:rsid w:val="00DD7C72"/>
    <w:rsid w:val="00DE036D"/>
    <w:rsid w:val="00DE1E35"/>
    <w:rsid w:val="00DE3997"/>
    <w:rsid w:val="00DE4EFA"/>
    <w:rsid w:val="00DE560D"/>
    <w:rsid w:val="00DE652D"/>
    <w:rsid w:val="00DE755F"/>
    <w:rsid w:val="00DF064A"/>
    <w:rsid w:val="00DF28F5"/>
    <w:rsid w:val="00E01690"/>
    <w:rsid w:val="00E019F6"/>
    <w:rsid w:val="00E0234D"/>
    <w:rsid w:val="00E03DBD"/>
    <w:rsid w:val="00E04167"/>
    <w:rsid w:val="00E11BE2"/>
    <w:rsid w:val="00E1421B"/>
    <w:rsid w:val="00E163E4"/>
    <w:rsid w:val="00E17590"/>
    <w:rsid w:val="00E20E71"/>
    <w:rsid w:val="00E242A8"/>
    <w:rsid w:val="00E26D19"/>
    <w:rsid w:val="00E27FC8"/>
    <w:rsid w:val="00E315A6"/>
    <w:rsid w:val="00E31EE6"/>
    <w:rsid w:val="00E34CD2"/>
    <w:rsid w:val="00E37764"/>
    <w:rsid w:val="00E3795E"/>
    <w:rsid w:val="00E4037B"/>
    <w:rsid w:val="00E4096A"/>
    <w:rsid w:val="00E415E7"/>
    <w:rsid w:val="00E50DF2"/>
    <w:rsid w:val="00E51F52"/>
    <w:rsid w:val="00E545F8"/>
    <w:rsid w:val="00E549BD"/>
    <w:rsid w:val="00E63C85"/>
    <w:rsid w:val="00E65DEA"/>
    <w:rsid w:val="00E72600"/>
    <w:rsid w:val="00E76324"/>
    <w:rsid w:val="00E77A44"/>
    <w:rsid w:val="00E80692"/>
    <w:rsid w:val="00E830F9"/>
    <w:rsid w:val="00E85450"/>
    <w:rsid w:val="00E9306F"/>
    <w:rsid w:val="00E93F6E"/>
    <w:rsid w:val="00E95400"/>
    <w:rsid w:val="00EA033D"/>
    <w:rsid w:val="00EA04E3"/>
    <w:rsid w:val="00EA1BD6"/>
    <w:rsid w:val="00EA3C01"/>
    <w:rsid w:val="00EA47DA"/>
    <w:rsid w:val="00EA4FCC"/>
    <w:rsid w:val="00EB2789"/>
    <w:rsid w:val="00EB4B77"/>
    <w:rsid w:val="00EB5218"/>
    <w:rsid w:val="00EB7B8A"/>
    <w:rsid w:val="00EC06AD"/>
    <w:rsid w:val="00EC2613"/>
    <w:rsid w:val="00EC63EB"/>
    <w:rsid w:val="00EC7AB7"/>
    <w:rsid w:val="00ED0292"/>
    <w:rsid w:val="00ED0847"/>
    <w:rsid w:val="00ED64B3"/>
    <w:rsid w:val="00ED7F69"/>
    <w:rsid w:val="00EE05D4"/>
    <w:rsid w:val="00EE2272"/>
    <w:rsid w:val="00EE3A31"/>
    <w:rsid w:val="00EE4DF5"/>
    <w:rsid w:val="00EE5184"/>
    <w:rsid w:val="00EE5B93"/>
    <w:rsid w:val="00EE75BB"/>
    <w:rsid w:val="00EF16B7"/>
    <w:rsid w:val="00EF27DF"/>
    <w:rsid w:val="00EF3CAB"/>
    <w:rsid w:val="00F02B9B"/>
    <w:rsid w:val="00F03F6F"/>
    <w:rsid w:val="00F11C9E"/>
    <w:rsid w:val="00F13344"/>
    <w:rsid w:val="00F1373A"/>
    <w:rsid w:val="00F157F0"/>
    <w:rsid w:val="00F15D79"/>
    <w:rsid w:val="00F25E2C"/>
    <w:rsid w:val="00F27D87"/>
    <w:rsid w:val="00F33A4A"/>
    <w:rsid w:val="00F3466E"/>
    <w:rsid w:val="00F34B70"/>
    <w:rsid w:val="00F35535"/>
    <w:rsid w:val="00F35837"/>
    <w:rsid w:val="00F36EC0"/>
    <w:rsid w:val="00F36F28"/>
    <w:rsid w:val="00F425A9"/>
    <w:rsid w:val="00F42D05"/>
    <w:rsid w:val="00F4316D"/>
    <w:rsid w:val="00F433CD"/>
    <w:rsid w:val="00F459A1"/>
    <w:rsid w:val="00F47FBB"/>
    <w:rsid w:val="00F51D1C"/>
    <w:rsid w:val="00F538A1"/>
    <w:rsid w:val="00F54325"/>
    <w:rsid w:val="00F624FF"/>
    <w:rsid w:val="00F6344F"/>
    <w:rsid w:val="00F64180"/>
    <w:rsid w:val="00F76CB1"/>
    <w:rsid w:val="00F76FB2"/>
    <w:rsid w:val="00F77704"/>
    <w:rsid w:val="00F8403E"/>
    <w:rsid w:val="00F861AF"/>
    <w:rsid w:val="00F87802"/>
    <w:rsid w:val="00F91537"/>
    <w:rsid w:val="00F93BCC"/>
    <w:rsid w:val="00F96BCE"/>
    <w:rsid w:val="00F97070"/>
    <w:rsid w:val="00FA0B49"/>
    <w:rsid w:val="00FA2868"/>
    <w:rsid w:val="00FB0EF3"/>
    <w:rsid w:val="00FB1CE2"/>
    <w:rsid w:val="00FB2192"/>
    <w:rsid w:val="00FB27A5"/>
    <w:rsid w:val="00FB3FBE"/>
    <w:rsid w:val="00FB3FD7"/>
    <w:rsid w:val="00FB4FAC"/>
    <w:rsid w:val="00FB5544"/>
    <w:rsid w:val="00FB633F"/>
    <w:rsid w:val="00FC02A7"/>
    <w:rsid w:val="00FC0CC2"/>
    <w:rsid w:val="00FC238E"/>
    <w:rsid w:val="00FC3AEC"/>
    <w:rsid w:val="00FC5329"/>
    <w:rsid w:val="00FC7176"/>
    <w:rsid w:val="00FD1A3F"/>
    <w:rsid w:val="00FD69A7"/>
    <w:rsid w:val="00FD7140"/>
    <w:rsid w:val="00FE4F3C"/>
    <w:rsid w:val="00FE68F1"/>
    <w:rsid w:val="00FE7F09"/>
    <w:rsid w:val="00FF2D81"/>
    <w:rsid w:val="00FF43D3"/>
    <w:rsid w:val="00FF582C"/>
    <w:rsid w:val="0520B689"/>
    <w:rsid w:val="1762C5BD"/>
    <w:rsid w:val="41687CBF"/>
    <w:rsid w:val="55F0FAA2"/>
    <w:rsid w:val="78E3896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BD829"/>
  <w15:chartTrackingRefBased/>
  <w15:docId w15:val="{932FBB98-83A4-46C6-9606-A7E7C934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56"/>
    <w:pPr>
      <w:spacing w:after="200" w:line="276" w:lineRule="auto"/>
    </w:pPr>
    <w:rPr>
      <w:rFonts w:eastAsiaTheme="minorEastAsia"/>
      <w:kern w:val="0"/>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52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5232"/>
  </w:style>
  <w:style w:type="paragraph" w:styleId="Piedepgina">
    <w:name w:val="footer"/>
    <w:basedOn w:val="Normal"/>
    <w:link w:val="PiedepginaCar"/>
    <w:uiPriority w:val="99"/>
    <w:unhideWhenUsed/>
    <w:rsid w:val="002852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5232"/>
  </w:style>
  <w:style w:type="character" w:styleId="Hipervnculo">
    <w:name w:val="Hyperlink"/>
    <w:basedOn w:val="Fuentedeprrafopredeter"/>
    <w:uiPriority w:val="99"/>
    <w:unhideWhenUsed/>
    <w:rsid w:val="00285232"/>
    <w:rPr>
      <w:color w:val="0563C1" w:themeColor="hyperlink"/>
      <w:u w:val="single"/>
    </w:rPr>
  </w:style>
  <w:style w:type="character" w:customStyle="1" w:styleId="Mencinsinresolver1">
    <w:name w:val="Mención sin resolver1"/>
    <w:basedOn w:val="Fuentedeprrafopredeter"/>
    <w:uiPriority w:val="99"/>
    <w:semiHidden/>
    <w:unhideWhenUsed/>
    <w:rsid w:val="00285232"/>
    <w:rPr>
      <w:color w:val="605E5C"/>
      <w:shd w:val="clear" w:color="auto" w:fill="E1DFDD"/>
    </w:rPr>
  </w:style>
  <w:style w:type="paragraph" w:customStyle="1" w:styleId="Default">
    <w:name w:val="Default"/>
    <w:rsid w:val="00127B09"/>
    <w:pPr>
      <w:autoSpaceDE w:val="0"/>
      <w:autoSpaceDN w:val="0"/>
      <w:adjustRightInd w:val="0"/>
      <w:spacing w:after="0" w:line="240" w:lineRule="auto"/>
    </w:pPr>
    <w:rPr>
      <w:rFonts w:ascii="Arial" w:eastAsia="Times New Roman" w:hAnsi="Arial" w:cs="Arial"/>
      <w:color w:val="000000"/>
      <w:kern w:val="0"/>
      <w:sz w:val="24"/>
      <w:szCs w:val="24"/>
      <w:lang w:eastAsia="es-CR"/>
      <w14:ligatures w14:val="none"/>
    </w:rPr>
  </w:style>
  <w:style w:type="table" w:styleId="Tablaconcuadrcula">
    <w:name w:val="Table Grid"/>
    <w:basedOn w:val="Tablanormal"/>
    <w:uiPriority w:val="39"/>
    <w:rsid w:val="00B107DC"/>
    <w:pPr>
      <w:spacing w:after="0" w:line="240" w:lineRule="auto"/>
    </w:pPr>
    <w:rPr>
      <w:kern w:val="0"/>
      <w:lang w:val="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AD6DDA"/>
    <w:pPr>
      <w:spacing w:after="0" w:line="36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uiPriority w:val="1"/>
    <w:rsid w:val="00AD6DDA"/>
    <w:rPr>
      <w:rFonts w:ascii="Times New Roman" w:eastAsia="Times New Roman" w:hAnsi="Times New Roman" w:cs="Times New Roman"/>
      <w:kern w:val="0"/>
      <w:sz w:val="28"/>
      <w:szCs w:val="24"/>
      <w:lang w:val="es-ES" w:eastAsia="es-ES"/>
      <w14:ligatures w14:val="none"/>
    </w:rPr>
  </w:style>
  <w:style w:type="paragraph" w:styleId="Prrafodelista">
    <w:name w:val="List Paragraph"/>
    <w:aliases w:val="3,Bullets,FooterText,numbered,List Paragraph1,Paragraphe de liste1,Bulletr List Paragraph,列出段落,列出段落1,lp1,lp11,Bullet List"/>
    <w:basedOn w:val="Normal"/>
    <w:link w:val="PrrafodelistaCar"/>
    <w:uiPriority w:val="34"/>
    <w:qFormat/>
    <w:rsid w:val="00AD6DDA"/>
    <w:pPr>
      <w:spacing w:after="0" w:line="240" w:lineRule="auto"/>
      <w:ind w:left="720"/>
      <w:contextualSpacing/>
    </w:pPr>
    <w:rPr>
      <w:rFonts w:ascii="Times New Roman" w:eastAsia="MS Mincho" w:hAnsi="Times New Roman" w:cs="Times New Roman"/>
      <w:sz w:val="24"/>
      <w:szCs w:val="24"/>
      <w:lang w:val="es-ES" w:eastAsia="es-ES"/>
    </w:rPr>
  </w:style>
  <w:style w:type="character" w:customStyle="1" w:styleId="PrrafodelistaCar">
    <w:name w:val="Párrafo de lista Car"/>
    <w:aliases w:val="3 Car,Bullets Car,FooterText Car,numbered Car,List Paragraph1 Car,Paragraphe de liste1 Car,Bulletr List Paragraph Car,列出段落 Car,列出段落1 Car,lp1 Car,lp11 Car,Bullet List Car"/>
    <w:link w:val="Prrafodelista"/>
    <w:uiPriority w:val="34"/>
    <w:qFormat/>
    <w:locked/>
    <w:rsid w:val="00AD6DDA"/>
    <w:rPr>
      <w:rFonts w:ascii="Times New Roman" w:eastAsia="MS Mincho" w:hAnsi="Times New Roman" w:cs="Times New Roman"/>
      <w:kern w:val="0"/>
      <w:sz w:val="24"/>
      <w:szCs w:val="24"/>
      <w:lang w:val="es-ES" w:eastAsia="es-ES"/>
      <w14:ligatures w14:val="none"/>
    </w:rPr>
  </w:style>
  <w:style w:type="table" w:customStyle="1" w:styleId="NormalTable0">
    <w:name w:val="Normal Table0"/>
    <w:uiPriority w:val="2"/>
    <w:semiHidden/>
    <w:unhideWhenUsed/>
    <w:qFormat/>
    <w:rsid w:val="00486B5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86B54"/>
    <w:pPr>
      <w:widowControl w:val="0"/>
      <w:autoSpaceDE w:val="0"/>
      <w:autoSpaceDN w:val="0"/>
      <w:spacing w:before="124" w:after="0" w:line="240" w:lineRule="auto"/>
      <w:ind w:left="10"/>
      <w:jc w:val="center"/>
    </w:pPr>
    <w:rPr>
      <w:rFonts w:ascii="Arial MT" w:eastAsia="Arial MT" w:hAnsi="Arial MT" w:cs="Arial MT"/>
      <w:lang w:val="es-ES"/>
    </w:rPr>
  </w:style>
  <w:style w:type="paragraph" w:styleId="Textonotapie">
    <w:name w:val="footnote text"/>
    <w:basedOn w:val="Normal"/>
    <w:link w:val="TextonotapieCar"/>
    <w:uiPriority w:val="99"/>
    <w:semiHidden/>
    <w:unhideWhenUsed/>
    <w:rsid w:val="007D0B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0B8F"/>
    <w:rPr>
      <w:rFonts w:eastAsiaTheme="minorEastAsia"/>
      <w:kern w:val="0"/>
      <w:sz w:val="20"/>
      <w:szCs w:val="20"/>
      <w:lang w:val="en-US"/>
      <w14:ligatures w14:val="none"/>
    </w:rPr>
  </w:style>
  <w:style w:type="character" w:styleId="Refdenotaalpie">
    <w:name w:val="footnote reference"/>
    <w:basedOn w:val="Fuentedeprrafopredeter"/>
    <w:uiPriority w:val="99"/>
    <w:semiHidden/>
    <w:unhideWhenUsed/>
    <w:rsid w:val="007D0B8F"/>
    <w:rPr>
      <w:vertAlign w:val="superscript"/>
    </w:rPr>
  </w:style>
  <w:style w:type="character" w:customStyle="1" w:styleId="ui-provider">
    <w:name w:val="ui-provider"/>
    <w:basedOn w:val="Fuentedeprrafopredeter"/>
    <w:rsid w:val="00BC77A8"/>
  </w:style>
  <w:style w:type="character" w:styleId="Refdecomentario">
    <w:name w:val="annotation reference"/>
    <w:basedOn w:val="Fuentedeprrafopredeter"/>
    <w:uiPriority w:val="99"/>
    <w:semiHidden/>
    <w:unhideWhenUsed/>
    <w:rsid w:val="001E62E8"/>
    <w:rPr>
      <w:sz w:val="16"/>
      <w:szCs w:val="16"/>
    </w:rPr>
  </w:style>
  <w:style w:type="paragraph" w:styleId="Textocomentario">
    <w:name w:val="annotation text"/>
    <w:basedOn w:val="Normal"/>
    <w:link w:val="TextocomentarioCar"/>
    <w:uiPriority w:val="99"/>
    <w:semiHidden/>
    <w:unhideWhenUsed/>
    <w:rsid w:val="001E62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62E8"/>
    <w:rPr>
      <w:rFonts w:eastAsiaTheme="minorEastAsia"/>
      <w:kern w:val="0"/>
      <w:sz w:val="20"/>
      <w:szCs w:val="20"/>
      <w:lang w:val="es-ES_tradnl"/>
      <w14:ligatures w14:val="none"/>
    </w:rPr>
  </w:style>
  <w:style w:type="paragraph" w:styleId="Asuntodelcomentario">
    <w:name w:val="annotation subject"/>
    <w:basedOn w:val="Textocomentario"/>
    <w:next w:val="Textocomentario"/>
    <w:link w:val="AsuntodelcomentarioCar"/>
    <w:uiPriority w:val="99"/>
    <w:semiHidden/>
    <w:unhideWhenUsed/>
    <w:rsid w:val="001E62E8"/>
    <w:rPr>
      <w:b/>
      <w:bCs/>
    </w:rPr>
  </w:style>
  <w:style w:type="character" w:customStyle="1" w:styleId="AsuntodelcomentarioCar">
    <w:name w:val="Asunto del comentario Car"/>
    <w:basedOn w:val="TextocomentarioCar"/>
    <w:link w:val="Asuntodelcomentario"/>
    <w:uiPriority w:val="99"/>
    <w:semiHidden/>
    <w:rsid w:val="001E62E8"/>
    <w:rPr>
      <w:rFonts w:eastAsiaTheme="minorEastAsia"/>
      <w:b/>
      <w:bCs/>
      <w:kern w:val="0"/>
      <w:sz w:val="20"/>
      <w:szCs w:val="20"/>
      <w:lang w:val="es-ES_tradnl"/>
      <w14:ligatures w14:val="none"/>
    </w:rPr>
  </w:style>
  <w:style w:type="paragraph" w:styleId="Textodeglobo">
    <w:name w:val="Balloon Text"/>
    <w:basedOn w:val="Normal"/>
    <w:link w:val="TextodegloboCar"/>
    <w:uiPriority w:val="99"/>
    <w:semiHidden/>
    <w:unhideWhenUsed/>
    <w:rsid w:val="001E62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62E8"/>
    <w:rPr>
      <w:rFonts w:ascii="Segoe UI" w:eastAsiaTheme="minorEastAsia" w:hAnsi="Segoe UI" w:cs="Segoe UI"/>
      <w:kern w:val="0"/>
      <w:sz w:val="18"/>
      <w:szCs w:val="18"/>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3796">
      <w:bodyDiv w:val="1"/>
      <w:marLeft w:val="0"/>
      <w:marRight w:val="0"/>
      <w:marTop w:val="0"/>
      <w:marBottom w:val="0"/>
      <w:divBdr>
        <w:top w:val="none" w:sz="0" w:space="0" w:color="auto"/>
        <w:left w:val="none" w:sz="0" w:space="0" w:color="auto"/>
        <w:bottom w:val="none" w:sz="0" w:space="0" w:color="auto"/>
        <w:right w:val="none" w:sz="0" w:space="0" w:color="auto"/>
      </w:divBdr>
      <w:divsChild>
        <w:div w:id="1828394389">
          <w:marLeft w:val="0"/>
          <w:marRight w:val="0"/>
          <w:marTop w:val="0"/>
          <w:marBottom w:val="0"/>
          <w:divBdr>
            <w:top w:val="none" w:sz="0" w:space="0" w:color="auto"/>
            <w:left w:val="none" w:sz="0" w:space="0" w:color="auto"/>
            <w:bottom w:val="none" w:sz="0" w:space="0" w:color="auto"/>
            <w:right w:val="none" w:sz="0" w:space="0" w:color="auto"/>
          </w:divBdr>
        </w:div>
      </w:divsChild>
    </w:div>
    <w:div w:id="261837992">
      <w:bodyDiv w:val="1"/>
      <w:marLeft w:val="0"/>
      <w:marRight w:val="0"/>
      <w:marTop w:val="0"/>
      <w:marBottom w:val="0"/>
      <w:divBdr>
        <w:top w:val="none" w:sz="0" w:space="0" w:color="auto"/>
        <w:left w:val="none" w:sz="0" w:space="0" w:color="auto"/>
        <w:bottom w:val="none" w:sz="0" w:space="0" w:color="auto"/>
        <w:right w:val="none" w:sz="0" w:space="0" w:color="auto"/>
      </w:divBdr>
    </w:div>
    <w:div w:id="308436553">
      <w:bodyDiv w:val="1"/>
      <w:marLeft w:val="0"/>
      <w:marRight w:val="0"/>
      <w:marTop w:val="0"/>
      <w:marBottom w:val="0"/>
      <w:divBdr>
        <w:top w:val="none" w:sz="0" w:space="0" w:color="auto"/>
        <w:left w:val="none" w:sz="0" w:space="0" w:color="auto"/>
        <w:bottom w:val="none" w:sz="0" w:space="0" w:color="auto"/>
        <w:right w:val="none" w:sz="0" w:space="0" w:color="auto"/>
      </w:divBdr>
    </w:div>
    <w:div w:id="321811149">
      <w:bodyDiv w:val="1"/>
      <w:marLeft w:val="0"/>
      <w:marRight w:val="0"/>
      <w:marTop w:val="0"/>
      <w:marBottom w:val="0"/>
      <w:divBdr>
        <w:top w:val="none" w:sz="0" w:space="0" w:color="auto"/>
        <w:left w:val="none" w:sz="0" w:space="0" w:color="auto"/>
        <w:bottom w:val="none" w:sz="0" w:space="0" w:color="auto"/>
        <w:right w:val="none" w:sz="0" w:space="0" w:color="auto"/>
      </w:divBdr>
    </w:div>
    <w:div w:id="412554244">
      <w:bodyDiv w:val="1"/>
      <w:marLeft w:val="0"/>
      <w:marRight w:val="0"/>
      <w:marTop w:val="0"/>
      <w:marBottom w:val="0"/>
      <w:divBdr>
        <w:top w:val="none" w:sz="0" w:space="0" w:color="auto"/>
        <w:left w:val="none" w:sz="0" w:space="0" w:color="auto"/>
        <w:bottom w:val="none" w:sz="0" w:space="0" w:color="auto"/>
        <w:right w:val="none" w:sz="0" w:space="0" w:color="auto"/>
      </w:divBdr>
      <w:divsChild>
        <w:div w:id="839467404">
          <w:marLeft w:val="0"/>
          <w:marRight w:val="0"/>
          <w:marTop w:val="0"/>
          <w:marBottom w:val="0"/>
          <w:divBdr>
            <w:top w:val="none" w:sz="0" w:space="0" w:color="auto"/>
            <w:left w:val="none" w:sz="0" w:space="0" w:color="auto"/>
            <w:bottom w:val="none" w:sz="0" w:space="0" w:color="auto"/>
            <w:right w:val="none" w:sz="0" w:space="0" w:color="auto"/>
          </w:divBdr>
          <w:divsChild>
            <w:div w:id="671571993">
              <w:marLeft w:val="0"/>
              <w:marRight w:val="0"/>
              <w:marTop w:val="0"/>
              <w:marBottom w:val="0"/>
              <w:divBdr>
                <w:top w:val="none" w:sz="0" w:space="0" w:color="auto"/>
                <w:left w:val="none" w:sz="0" w:space="0" w:color="auto"/>
                <w:bottom w:val="none" w:sz="0" w:space="0" w:color="auto"/>
                <w:right w:val="none" w:sz="0" w:space="0" w:color="auto"/>
              </w:divBdr>
              <w:divsChild>
                <w:div w:id="128649853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35785828">
          <w:marLeft w:val="0"/>
          <w:marRight w:val="0"/>
          <w:marTop w:val="0"/>
          <w:marBottom w:val="0"/>
          <w:divBdr>
            <w:top w:val="none" w:sz="0" w:space="0" w:color="auto"/>
            <w:left w:val="none" w:sz="0" w:space="0" w:color="auto"/>
            <w:bottom w:val="none" w:sz="0" w:space="0" w:color="auto"/>
            <w:right w:val="none" w:sz="0" w:space="0" w:color="auto"/>
          </w:divBdr>
          <w:divsChild>
            <w:div w:id="1103723066">
              <w:marLeft w:val="0"/>
              <w:marRight w:val="0"/>
              <w:marTop w:val="0"/>
              <w:marBottom w:val="0"/>
              <w:divBdr>
                <w:top w:val="none" w:sz="0" w:space="0" w:color="auto"/>
                <w:left w:val="none" w:sz="0" w:space="0" w:color="auto"/>
                <w:bottom w:val="none" w:sz="0" w:space="0" w:color="auto"/>
                <w:right w:val="none" w:sz="0" w:space="0" w:color="auto"/>
              </w:divBdr>
              <w:divsChild>
                <w:div w:id="1216742292">
                  <w:marLeft w:val="0"/>
                  <w:marRight w:val="0"/>
                  <w:marTop w:val="0"/>
                  <w:marBottom w:val="0"/>
                  <w:divBdr>
                    <w:top w:val="none" w:sz="0" w:space="0" w:color="auto"/>
                    <w:left w:val="none" w:sz="0" w:space="0" w:color="auto"/>
                    <w:bottom w:val="none" w:sz="0" w:space="0" w:color="auto"/>
                    <w:right w:val="none" w:sz="0" w:space="0" w:color="auto"/>
                  </w:divBdr>
                  <w:divsChild>
                    <w:div w:id="12805052">
                      <w:marLeft w:val="0"/>
                      <w:marRight w:val="0"/>
                      <w:marTop w:val="0"/>
                      <w:marBottom w:val="0"/>
                      <w:divBdr>
                        <w:top w:val="none" w:sz="0" w:space="0" w:color="auto"/>
                        <w:left w:val="none" w:sz="0" w:space="0" w:color="auto"/>
                        <w:bottom w:val="none" w:sz="0" w:space="0" w:color="auto"/>
                        <w:right w:val="none" w:sz="0" w:space="0" w:color="auto"/>
                      </w:divBdr>
                      <w:divsChild>
                        <w:div w:id="1037506892">
                          <w:marLeft w:val="0"/>
                          <w:marRight w:val="0"/>
                          <w:marTop w:val="0"/>
                          <w:marBottom w:val="0"/>
                          <w:divBdr>
                            <w:top w:val="none" w:sz="0" w:space="0" w:color="auto"/>
                            <w:left w:val="none" w:sz="0" w:space="0" w:color="auto"/>
                            <w:bottom w:val="none" w:sz="0" w:space="0" w:color="auto"/>
                            <w:right w:val="none" w:sz="0" w:space="0" w:color="auto"/>
                          </w:divBdr>
                          <w:divsChild>
                            <w:div w:id="7037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374348">
      <w:bodyDiv w:val="1"/>
      <w:marLeft w:val="0"/>
      <w:marRight w:val="0"/>
      <w:marTop w:val="0"/>
      <w:marBottom w:val="0"/>
      <w:divBdr>
        <w:top w:val="none" w:sz="0" w:space="0" w:color="auto"/>
        <w:left w:val="none" w:sz="0" w:space="0" w:color="auto"/>
        <w:bottom w:val="none" w:sz="0" w:space="0" w:color="auto"/>
        <w:right w:val="none" w:sz="0" w:space="0" w:color="auto"/>
      </w:divBdr>
    </w:div>
    <w:div w:id="866599837">
      <w:bodyDiv w:val="1"/>
      <w:marLeft w:val="0"/>
      <w:marRight w:val="0"/>
      <w:marTop w:val="0"/>
      <w:marBottom w:val="0"/>
      <w:divBdr>
        <w:top w:val="none" w:sz="0" w:space="0" w:color="auto"/>
        <w:left w:val="none" w:sz="0" w:space="0" w:color="auto"/>
        <w:bottom w:val="none" w:sz="0" w:space="0" w:color="auto"/>
        <w:right w:val="none" w:sz="0" w:space="0" w:color="auto"/>
      </w:divBdr>
      <w:divsChild>
        <w:div w:id="954287414">
          <w:marLeft w:val="0"/>
          <w:marRight w:val="0"/>
          <w:marTop w:val="0"/>
          <w:marBottom w:val="0"/>
          <w:divBdr>
            <w:top w:val="none" w:sz="0" w:space="0" w:color="auto"/>
            <w:left w:val="none" w:sz="0" w:space="0" w:color="auto"/>
            <w:bottom w:val="none" w:sz="0" w:space="0" w:color="auto"/>
            <w:right w:val="none" w:sz="0" w:space="0" w:color="auto"/>
          </w:divBdr>
        </w:div>
      </w:divsChild>
    </w:div>
    <w:div w:id="1107119031">
      <w:bodyDiv w:val="1"/>
      <w:marLeft w:val="0"/>
      <w:marRight w:val="0"/>
      <w:marTop w:val="0"/>
      <w:marBottom w:val="0"/>
      <w:divBdr>
        <w:top w:val="none" w:sz="0" w:space="0" w:color="auto"/>
        <w:left w:val="none" w:sz="0" w:space="0" w:color="auto"/>
        <w:bottom w:val="none" w:sz="0" w:space="0" w:color="auto"/>
        <w:right w:val="none" w:sz="0" w:space="0" w:color="auto"/>
      </w:divBdr>
    </w:div>
    <w:div w:id="1185939951">
      <w:bodyDiv w:val="1"/>
      <w:marLeft w:val="0"/>
      <w:marRight w:val="0"/>
      <w:marTop w:val="0"/>
      <w:marBottom w:val="0"/>
      <w:divBdr>
        <w:top w:val="none" w:sz="0" w:space="0" w:color="auto"/>
        <w:left w:val="none" w:sz="0" w:space="0" w:color="auto"/>
        <w:bottom w:val="none" w:sz="0" w:space="0" w:color="auto"/>
        <w:right w:val="none" w:sz="0" w:space="0" w:color="auto"/>
      </w:divBdr>
      <w:divsChild>
        <w:div w:id="1055468012">
          <w:marLeft w:val="0"/>
          <w:marRight w:val="0"/>
          <w:marTop w:val="0"/>
          <w:marBottom w:val="0"/>
          <w:divBdr>
            <w:top w:val="none" w:sz="0" w:space="0" w:color="auto"/>
            <w:left w:val="none" w:sz="0" w:space="0" w:color="auto"/>
            <w:bottom w:val="none" w:sz="0" w:space="0" w:color="auto"/>
            <w:right w:val="none" w:sz="0" w:space="0" w:color="auto"/>
          </w:divBdr>
        </w:div>
      </w:divsChild>
    </w:div>
    <w:div w:id="1382900616">
      <w:bodyDiv w:val="1"/>
      <w:marLeft w:val="0"/>
      <w:marRight w:val="0"/>
      <w:marTop w:val="0"/>
      <w:marBottom w:val="0"/>
      <w:divBdr>
        <w:top w:val="none" w:sz="0" w:space="0" w:color="auto"/>
        <w:left w:val="none" w:sz="0" w:space="0" w:color="auto"/>
        <w:bottom w:val="none" w:sz="0" w:space="0" w:color="auto"/>
        <w:right w:val="none" w:sz="0" w:space="0" w:color="auto"/>
      </w:divBdr>
    </w:div>
    <w:div w:id="1553420891">
      <w:bodyDiv w:val="1"/>
      <w:marLeft w:val="0"/>
      <w:marRight w:val="0"/>
      <w:marTop w:val="0"/>
      <w:marBottom w:val="0"/>
      <w:divBdr>
        <w:top w:val="none" w:sz="0" w:space="0" w:color="auto"/>
        <w:left w:val="none" w:sz="0" w:space="0" w:color="auto"/>
        <w:bottom w:val="none" w:sz="0" w:space="0" w:color="auto"/>
        <w:right w:val="none" w:sz="0" w:space="0" w:color="auto"/>
      </w:divBdr>
    </w:div>
    <w:div w:id="1651521902">
      <w:bodyDiv w:val="1"/>
      <w:marLeft w:val="0"/>
      <w:marRight w:val="0"/>
      <w:marTop w:val="0"/>
      <w:marBottom w:val="0"/>
      <w:divBdr>
        <w:top w:val="none" w:sz="0" w:space="0" w:color="auto"/>
        <w:left w:val="none" w:sz="0" w:space="0" w:color="auto"/>
        <w:bottom w:val="none" w:sz="0" w:space="0" w:color="auto"/>
        <w:right w:val="none" w:sz="0" w:space="0" w:color="auto"/>
      </w:divBdr>
    </w:div>
    <w:div w:id="1741898823">
      <w:bodyDiv w:val="1"/>
      <w:marLeft w:val="0"/>
      <w:marRight w:val="0"/>
      <w:marTop w:val="0"/>
      <w:marBottom w:val="0"/>
      <w:divBdr>
        <w:top w:val="none" w:sz="0" w:space="0" w:color="auto"/>
        <w:left w:val="none" w:sz="0" w:space="0" w:color="auto"/>
        <w:bottom w:val="none" w:sz="0" w:space="0" w:color="auto"/>
        <w:right w:val="none" w:sz="0" w:space="0" w:color="auto"/>
      </w:divBdr>
    </w:div>
    <w:div w:id="1756777403">
      <w:bodyDiv w:val="1"/>
      <w:marLeft w:val="0"/>
      <w:marRight w:val="0"/>
      <w:marTop w:val="0"/>
      <w:marBottom w:val="0"/>
      <w:divBdr>
        <w:top w:val="none" w:sz="0" w:space="0" w:color="auto"/>
        <w:left w:val="none" w:sz="0" w:space="0" w:color="auto"/>
        <w:bottom w:val="none" w:sz="0" w:space="0" w:color="auto"/>
        <w:right w:val="none" w:sz="0" w:space="0" w:color="auto"/>
      </w:divBdr>
      <w:divsChild>
        <w:div w:id="2122651916">
          <w:marLeft w:val="0"/>
          <w:marRight w:val="0"/>
          <w:marTop w:val="0"/>
          <w:marBottom w:val="0"/>
          <w:divBdr>
            <w:top w:val="none" w:sz="0" w:space="0" w:color="auto"/>
            <w:left w:val="none" w:sz="0" w:space="0" w:color="auto"/>
            <w:bottom w:val="none" w:sz="0" w:space="0" w:color="auto"/>
            <w:right w:val="none" w:sz="0" w:space="0" w:color="auto"/>
          </w:divBdr>
        </w:div>
      </w:divsChild>
    </w:div>
    <w:div w:id="1761411747">
      <w:bodyDiv w:val="1"/>
      <w:marLeft w:val="0"/>
      <w:marRight w:val="0"/>
      <w:marTop w:val="0"/>
      <w:marBottom w:val="0"/>
      <w:divBdr>
        <w:top w:val="none" w:sz="0" w:space="0" w:color="auto"/>
        <w:left w:val="none" w:sz="0" w:space="0" w:color="auto"/>
        <w:bottom w:val="none" w:sz="0" w:space="0" w:color="auto"/>
        <w:right w:val="none" w:sz="0" w:space="0" w:color="auto"/>
      </w:divBdr>
    </w:div>
    <w:div w:id="1966738792">
      <w:bodyDiv w:val="1"/>
      <w:marLeft w:val="0"/>
      <w:marRight w:val="0"/>
      <w:marTop w:val="0"/>
      <w:marBottom w:val="0"/>
      <w:divBdr>
        <w:top w:val="none" w:sz="0" w:space="0" w:color="auto"/>
        <w:left w:val="none" w:sz="0" w:space="0" w:color="auto"/>
        <w:bottom w:val="none" w:sz="0" w:space="0" w:color="auto"/>
        <w:right w:val="none" w:sz="0" w:space="0" w:color="auto"/>
      </w:divBdr>
    </w:div>
    <w:div w:id="2024895976">
      <w:bodyDiv w:val="1"/>
      <w:marLeft w:val="0"/>
      <w:marRight w:val="0"/>
      <w:marTop w:val="0"/>
      <w:marBottom w:val="0"/>
      <w:divBdr>
        <w:top w:val="none" w:sz="0" w:space="0" w:color="auto"/>
        <w:left w:val="none" w:sz="0" w:space="0" w:color="auto"/>
        <w:bottom w:val="none" w:sz="0" w:space="0" w:color="auto"/>
        <w:right w:val="none" w:sz="0" w:space="0" w:color="auto"/>
      </w:divBdr>
    </w:div>
    <w:div w:id="205345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fonafifo.go.cr/es/" TargetMode="External"/><Relationship Id="rId1" Type="http://schemas.openxmlformats.org/officeDocument/2006/relationships/hyperlink" Target="https://www.fonafifo.go.c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s-419"/>
              <a:t>Decisiones Iniciales recibidas</a:t>
            </a:r>
          </a:p>
          <a:p>
            <a:pPr>
              <a:defRPr/>
            </a:pPr>
            <a:r>
              <a:rPr lang="es-419"/>
              <a:t>Periodo 2014-2025</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419"/>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solidFill>
                <a:schemeClr val="tx2">
                  <a:lumMod val="50000"/>
                  <a:lumOff val="50000"/>
                </a:schemeClr>
              </a:solid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419"/>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Hoja1!$D$3:$D$14</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Hoja1!$E$3:$E$14</c:f>
              <c:numCache>
                <c:formatCode>General</c:formatCode>
                <c:ptCount val="12"/>
                <c:pt idx="0">
                  <c:v>58</c:v>
                </c:pt>
                <c:pt idx="1">
                  <c:v>103</c:v>
                </c:pt>
                <c:pt idx="2">
                  <c:v>126</c:v>
                </c:pt>
                <c:pt idx="3">
                  <c:v>100</c:v>
                </c:pt>
                <c:pt idx="4">
                  <c:v>260</c:v>
                </c:pt>
                <c:pt idx="5">
                  <c:v>299</c:v>
                </c:pt>
                <c:pt idx="6">
                  <c:v>254</c:v>
                </c:pt>
                <c:pt idx="7">
                  <c:v>117</c:v>
                </c:pt>
                <c:pt idx="8">
                  <c:v>273</c:v>
                </c:pt>
                <c:pt idx="9">
                  <c:v>244</c:v>
                </c:pt>
                <c:pt idx="10">
                  <c:v>215</c:v>
                </c:pt>
                <c:pt idx="11">
                  <c:v>248</c:v>
                </c:pt>
              </c:numCache>
            </c:numRef>
          </c:val>
          <c:extLst>
            <c:ext xmlns:c16="http://schemas.microsoft.com/office/drawing/2014/chart" uri="{C3380CC4-5D6E-409C-BE32-E72D297353CC}">
              <c16:uniqueId val="{00000000-83E2-46C0-A569-80796D156F1E}"/>
            </c:ext>
          </c:extLst>
        </c:ser>
        <c:dLbls>
          <c:dLblPos val="inEnd"/>
          <c:showLegendKey val="0"/>
          <c:showVal val="1"/>
          <c:showCatName val="0"/>
          <c:showSerName val="0"/>
          <c:showPercent val="0"/>
          <c:showBubbleSize val="0"/>
        </c:dLbls>
        <c:gapWidth val="41"/>
        <c:axId val="717383512"/>
        <c:axId val="717382792"/>
      </c:barChart>
      <c:catAx>
        <c:axId val="717383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419"/>
          </a:p>
        </c:txPr>
        <c:crossAx val="717382792"/>
        <c:crosses val="autoZero"/>
        <c:auto val="1"/>
        <c:lblAlgn val="ctr"/>
        <c:lblOffset val="100"/>
        <c:noMultiLvlLbl val="0"/>
      </c:catAx>
      <c:valAx>
        <c:axId val="717382792"/>
        <c:scaling>
          <c:orientation val="minMax"/>
        </c:scaling>
        <c:delete val="1"/>
        <c:axPos val="l"/>
        <c:numFmt formatCode="General" sourceLinked="1"/>
        <c:majorTickMark val="none"/>
        <c:minorTickMark val="none"/>
        <c:tickLblPos val="nextTo"/>
        <c:crossAx val="717383512"/>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419"/>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70E7B-66AA-4DD5-8D4D-5B5AAB98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3162</Words>
  <Characters>17805</Characters>
  <Application>Microsoft Office Word</Application>
  <DocSecurity>0</DocSecurity>
  <Lines>712</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Castro Cabezas</dc:creator>
  <cp:keywords/>
  <dc:description/>
  <cp:lastModifiedBy>Elizabeth Castro Fallas</cp:lastModifiedBy>
  <cp:revision>2</cp:revision>
  <cp:lastPrinted>2026-02-23T19:18:00Z</cp:lastPrinted>
  <dcterms:created xsi:type="dcterms:W3CDTF">2026-02-23T19:53:00Z</dcterms:created>
  <dcterms:modified xsi:type="dcterms:W3CDTF">2026-02-23T19:53:00Z</dcterms:modified>
</cp:coreProperties>
</file>