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10427515" w14:textId="6F752EEA" w:rsidR="003C5090" w:rsidRPr="00643CC2" w:rsidRDefault="00082F38">
      <w:pPr>
        <w:rPr>
          <w:rFonts w:ascii="Arial" w:eastAsiaTheme="majorEastAsia" w:hAnsi="Arial" w:cs="Arial"/>
          <w:b/>
          <w:bCs/>
          <w:noProof/>
          <w:color w:val="4F81BD" w:themeColor="accent1"/>
          <w:sz w:val="26"/>
          <w:szCs w:val="26"/>
        </w:rPr>
      </w:pPr>
      <w:r>
        <w:rPr>
          <w:rFonts w:ascii="Arial" w:eastAsia="Calibri" w:hAnsi="Arial" w:cs="Arial"/>
          <w:b/>
          <w:noProof/>
        </w:rPr>
        <mc:AlternateContent>
          <mc:Choice Requires="wps">
            <w:drawing>
              <wp:anchor distT="0" distB="0" distL="114300" distR="114300" simplePos="0" relativeHeight="251677184" behindDoc="0" locked="0" layoutInCell="1" allowOverlap="1" wp14:anchorId="7D95B42D" wp14:editId="70689239">
                <wp:simplePos x="0" y="0"/>
                <wp:positionH relativeFrom="column">
                  <wp:posOffset>4300268</wp:posOffset>
                </wp:positionH>
                <wp:positionV relativeFrom="paragraph">
                  <wp:posOffset>315079</wp:posOffset>
                </wp:positionV>
                <wp:extent cx="5048656" cy="6806241"/>
                <wp:effectExtent l="0" t="0" r="0" b="0"/>
                <wp:wrapNone/>
                <wp:docPr id="10" name="Cuadro de texto 10"/>
                <wp:cNvGraphicFramePr/>
                <a:graphic xmlns:a="http://schemas.openxmlformats.org/drawingml/2006/main">
                  <a:graphicData uri="http://schemas.microsoft.com/office/word/2010/wordprocessingShape">
                    <wps:wsp>
                      <wps:cNvSpPr txBox="1"/>
                      <wps:spPr>
                        <a:xfrm>
                          <a:off x="0" y="0"/>
                          <a:ext cx="5048656" cy="6806241"/>
                        </a:xfrm>
                        <a:prstGeom prst="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FD005FD" w14:textId="77777777" w:rsidR="00004005" w:rsidRDefault="000040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95B42D" id="_x0000_t202" coordsize="21600,21600" o:spt="202" path="m,l,21600r21600,l21600,xe">
                <v:stroke joinstyle="miter"/>
                <v:path gradientshapeok="t" o:connecttype="rect"/>
              </v:shapetype>
              <v:shape id="Cuadro de texto 10" o:spid="_x0000_s1026" type="#_x0000_t202" style="position:absolute;margin-left:338.6pt;margin-top:24.8pt;width:397.55pt;height:535.9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MnnwIAAK0FAAAOAAAAZHJzL2Uyb0RvYy54bWysVE1vGjEQvVfqf7B8bxYQ0BRliShRqkpR&#10;GjWpcjZeG1byelzbsEt/fZ+9QFDaS6pyWMbz8TzzPDNX111j2E75UJMt+fBiwJmykqrarkv+4+n2&#10;wyVnIQpbCUNWlXyvAr+ev3931bqZGtGGTKU8A4gNs9aVfBOjmxVFkBvViHBBTlkYNflGRBz9uqi8&#10;aIHemGI0GEyLlnzlPEkVArQ3vZHPM77WSsZvWgcVmSk5cov56/N3lb7F/ErM1l64TS0PaYh/yKIR&#10;tcWlJ6gbEQXb+voPqKaWngLpeCGpKUjrWqpcA6oZDl5V87gRTuVaQE5wJ5rC/4OV97sHz+oKbwd6&#10;rGjwRsutqDyxSrGoukgMFtDUujCD96ODf+w+U4eQoz5AmarvtG/SP+pisANxfyIZUExCORmML6eT&#10;KWcStunlYDoaZ5ziJdz5EL8oalgSSu7xiplcsbsLEanA9eiSbgtk6uq2NiYfUueopfFsJ/DmQkpl&#10;47APN24jevVkgF/KHlC511JEfzoHMzZBWkrgvXPSFImKvuQsxb1Ryc/Y70qDy1x5n4tfr1IqfcNh&#10;IsDIse1wcw5Ijhr4b4w9hKRolfv8jfGnoHw/2XiKb2pLPhN2YqYnzYDHngXd+x+p6AlIXMRu1cEl&#10;iSuq9mgVT/3MBSdvazznnQjxQXgMGbjA4ojf8NGG2pLTQeJsQ/7X3/TJH70PK2cthrbk4edWeMWZ&#10;+WoxFZ+G4zFgYz6MJx9HOPhzy+rcYrfNktAjQ6woJ7OY/KM5itpT84z9ski3wiSsxN0lj0dxGfuX&#10;xX6SarHITphrJ+KdfXQyQSd6U7M+dc/Cu0NHp7m6p+N4i9mrxu59U6SlxTaSrnPXv7B6IB47Iffs&#10;YX+lpXN+zl4vW3b+GwAA//8DAFBLAwQUAAYACAAAACEAxmXP1uAAAAAMAQAADwAAAGRycy9kb3du&#10;cmV2LnhtbEyPwU7DMAyG70i8Q2QkbixtKe1amk4MaRJXNoQ4Zo1pqzZO1GRbeHuyE9xs+dPv7282&#10;Qc/sjIsbDQlIVwkwpM6okXoBH4fdwxqY85KUnA2hgB90sGlvbxpZK3Ohdzzvfc9iCLlaChi8tzXn&#10;rhtQS7cyFinevs2ipY/r0nO1yEsM1zPPkqTgWo4UPwzS4uuA3bQ/aQFop2n91R/sm87Ctvp8Squw&#10;3QlxfxdenoF5DP4Phqt+VIc2Oh3NiZRjs4CiLLOICsirAtgVyMvsEdgxTmmW5sDbhv8v0f4CAAD/&#10;/wMAUEsBAi0AFAAGAAgAAAAhALaDOJL+AAAA4QEAABMAAAAAAAAAAAAAAAAAAAAAAFtDb250ZW50&#10;X1R5cGVzXS54bWxQSwECLQAUAAYACAAAACEAOP0h/9YAAACUAQAACwAAAAAAAAAAAAAAAAAvAQAA&#10;X3JlbHMvLnJlbHNQSwECLQAUAAYACAAAACEAno5jJ58CAACtBQAADgAAAAAAAAAAAAAAAAAuAgAA&#10;ZHJzL2Uyb0RvYy54bWxQSwECLQAUAAYACAAAACEAxmXP1uAAAAAMAQAADwAAAAAAAAAAAAAAAAD5&#10;BAAAZHJzL2Rvd25yZXYueG1sUEsFBgAAAAAEAAQA8wAAAAYGAAAAAA==&#10;" fillcolor="#4f81bd [3204]" stroked="f">
                <v:fill opacity="32896f"/>
                <v:textbox>
                  <w:txbxContent>
                    <w:p w14:paraId="2FD005FD" w14:textId="77777777" w:rsidR="00004005" w:rsidRDefault="00004005"/>
                  </w:txbxContent>
                </v:textbox>
              </v:shape>
            </w:pict>
          </mc:Fallback>
        </mc:AlternateContent>
      </w:r>
      <w:r w:rsidR="00E45AE0" w:rsidRPr="00570755">
        <w:rPr>
          <w:rFonts w:ascii="Arial" w:eastAsia="Calibri" w:hAnsi="Arial" w:cs="Arial"/>
          <w:b/>
          <w:noProof/>
        </w:rPr>
        <w:drawing>
          <wp:anchor distT="0" distB="0" distL="114300" distR="114300" simplePos="0" relativeHeight="251658752" behindDoc="0" locked="0" layoutInCell="1" allowOverlap="1" wp14:anchorId="7E0FA7A3" wp14:editId="399F1067">
            <wp:simplePos x="0" y="0"/>
            <wp:positionH relativeFrom="margin">
              <wp:posOffset>-415925</wp:posOffset>
            </wp:positionH>
            <wp:positionV relativeFrom="margin">
              <wp:posOffset>-482014</wp:posOffset>
            </wp:positionV>
            <wp:extent cx="701040" cy="618490"/>
            <wp:effectExtent l="19050" t="19050" r="22860" b="10160"/>
            <wp:wrapSquare wrapText="bothSides"/>
            <wp:docPr id="2" name="x_72214283-DEF4-476B-B768-1DAE36FF0505" descr="Logo_MINISTERIO DE -AMBIENTE Y ENERGIA-7.png">
              <a:extLst xmlns:a="http://schemas.openxmlformats.org/drawingml/2006/main">
                <a:ext uri="{FF2B5EF4-FFF2-40B4-BE49-F238E27FC236}">
                  <a16:creationId xmlns:a16="http://schemas.microsoft.com/office/drawing/2014/main" id="{11A0079D-473C-FEA0-6895-A2410A46F4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x_72214283-DEF4-476B-B768-1DAE36FF0505" descr="Logo_MINISTERIO DE -AMBIENTE Y ENERGIA-7.png">
                      <a:extLst>
                        <a:ext uri="{FF2B5EF4-FFF2-40B4-BE49-F238E27FC236}">
                          <a16:creationId xmlns:a16="http://schemas.microsoft.com/office/drawing/2014/main" id="{11A0079D-473C-FEA0-6895-A2410A46F400}"/>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r="91399"/>
                    <a:stretch/>
                  </pic:blipFill>
                  <pic:spPr bwMode="auto">
                    <a:xfrm>
                      <a:off x="0" y="0"/>
                      <a:ext cx="701040" cy="618490"/>
                    </a:xfrm>
                    <a:prstGeom prst="rect">
                      <a:avLst/>
                    </a:prstGeom>
                    <a:noFill/>
                    <a:ln>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5AE0" w:rsidRPr="00643CC2">
        <w:rPr>
          <w:rFonts w:ascii="Arial" w:eastAsia="Calibri" w:hAnsi="Arial" w:cs="Arial"/>
          <w:noProof/>
        </w:rPr>
        <mc:AlternateContent>
          <mc:Choice Requires="wps">
            <w:drawing>
              <wp:anchor distT="0" distB="0" distL="114300" distR="114300" simplePos="0" relativeHeight="251665408" behindDoc="0" locked="0" layoutInCell="1" allowOverlap="1" wp14:anchorId="26450062" wp14:editId="402C7596">
                <wp:simplePos x="0" y="0"/>
                <wp:positionH relativeFrom="column">
                  <wp:posOffset>-2784475</wp:posOffset>
                </wp:positionH>
                <wp:positionV relativeFrom="paragraph">
                  <wp:posOffset>262451</wp:posOffset>
                </wp:positionV>
                <wp:extent cx="14090573" cy="55084"/>
                <wp:effectExtent l="0" t="0" r="0" b="78740"/>
                <wp:wrapNone/>
                <wp:docPr id="5" name="Menos 5"/>
                <wp:cNvGraphicFramePr/>
                <a:graphic xmlns:a="http://schemas.openxmlformats.org/drawingml/2006/main">
                  <a:graphicData uri="http://schemas.microsoft.com/office/word/2010/wordprocessingShape">
                    <wps:wsp>
                      <wps:cNvSpPr/>
                      <wps:spPr>
                        <a:xfrm>
                          <a:off x="0" y="0"/>
                          <a:ext cx="14090573" cy="55084"/>
                        </a:xfrm>
                        <a:prstGeom prst="mathMinus">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w14:anchorId="42AF9663">
              <v:shape id="Menos 5" style="position:absolute;margin-left:-219.25pt;margin-top:20.65pt;width:1109.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090573,55084" o:spid="_x0000_s1026" fillcolor="#4f81bd [3204]" strokecolor="#4579b8 [3044]" path="m1867705,21064r10355163,l12222868,34020r-10355163,l1867705,210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2qXQIAABcFAAAOAAAAZHJzL2Uyb0RvYy54bWysVG1r2zAQ/j7YfxD6vthJk7UNdUpI6Rik&#10;L6wd/azKUi2QdJqkxMl+/U6y44auUBj7Iut899zrc7q43BlNtsIHBbai41FJibAcamVfKvrz8frL&#10;GSUhMlszDVZUdC8CvVx8/nTRurmYQAO6Fp6gExvmratoE6ObF0XgjTAsjMAJi0oJ3rCIon8pas9a&#10;9G50MSnLr0ULvnYeuAgB/151SrrI/qUUPN5JGUQkuqKYW8ynz+dzOovFBZu/eOYaxfs02D9kYZiy&#10;GHRwdcUiIxuv/nJlFPcQQMYRB1OAlIqLXANWMy7fVPPQMCdyLdic4IY2hf/nlt9u7z1RdUVnlFhm&#10;cEQ3wkIgs9Sa1oU5Wjy4e99LAa+pzp30Jn2xArLL7dwP7RS7SDj+HE/L83J2ekIJR+VsVp5Nk9Pi&#10;Fe18iN8EGJIuFcUZNzfKbkJuJduuQ+zsD3YITil1SeRb3GuR8tD2h5BYRwqb0ZlBYqU92TKcPeNc&#10;2Dju42frBJNK6wF48jGwt09Qkdk1gCcfgwdEjgw2DmCjLPj3HOghZdnZHzrQ1Z1a8Az1HkfooeN2&#10;cPxaYTfXLMR75pHMSHtc0HiHh9TQVhT6GyUN+N/v/U/2yDHUUtLiclQ0/NowLyjR3y2y73w8naZt&#10;ysJ0djpBwR9rno81dmNWgDMY41PgeL4m+6gPV+nBPOEeL1NUVDHLMXZFefQHYRW7pcWXgIvlMpvh&#10;BjkW1/bB8cPUE1Eed0/Mu55SEcl4C4dFYvM3pOps0zwsLDcRpMqMe+1r32/cvkzc/qVI630sZ6vX&#10;92zxBwAA//8DAFBLAwQUAAYACAAAACEAYzKNXOIAAAALAQAADwAAAGRycy9kb3ducmV2LnhtbEyP&#10;y07DMBBF90j8gzVI7Fo79BWFOBUgEKx4pEioOzcekgh7HMVOGvh63BUsZ+bozrn5drKGjdj71pGE&#10;ZC6AIVVOt1RLeN89zFJgPijSyjhCCd/oYVucn+Uq0+5IbziWoWYxhHymJDQhdBnnvmrQKj93HVK8&#10;fbreqhDHvua6V8cYbg2/EmLNrWopfmhUh3cNVl/lYCXcPt136asoHwf187z+2A9m3L8kUl5eTDfX&#10;wAJO4Q+Gk35UhyI6HdxA2jMjYbZcpKvISlgmC2AnYpOKuDlIWAkBvMj5/w7FLwAAAP//AwBQSwEC&#10;LQAUAAYACAAAACEAtoM4kv4AAADhAQAAEwAAAAAAAAAAAAAAAAAAAAAAW0NvbnRlbnRfVHlwZXNd&#10;LnhtbFBLAQItABQABgAIAAAAIQA4/SH/1gAAAJQBAAALAAAAAAAAAAAAAAAAAC8BAABfcmVscy8u&#10;cmVsc1BLAQItABQABgAIAAAAIQAQQt2qXQIAABcFAAAOAAAAAAAAAAAAAAAAAC4CAABkcnMvZTJv&#10;RG9jLnhtbFBLAQItABQABgAIAAAAIQBjMo1c4gAAAAsBAAAPAAAAAAAAAAAAAAAAALcEAABkcnMv&#10;ZG93bnJldi54bWxQSwUGAAAAAAQABADzAAAAxgUAAAAA&#10;" w14:anchorId="083BA75B">
                <v:fill type="gradient" color2="#a7bfde [1620]" angle="180" focus="100%" rotate="t">
                  <o:fill v:ext="view" type="gradientUnscaled"/>
                </v:fill>
                <v:shadow on="t" color="black" opacity="22937f" offset="0,.63889mm" origin=",.5"/>
                <v:path arrowok="t" o:connecttype="custom" o:connectlocs="1867705,21064;12222868,21064;12222868,34020;1867705,34020;1867705,21064" o:connectangles="0,0,0,0,0"/>
              </v:shape>
            </w:pict>
          </mc:Fallback>
        </mc:AlternateContent>
      </w:r>
      <w:r w:rsidR="00E45AE0" w:rsidRPr="00643CC2">
        <w:rPr>
          <w:rFonts w:ascii="Arial" w:eastAsia="Calibri" w:hAnsi="Arial" w:cs="Arial"/>
          <w:noProof/>
        </w:rPr>
        <w:drawing>
          <wp:anchor distT="0" distB="0" distL="114300" distR="114300" simplePos="0" relativeHeight="251664896" behindDoc="0" locked="0" layoutInCell="1" allowOverlap="1" wp14:anchorId="04A7C7FF" wp14:editId="33B04692">
            <wp:simplePos x="0" y="0"/>
            <wp:positionH relativeFrom="margin">
              <wp:posOffset>668850</wp:posOffset>
            </wp:positionH>
            <wp:positionV relativeFrom="margin">
              <wp:posOffset>-478985</wp:posOffset>
            </wp:positionV>
            <wp:extent cx="7233285" cy="575945"/>
            <wp:effectExtent l="0" t="0" r="5715" b="0"/>
            <wp:wrapSquare wrapText="bothSides"/>
            <wp:docPr id="1" name="x_72214283-DEF4-476B-B768-1DAE36FF0505" descr="Logo_MINISTERIO DE -AMBIENTE Y ENERGIA-7.png">
              <a:extLst xmlns:a="http://schemas.openxmlformats.org/drawingml/2006/main">
                <a:ext uri="{FF2B5EF4-FFF2-40B4-BE49-F238E27FC236}">
                  <a16:creationId xmlns:a16="http://schemas.microsoft.com/office/drawing/2014/main" id="{11A0079D-473C-FEA0-6895-A2410A46F4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x_72214283-DEF4-476B-B768-1DAE36FF0505" descr="Logo_MINISTERIO DE -AMBIENTE Y ENERGIA-7.png">
                      <a:extLst>
                        <a:ext uri="{FF2B5EF4-FFF2-40B4-BE49-F238E27FC236}">
                          <a16:creationId xmlns:a16="http://schemas.microsoft.com/office/drawing/2014/main" id="{11A0079D-473C-FEA0-6895-A2410A46F400}"/>
                        </a:ext>
                      </a:extLst>
                    </pic:cNvPr>
                    <pic:cNvPicPr>
                      <a:picLocks noChangeAspect="1" noChangeArrowheads="1"/>
                    </pic:cNvPicPr>
                  </pic:nvPicPr>
                  <pic:blipFill rotWithShape="1">
                    <a:blip r:embed="rId8">
                      <a:lum bright="70000" contrast="-70000"/>
                      <a:extLst>
                        <a:ext uri="{28A0092B-C50C-407E-A947-70E740481C1C}">
                          <a14:useLocalDpi xmlns:a14="http://schemas.microsoft.com/office/drawing/2010/main" val="0"/>
                        </a:ext>
                      </a:extLst>
                    </a:blip>
                    <a:srcRect l="8767"/>
                    <a:stretch/>
                  </pic:blipFill>
                  <pic:spPr bwMode="auto">
                    <a:xfrm>
                      <a:off x="0" y="0"/>
                      <a:ext cx="7233285" cy="575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5AE0" w:rsidRPr="00643CC2">
        <w:rPr>
          <w:rFonts w:ascii="Arial" w:hAnsi="Arial" w:cs="Arial"/>
          <w:noProof/>
        </w:rPr>
        <mc:AlternateContent>
          <mc:Choice Requires="wps">
            <w:drawing>
              <wp:anchor distT="0" distB="0" distL="114300" distR="114300" simplePos="0" relativeHeight="251651584" behindDoc="0" locked="0" layoutInCell="1" allowOverlap="1" wp14:anchorId="0C902D14" wp14:editId="121E0A2C">
                <wp:simplePos x="0" y="0"/>
                <wp:positionH relativeFrom="column">
                  <wp:posOffset>-1112520</wp:posOffset>
                </wp:positionH>
                <wp:positionV relativeFrom="paragraph">
                  <wp:posOffset>-729761</wp:posOffset>
                </wp:positionV>
                <wp:extent cx="10598226" cy="991518"/>
                <wp:effectExtent l="0" t="0" r="12700" b="18415"/>
                <wp:wrapNone/>
                <wp:docPr id="1511391196" name="Rectángulo 2"/>
                <wp:cNvGraphicFramePr/>
                <a:graphic xmlns:a="http://schemas.openxmlformats.org/drawingml/2006/main">
                  <a:graphicData uri="http://schemas.microsoft.com/office/word/2010/wordprocessingShape">
                    <wps:wsp>
                      <wps:cNvSpPr/>
                      <wps:spPr>
                        <a:xfrm>
                          <a:off x="0" y="0"/>
                          <a:ext cx="10598226" cy="991518"/>
                        </a:xfrm>
                        <a:prstGeom prst="rect">
                          <a:avLst/>
                        </a:prstGeom>
                        <a:solidFill>
                          <a:srgbClr val="003882"/>
                        </a:solidFill>
                        <a:ln>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w14:anchorId="45FDC7DD">
              <v:rect id="Rectángulo 2" style="position:absolute;margin-left:-87.6pt;margin-top:-57.45pt;width:834.5pt;height:78.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3882" strokecolor="#265999 [2911]" strokeweight="2pt" w14:anchorId="776E6B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xavgIAAPQFAAAOAAAAZHJzL2Uyb0RvYy54bWysVMlu2zAQvRfoPxC8N1oSp5YROTASpCiQ&#10;JkGSImeaoiwBFIcl6a1/02/pj3VISoqzoIeiPtBcZt6beZqZs/NdJ8lGGNuCKml2lFIiFIeqVauS&#10;fn+8+jSlxDqmKiZBiZLuhaXn848fzrZ6JnJoQFbCEARRdrbVJW2c07MksbwRHbNHoIXCxxpMxxwe&#10;zSqpDNsieieTPE1Pky2YShvgwlq8vYyPdB7w61pwd1vXVjgiS4qxubCasC79mszP2GxlmG5a3ofB&#10;/iGKjrUKSUeoS+YYWZv2DVTXcgMWanfEoUugrlsuQg6YTZa+yuahYVqEXFAcq0eZ7P+D5TebO0Pa&#10;Cr/dJMuOiywrTilRrMNvdY/q/f6lVmsJJPdKbbWdocODvjP9yeLWp72rTef/MSGyC+ruR3XFzhGO&#10;l1k6KaZ5jvAcH4sCCaceNXl218a6LwI64jclNRhAUJVtrq2LpoOJZ7Mg2+qqlTIczGp5IQ3ZMP+p&#10;0+PpNMSM6C/MpHrr6YtNjL5ulwdSue6+QRXxihR/sVjwGksqXmfDtWcZUEJGB5z45kkTr17UK+zc&#10;XgofilT3osYvgApF3hEocjDOhXJZCMk2rBI99aSP6A11APTINSozYvcAQ5AvsaO0vb13FaF1Ruc0&#10;sv/NefQIzKDc6Ny1Csx7ABKz6pmj/SBSlMartIRqj/VpIDau1fyqxdK4ZtbdMYOdij2N08fd4lJL&#10;2JYU+h0lDZif7917e2wgfKVki51fUvtjzYygRH5V2FpFdnLiR0U4nEw+53gwhy/Lwxe17i4AKy7D&#10;Oad52Hp7J4dtbaB7wiG18Kz4xBRH7pJyZ4bDhYsTCcccF4tFMMPxoJm7Vg+ae3Cvqi/9x90TM7rv&#10;D4etdQPDlGCzV20Sbb2ngsXaQd2GHnrWtdcbR0uo2X4M+tl1eA5Wz8N6/gcAAP//AwBQSwMEFAAG&#10;AAgAAAAhAHDBlujiAAAADQEAAA8AAABkcnMvZG93bnJldi54bWxMj01vgkAQhu9N+h8206Q3XUAE&#10;pSymaeqh8WJtEz0O7BaI7C5hV8V/3+HU3ubNPHk/8s2oO3ZVg2utERDOA2DKVFa2phbw/bWdrYA5&#10;j0ZiZ40ScFcONsXjQ46ZtDfzqa4HXzMyMS5DAY33fca5qxql0c1trwz9fuyg0ZMcai4HvJG57ngU&#10;BAnX2BpKaLBXb42qzoeLFhC3i12yT5fn4zt+3NPTaZcm21KI56fx9QWYV6P/g2GqT9WhoE6lvRjp&#10;WCdgFqbLiNjpCuM1sImJ1wvaU1JCGAEvcv5/RfELAAD//wMAUEsBAi0AFAAGAAgAAAAhALaDOJL+&#10;AAAA4QEAABMAAAAAAAAAAAAAAAAAAAAAAFtDb250ZW50X1R5cGVzXS54bWxQSwECLQAUAAYACAAA&#10;ACEAOP0h/9YAAACUAQAACwAAAAAAAAAAAAAAAAAvAQAAX3JlbHMvLnJlbHNQSwECLQAUAAYACAAA&#10;ACEAULxMWr4CAAD0BQAADgAAAAAAAAAAAAAAAAAuAgAAZHJzL2Uyb0RvYy54bWxQSwECLQAUAAYA&#10;CAAAACEAcMGW6OIAAAANAQAADwAAAAAAAAAAAAAAAAAYBQAAZHJzL2Rvd25yZXYueG1sUEsFBgAA&#10;AAAEAAQA8wAAACcGAAAAAA==&#10;"/>
            </w:pict>
          </mc:Fallback>
        </mc:AlternateContent>
      </w:r>
    </w:p>
    <w:p w14:paraId="609268A4" w14:textId="77777777" w:rsidR="003C5090" w:rsidRPr="00643CC2" w:rsidRDefault="003C5090">
      <w:pPr>
        <w:rPr>
          <w:rFonts w:ascii="Arial" w:eastAsiaTheme="majorEastAsia" w:hAnsi="Arial" w:cs="Arial"/>
          <w:b/>
          <w:bCs/>
          <w:noProof/>
          <w:color w:val="4F81BD" w:themeColor="accent1"/>
          <w:sz w:val="26"/>
          <w:szCs w:val="26"/>
        </w:rPr>
      </w:pPr>
    </w:p>
    <w:p w14:paraId="6BC53664" w14:textId="2D4B37D1" w:rsidR="003C5090" w:rsidRPr="00643CC2" w:rsidRDefault="00082F38">
      <w:pPr>
        <w:rPr>
          <w:rFonts w:ascii="Arial" w:eastAsiaTheme="majorEastAsia" w:hAnsi="Arial" w:cs="Arial"/>
          <w:b/>
          <w:bCs/>
          <w:noProof/>
          <w:color w:val="4F81BD" w:themeColor="accent1"/>
          <w:sz w:val="26"/>
          <w:szCs w:val="26"/>
        </w:rPr>
      </w:pPr>
      <w:r>
        <w:rPr>
          <w:rFonts w:ascii="Arial" w:hAnsi="Arial" w:cs="Arial"/>
          <w:noProof/>
        </w:rPr>
        <mc:AlternateContent>
          <mc:Choice Requires="wps">
            <w:drawing>
              <wp:anchor distT="0" distB="0" distL="114300" distR="114300" simplePos="0" relativeHeight="251678208" behindDoc="0" locked="0" layoutInCell="1" allowOverlap="1" wp14:anchorId="012B8D29" wp14:editId="2EFD2719">
                <wp:simplePos x="0" y="0"/>
                <wp:positionH relativeFrom="column">
                  <wp:posOffset>287573</wp:posOffset>
                </wp:positionH>
                <wp:positionV relativeFrom="paragraph">
                  <wp:posOffset>174882</wp:posOffset>
                </wp:positionV>
                <wp:extent cx="2928025" cy="3638145"/>
                <wp:effectExtent l="0" t="0" r="0" b="635"/>
                <wp:wrapNone/>
                <wp:docPr id="11" name="Cuadro de texto 11"/>
                <wp:cNvGraphicFramePr/>
                <a:graphic xmlns:a="http://schemas.openxmlformats.org/drawingml/2006/main">
                  <a:graphicData uri="http://schemas.microsoft.com/office/word/2010/wordprocessingShape">
                    <wps:wsp>
                      <wps:cNvSpPr txBox="1"/>
                      <wps:spPr>
                        <a:xfrm>
                          <a:off x="0" y="0"/>
                          <a:ext cx="2928025" cy="3638145"/>
                        </a:xfrm>
                        <a:prstGeom prst="rect">
                          <a:avLst/>
                        </a:prstGeom>
                        <a:noFill/>
                        <a:ln w="6350">
                          <a:noFill/>
                        </a:ln>
                      </wps:spPr>
                      <wps:txbx>
                        <w:txbxContent>
                          <w:p w14:paraId="496C1E1C" w14:textId="06E9F905" w:rsidR="00004005" w:rsidRDefault="00004005" w:rsidP="00082F38">
                            <w:pPr>
                              <w:contextualSpacing/>
                              <w:jc w:val="center"/>
                              <w:rPr>
                                <w:rFonts w:ascii="Arial Black" w:eastAsia="+mn-ea" w:hAnsi="Arial Black" w:cs="+mn-cs"/>
                                <w:b/>
                                <w:bCs/>
                                <w:color w:val="000000"/>
                                <w:sz w:val="56"/>
                                <w:szCs w:val="56"/>
                                <w:lang w:val="es-ES"/>
                              </w:rPr>
                            </w:pPr>
                            <w:r w:rsidRPr="00082F38">
                              <w:rPr>
                                <w:rFonts w:ascii="Arial Black" w:eastAsia="+mn-ea" w:hAnsi="Arial Black" w:cs="+mn-cs"/>
                                <w:b/>
                                <w:bCs/>
                                <w:color w:val="000000"/>
                                <w:sz w:val="56"/>
                                <w:szCs w:val="56"/>
                                <w:lang w:val="es-ES"/>
                              </w:rPr>
                              <w:t xml:space="preserve">Informe </w:t>
                            </w:r>
                          </w:p>
                          <w:p w14:paraId="5902D9D4" w14:textId="77777777" w:rsidR="00004005" w:rsidRDefault="00004005" w:rsidP="00082F38">
                            <w:pPr>
                              <w:contextualSpacing/>
                              <w:jc w:val="center"/>
                              <w:rPr>
                                <w:rFonts w:ascii="Arial Black" w:eastAsia="+mn-ea" w:hAnsi="Arial Black" w:cs="+mn-cs"/>
                                <w:b/>
                                <w:bCs/>
                                <w:color w:val="000000"/>
                                <w:sz w:val="56"/>
                                <w:szCs w:val="56"/>
                                <w:lang w:val="es-ES"/>
                              </w:rPr>
                            </w:pPr>
                          </w:p>
                          <w:p w14:paraId="103E36B2" w14:textId="77777777"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Sistema </w:t>
                            </w:r>
                          </w:p>
                          <w:p w14:paraId="2878BEF6" w14:textId="77777777"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Específico de Valoración </w:t>
                            </w:r>
                          </w:p>
                          <w:p w14:paraId="6236598E" w14:textId="2E19A26B"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del Riesgo </w:t>
                            </w:r>
                          </w:p>
                          <w:p w14:paraId="53CBF408" w14:textId="31FC425E"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(SEVRI)</w:t>
                            </w:r>
                          </w:p>
                          <w:p w14:paraId="358AD7EE" w14:textId="77777777" w:rsidR="00004005" w:rsidRDefault="00004005" w:rsidP="00082F38">
                            <w:pPr>
                              <w:contextualSpacing/>
                              <w:jc w:val="center"/>
                              <w:rPr>
                                <w:rFonts w:ascii="Arial Black" w:eastAsia="+mn-ea" w:hAnsi="Arial Black" w:cs="+mn-cs"/>
                                <w:b/>
                                <w:bCs/>
                                <w:color w:val="000000"/>
                                <w:sz w:val="36"/>
                                <w:szCs w:val="36"/>
                                <w:lang w:val="es-ES"/>
                              </w:rPr>
                            </w:pPr>
                          </w:p>
                          <w:p w14:paraId="7818D28E" w14:textId="04268F9E" w:rsidR="00004005" w:rsidRPr="00082F38" w:rsidRDefault="00004005" w:rsidP="00082F38">
                            <w:pPr>
                              <w:contextualSpacing/>
                              <w:jc w:val="center"/>
                              <w:rPr>
                                <w:sz w:val="36"/>
                              </w:rPr>
                            </w:pPr>
                            <w:r w:rsidRPr="00082F38">
                              <w:rPr>
                                <w:rFonts w:ascii="Arial Black" w:eastAsia="+mn-ea" w:hAnsi="Arial Black" w:cs="+mn-cs"/>
                                <w:b/>
                                <w:bCs/>
                                <w:color w:val="000000"/>
                                <w:sz w:val="56"/>
                                <w:szCs w:val="56"/>
                                <w:lang w:val="es-ES"/>
                              </w:rPr>
                              <w:t>2025</w:t>
                            </w:r>
                          </w:p>
                          <w:p w14:paraId="14727FA0" w14:textId="77777777" w:rsidR="00004005" w:rsidRDefault="000040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2B8D29" id="Cuadro de texto 11" o:spid="_x0000_s1027" type="#_x0000_t202" style="position:absolute;margin-left:22.65pt;margin-top:13.75pt;width:230.55pt;height:286.4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VnNwIAAGIEAAAOAAAAZHJzL2Uyb0RvYy54bWysVE1v2zAMvQ/YfxB0X+w4H0uDOEWWIsOA&#10;oC2QFj0rshQbkEVNUmJnv36UHKdBt9Owi0yJFMnH9+TFfVsrchLWVaBzOhyklAjNoaj0IaevL5sv&#10;M0qcZ7pgCrTI6Vk4er/8/GnRmLnIoARVCEswiXbzxuS09N7Mk8TxUtTMDcAIjU4JtmYet/aQFJY1&#10;mL1WSZam06QBWxgLXDiHpw+dky5jfikF909SOuGJyin25uNq47oPa7JcsPnBMlNW/NIG+4cualZp&#10;LHpN9cA8I0db/ZGqrrgFB9IPONQJSFlxETEgmmH6Ac2uZEZELDgcZ65jcv8vLX88PVtSFcjdkBLN&#10;auRofWSFBVII4kXrgaAHx9QYN8foncF4336DFq/05w4PA/pW2jp8ERdBPw78fB0ypiIcD7O7bJZm&#10;E0o4+kbT0Ww4noQ8yft1Y53/LqAmwcipRRbjcNlp63wX2oeEaho2lVKRSaVJk9PpaJLGC1cPJlca&#10;awQQXbPB8u2+7bD3QPZQnBGfhU4ozvBNhT1smfPPzKIyEBKq3T/hIhVgLbhYlJRgf/3tPMQjYeil&#10;pEGl5dT9PDIrKFE/NFJ5NxyPgzTjZjz5muHG3nr2tx59rNeAYka2sLtohnivelNaqN/wUaxCVXQx&#10;zbF2Tn1vrn2nf3xUXKxWMQjFaJjf6p3hIXWYapjwS/vGrLnQEMTwCL0m2fwDG11sx8fq6EFWkaow&#10;526ql/GjkCPZl0cXXsrtPka9/xqWvwEAAP//AwBQSwMEFAAGAAgAAAAhAN5Y5wvhAAAACQEAAA8A&#10;AABkcnMvZG93bnJldi54bWxMj09Lw0AUxO+C32F5gje7a0xiidmUEiiC6KG1F28v2dckuH9idttG&#10;P73rqR6HGWZ+U65mo9mJJj84K+F+IYCRbZ0abCdh/765WwLzAa1C7SxJ+CYPq+r6qsRCubPd0mkX&#10;OhZLrC9QQh/CWHDu254M+oUbyUbv4CaDIcqp42rCcyw3midC5NzgYONCjyPVPbWfu6OR8FJv3nDb&#10;JGb5o+vn18N6/Np/ZFLe3szrJ2CB5nAJwx9+RIcqMjXuaJVnWkKaPcSkhOQxAxb9TOQpsEZCLkQK&#10;vCr5/wfVLwAAAP//AwBQSwECLQAUAAYACAAAACEAtoM4kv4AAADhAQAAEwAAAAAAAAAAAAAAAAAA&#10;AAAAW0NvbnRlbnRfVHlwZXNdLnhtbFBLAQItABQABgAIAAAAIQA4/SH/1gAAAJQBAAALAAAAAAAA&#10;AAAAAAAAAC8BAABfcmVscy8ucmVsc1BLAQItABQABgAIAAAAIQAoQvVnNwIAAGIEAAAOAAAAAAAA&#10;AAAAAAAAAC4CAABkcnMvZTJvRG9jLnhtbFBLAQItABQABgAIAAAAIQDeWOcL4QAAAAkBAAAPAAAA&#10;AAAAAAAAAAAAAJEEAABkcnMvZG93bnJldi54bWxQSwUGAAAAAAQABADzAAAAnwUAAAAA&#10;" filled="f" stroked="f" strokeweight=".5pt">
                <v:textbox>
                  <w:txbxContent>
                    <w:p w14:paraId="496C1E1C" w14:textId="06E9F905" w:rsidR="00004005" w:rsidRDefault="00004005" w:rsidP="00082F38">
                      <w:pPr>
                        <w:contextualSpacing/>
                        <w:jc w:val="center"/>
                        <w:rPr>
                          <w:rFonts w:ascii="Arial Black" w:eastAsia="+mn-ea" w:hAnsi="Arial Black" w:cs="+mn-cs"/>
                          <w:b/>
                          <w:bCs/>
                          <w:color w:val="000000"/>
                          <w:sz w:val="56"/>
                          <w:szCs w:val="56"/>
                          <w:lang w:val="es-ES"/>
                        </w:rPr>
                      </w:pPr>
                      <w:r w:rsidRPr="00082F38">
                        <w:rPr>
                          <w:rFonts w:ascii="Arial Black" w:eastAsia="+mn-ea" w:hAnsi="Arial Black" w:cs="+mn-cs"/>
                          <w:b/>
                          <w:bCs/>
                          <w:color w:val="000000"/>
                          <w:sz w:val="56"/>
                          <w:szCs w:val="56"/>
                          <w:lang w:val="es-ES"/>
                        </w:rPr>
                        <w:t xml:space="preserve">Informe </w:t>
                      </w:r>
                    </w:p>
                    <w:p w14:paraId="5902D9D4" w14:textId="77777777" w:rsidR="00004005" w:rsidRDefault="00004005" w:rsidP="00082F38">
                      <w:pPr>
                        <w:contextualSpacing/>
                        <w:jc w:val="center"/>
                        <w:rPr>
                          <w:rFonts w:ascii="Arial Black" w:eastAsia="+mn-ea" w:hAnsi="Arial Black" w:cs="+mn-cs"/>
                          <w:b/>
                          <w:bCs/>
                          <w:color w:val="000000"/>
                          <w:sz w:val="56"/>
                          <w:szCs w:val="56"/>
                          <w:lang w:val="es-ES"/>
                        </w:rPr>
                      </w:pPr>
                    </w:p>
                    <w:p w14:paraId="103E36B2" w14:textId="77777777"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Sistema </w:t>
                      </w:r>
                    </w:p>
                    <w:p w14:paraId="2878BEF6" w14:textId="77777777"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Específico de Valoración </w:t>
                      </w:r>
                    </w:p>
                    <w:p w14:paraId="6236598E" w14:textId="2E19A26B"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 xml:space="preserve">del Riesgo </w:t>
                      </w:r>
                    </w:p>
                    <w:p w14:paraId="53CBF408" w14:textId="31FC425E" w:rsidR="00004005" w:rsidRDefault="00004005" w:rsidP="00082F38">
                      <w:pPr>
                        <w:contextualSpacing/>
                        <w:jc w:val="center"/>
                        <w:rPr>
                          <w:rFonts w:ascii="Arial Black" w:eastAsia="+mn-ea" w:hAnsi="Arial Black" w:cs="+mn-cs"/>
                          <w:b/>
                          <w:bCs/>
                          <w:color w:val="000000"/>
                          <w:sz w:val="36"/>
                          <w:szCs w:val="36"/>
                          <w:lang w:val="es-ES"/>
                        </w:rPr>
                      </w:pPr>
                      <w:r w:rsidRPr="00082F38">
                        <w:rPr>
                          <w:rFonts w:ascii="Arial Black" w:eastAsia="+mn-ea" w:hAnsi="Arial Black" w:cs="+mn-cs"/>
                          <w:b/>
                          <w:bCs/>
                          <w:color w:val="000000"/>
                          <w:sz w:val="36"/>
                          <w:szCs w:val="36"/>
                          <w:lang w:val="es-ES"/>
                        </w:rPr>
                        <w:t>(SEVRI)</w:t>
                      </w:r>
                    </w:p>
                    <w:p w14:paraId="358AD7EE" w14:textId="77777777" w:rsidR="00004005" w:rsidRDefault="00004005" w:rsidP="00082F38">
                      <w:pPr>
                        <w:contextualSpacing/>
                        <w:jc w:val="center"/>
                        <w:rPr>
                          <w:rFonts w:ascii="Arial Black" w:eastAsia="+mn-ea" w:hAnsi="Arial Black" w:cs="+mn-cs"/>
                          <w:b/>
                          <w:bCs/>
                          <w:color w:val="000000"/>
                          <w:sz w:val="36"/>
                          <w:szCs w:val="36"/>
                          <w:lang w:val="es-ES"/>
                        </w:rPr>
                      </w:pPr>
                    </w:p>
                    <w:p w14:paraId="7818D28E" w14:textId="04268F9E" w:rsidR="00004005" w:rsidRPr="00082F38" w:rsidRDefault="00004005" w:rsidP="00082F38">
                      <w:pPr>
                        <w:contextualSpacing/>
                        <w:jc w:val="center"/>
                        <w:rPr>
                          <w:sz w:val="36"/>
                        </w:rPr>
                      </w:pPr>
                      <w:r w:rsidRPr="00082F38">
                        <w:rPr>
                          <w:rFonts w:ascii="Arial Black" w:eastAsia="+mn-ea" w:hAnsi="Arial Black" w:cs="+mn-cs"/>
                          <w:b/>
                          <w:bCs/>
                          <w:color w:val="000000"/>
                          <w:sz w:val="56"/>
                          <w:szCs w:val="56"/>
                          <w:lang w:val="es-ES"/>
                        </w:rPr>
                        <w:t>2025</w:t>
                      </w:r>
                    </w:p>
                    <w:p w14:paraId="14727FA0" w14:textId="77777777" w:rsidR="00004005" w:rsidRDefault="00004005"/>
                  </w:txbxContent>
                </v:textbox>
              </v:shape>
            </w:pict>
          </mc:Fallback>
        </mc:AlternateContent>
      </w:r>
    </w:p>
    <w:p w14:paraId="07C479DE" w14:textId="204086F0" w:rsidR="003C5090" w:rsidRPr="00643CC2" w:rsidRDefault="003C5090" w:rsidP="00082F38">
      <w:pPr>
        <w:jc w:val="center"/>
        <w:rPr>
          <w:rFonts w:ascii="Arial" w:hAnsi="Arial" w:cs="Arial"/>
        </w:rPr>
      </w:pPr>
    </w:p>
    <w:p w14:paraId="1783DD8B" w14:textId="66ADD4CC" w:rsidR="003C5090" w:rsidRPr="00643CC2" w:rsidRDefault="003C5090" w:rsidP="00082F38">
      <w:pPr>
        <w:jc w:val="center"/>
        <w:rPr>
          <w:rFonts w:ascii="Arial" w:hAnsi="Arial" w:cs="Arial"/>
        </w:rPr>
      </w:pPr>
    </w:p>
    <w:p w14:paraId="38D6D133" w14:textId="57BA2506" w:rsidR="003C5090" w:rsidRPr="00643CC2" w:rsidRDefault="003C5090" w:rsidP="00082F38">
      <w:pPr>
        <w:rPr>
          <w:rFonts w:ascii="Arial" w:hAnsi="Arial" w:cs="Arial"/>
        </w:rPr>
      </w:pPr>
    </w:p>
    <w:p w14:paraId="242451BE" w14:textId="66855A16" w:rsidR="003C5090" w:rsidRPr="00643CC2" w:rsidRDefault="00436F61" w:rsidP="00082F38">
      <w:pPr>
        <w:jc w:val="center"/>
        <w:rPr>
          <w:rFonts w:ascii="Arial" w:hAnsi="Arial" w:cs="Arial"/>
        </w:rPr>
      </w:pPr>
      <w:r>
        <w:rPr>
          <w:noProof/>
        </w:rPr>
        <w:drawing>
          <wp:anchor distT="0" distB="0" distL="114300" distR="114300" simplePos="0" relativeHeight="251675136" behindDoc="0" locked="0" layoutInCell="1" allowOverlap="1" wp14:anchorId="53884645" wp14:editId="0706051C">
            <wp:simplePos x="0" y="0"/>
            <wp:positionH relativeFrom="column">
              <wp:posOffset>3478530</wp:posOffset>
            </wp:positionH>
            <wp:positionV relativeFrom="paragraph">
              <wp:posOffset>81280</wp:posOffset>
            </wp:positionV>
            <wp:extent cx="6867525" cy="5150485"/>
            <wp:effectExtent l="127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pa arboles, Monteverde, Foto Adriana Valerio 2022.jpg"/>
                    <pic:cNvPicPr/>
                  </pic:nvPicPr>
                  <pic:blipFill>
                    <a:blip r:embed="rId9">
                      <a:clrChange>
                        <a:clrFrom>
                          <a:srgbClr val="342110"/>
                        </a:clrFrom>
                        <a:clrTo>
                          <a:srgbClr val="342110">
                            <a:alpha val="0"/>
                          </a:srgbClr>
                        </a:clrTo>
                      </a:clrChange>
                      <a:extLst>
                        <a:ext uri="{28A0092B-C50C-407E-A947-70E740481C1C}">
                          <a14:useLocalDpi xmlns:a14="http://schemas.microsoft.com/office/drawing/2010/main" val="0"/>
                        </a:ext>
                      </a:extLst>
                    </a:blip>
                    <a:stretch>
                      <a:fillRect/>
                    </a:stretch>
                  </pic:blipFill>
                  <pic:spPr>
                    <a:xfrm rot="5400000">
                      <a:off x="0" y="0"/>
                      <a:ext cx="6867525" cy="5150485"/>
                    </a:xfrm>
                    <a:prstGeom prst="rect">
                      <a:avLst/>
                    </a:prstGeom>
                  </pic:spPr>
                </pic:pic>
              </a:graphicData>
            </a:graphic>
            <wp14:sizeRelH relativeFrom="margin">
              <wp14:pctWidth>0</wp14:pctWidth>
            </wp14:sizeRelH>
            <wp14:sizeRelV relativeFrom="margin">
              <wp14:pctHeight>0</wp14:pctHeight>
            </wp14:sizeRelV>
          </wp:anchor>
        </w:drawing>
      </w:r>
    </w:p>
    <w:p w14:paraId="38C1C913" w14:textId="45F62F5A" w:rsidR="003C5090" w:rsidRPr="00643CC2" w:rsidRDefault="003C5090" w:rsidP="00082F38">
      <w:pPr>
        <w:rPr>
          <w:rFonts w:ascii="Arial" w:hAnsi="Arial" w:cs="Arial"/>
        </w:rPr>
      </w:pPr>
    </w:p>
    <w:p w14:paraId="7D4B9F16" w14:textId="00859F15" w:rsidR="003C5090" w:rsidRPr="00643CC2" w:rsidRDefault="003C5090" w:rsidP="00082F38">
      <w:pPr>
        <w:jc w:val="center"/>
        <w:rPr>
          <w:rFonts w:ascii="Arial" w:hAnsi="Arial" w:cs="Arial"/>
        </w:rPr>
      </w:pPr>
    </w:p>
    <w:p w14:paraId="3133011A" w14:textId="03A187CC" w:rsidR="003C5090" w:rsidRPr="00643CC2" w:rsidRDefault="00082F38" w:rsidP="00082F38">
      <w:pPr>
        <w:numPr>
          <w:ilvl w:val="0"/>
          <w:numId w:val="23"/>
        </w:numPr>
        <w:ind w:left="1267"/>
        <w:contextualSpacing/>
        <w:jc w:val="center"/>
        <w:rPr>
          <w:rFonts w:ascii="Arial" w:hAnsi="Arial" w:cs="Arial"/>
        </w:rPr>
      </w:pPr>
      <w:r>
        <w:rPr>
          <w:rFonts w:ascii="Arial" w:hAnsi="Arial" w:cs="Arial"/>
          <w:noProof/>
        </w:rPr>
        <mc:AlternateContent>
          <mc:Choice Requires="wps">
            <w:drawing>
              <wp:anchor distT="0" distB="0" distL="114300" distR="114300" simplePos="0" relativeHeight="251676160" behindDoc="1" locked="0" layoutInCell="1" allowOverlap="1" wp14:anchorId="0AA5392B" wp14:editId="107CA8FD">
                <wp:simplePos x="0" y="0"/>
                <wp:positionH relativeFrom="column">
                  <wp:posOffset>-33412</wp:posOffset>
                </wp:positionH>
                <wp:positionV relativeFrom="paragraph">
                  <wp:posOffset>2815982</wp:posOffset>
                </wp:positionV>
                <wp:extent cx="3871028" cy="456633"/>
                <wp:effectExtent l="0" t="0" r="0" b="635"/>
                <wp:wrapNone/>
                <wp:docPr id="3" name="Cuadro de texto 3"/>
                <wp:cNvGraphicFramePr/>
                <a:graphic xmlns:a="http://schemas.openxmlformats.org/drawingml/2006/main">
                  <a:graphicData uri="http://schemas.microsoft.com/office/word/2010/wordprocessingShape">
                    <wps:wsp>
                      <wps:cNvSpPr txBox="1"/>
                      <wps:spPr>
                        <a:xfrm>
                          <a:off x="0" y="0"/>
                          <a:ext cx="3871028" cy="456633"/>
                        </a:xfrm>
                        <a:prstGeom prst="rect">
                          <a:avLst/>
                        </a:prstGeom>
                        <a:noFill/>
                        <a:ln w="6350">
                          <a:noFill/>
                        </a:ln>
                      </wps:spPr>
                      <wps:txbx>
                        <w:txbxContent>
                          <w:p w14:paraId="2C4626D4" w14:textId="77777777" w:rsidR="00004005" w:rsidRPr="00570755" w:rsidRDefault="00004005" w:rsidP="00082F38">
                            <w:pPr>
                              <w:jc w:val="center"/>
                              <w:rPr>
                                <w:rFonts w:ascii="Arial" w:hAnsi="Arial" w:cs="Arial"/>
                                <w:b/>
                              </w:rPr>
                            </w:pPr>
                            <w:r w:rsidRPr="00570755">
                              <w:rPr>
                                <w:rFonts w:ascii="Arial" w:hAnsi="Arial" w:cs="Arial"/>
                                <w:b/>
                              </w:rPr>
                              <w:t>Unidad de Planificación y Control de Gestión</w:t>
                            </w:r>
                          </w:p>
                          <w:p w14:paraId="2F41825E" w14:textId="77777777" w:rsidR="00004005" w:rsidRDefault="000040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5392B" id="Cuadro de texto 3" o:spid="_x0000_s1028" type="#_x0000_t202" style="position:absolute;left:0;text-align:left;margin-left:-2.65pt;margin-top:221.75pt;width:304.8pt;height:35.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1TONgIAAF8EAAAOAAAAZHJzL2Uyb0RvYy54bWysVE1v2zAMvQ/YfxB0X+x8tg3iFFmKDAOK&#10;tkA69KzIUmxAEjVJiZ39+lFynAbdTsMuMiVSFB/foxf3rVbkKJyvwRR0OMgpEYZDWZt9QX+8br7c&#10;UuIDMyVTYERBT8LT++XnT4vGzsUIKlClcASTGD9vbEGrEOw8yzyvhGZ+AFYYdEpwmgXcun1WOtZg&#10;dq2yUZ7PsgZcaR1w4T2ePnROukz5pRQ8PEvpRSCqoFhbSKtL6y6u2XLB5nvHbFXzcxnsH6rQrDb4&#10;6CXVAwuMHFz9RypdcwceZBhw0BlIWXORMCCaYf4BzbZiViQs2BxvL23y/y8tfzq+OFKXBR1TYphG&#10;itYHVjogpSBBtAHIODapsX6OsVuL0aH9Ci2S3Z97PIzYW+l0/CIqgn5s9+nSYsxEOB6Ob2+G+QhF&#10;wdE3mc5m45Q+e79tnQ/fBGgSjYI6pDB1lh0ffcBKMLQPiY8Z2NRKJRqVIU1BZ+Npni5cPHhDGbwY&#10;MXS1Riu0uzYBH/U4dlCeEJ6DTiXe8k2NNTwyH16YQ1kgIpR6eMZFKsC34GxRUoH79bfzGI9soZeS&#10;BmVWUP/zwJygRH03yOPdcDKJukybyfRmhBt37dlde8xBrwGVPMShsjyZMT6o3pQO9BtOxCq+ii5m&#10;OL5d0NCb69CJHyeKi9UqBaESLQuPZmt5TB27Gjv82r4xZ880RCk8QS9INv/ARhfb8bE6BJB1oir2&#10;uevquf2o4sTgeeLimFzvU9T7f2H5GwAA//8DAFBLAwQUAAYACAAAACEAUKQZMeIAAAAKAQAADwAA&#10;AGRycy9kb3ducmV2LnhtbEyPwW7CMAyG75N4h8hIu0EKNAh1dRGqhCZN2wHGZbe0CW21xOmaAN2e&#10;ftlpHG1/+v39+Xa0hl314DtHCIt5AkxT7VRHDcLpfT/bAPNBkpLGkUb41h62xeQhl5lyNzro6zE0&#10;LIaQzyRCG0Kfce7rVlvp567XFG9nN1gZ4jg0XA3yFsOt4cskWXMrO4ofWtnrstX15/FiEV7K/Zs8&#10;VEu7+THl8+t513+dPgTi43TcPQELegz/MPzpR3UoolPlLqQ8MwgzsYokQpquBLAIrJM0bioEsRAp&#10;8CLn9xWKXwAAAP//AwBQSwECLQAUAAYACAAAACEAtoM4kv4AAADhAQAAEwAAAAAAAAAAAAAAAAAA&#10;AAAAW0NvbnRlbnRfVHlwZXNdLnhtbFBLAQItABQABgAIAAAAIQA4/SH/1gAAAJQBAAALAAAAAAAA&#10;AAAAAAAAAC8BAABfcmVscy8ucmVsc1BLAQItABQABgAIAAAAIQCbu1TONgIAAF8EAAAOAAAAAAAA&#10;AAAAAAAAAC4CAABkcnMvZTJvRG9jLnhtbFBLAQItABQABgAIAAAAIQBQpBkx4gAAAAoBAAAPAAAA&#10;AAAAAAAAAAAAAJAEAABkcnMvZG93bnJldi54bWxQSwUGAAAAAAQABADzAAAAnwUAAAAA&#10;" filled="f" stroked="f" strokeweight=".5pt">
                <v:textbox>
                  <w:txbxContent>
                    <w:p w14:paraId="2C4626D4" w14:textId="77777777" w:rsidR="00004005" w:rsidRPr="00570755" w:rsidRDefault="00004005" w:rsidP="00082F38">
                      <w:pPr>
                        <w:jc w:val="center"/>
                        <w:rPr>
                          <w:rFonts w:ascii="Arial" w:hAnsi="Arial" w:cs="Arial"/>
                          <w:b/>
                        </w:rPr>
                      </w:pPr>
                      <w:r w:rsidRPr="00570755">
                        <w:rPr>
                          <w:rFonts w:ascii="Arial" w:hAnsi="Arial" w:cs="Arial"/>
                          <w:b/>
                        </w:rPr>
                        <w:t>Unidad de Planificación y Control de Gestión</w:t>
                      </w:r>
                    </w:p>
                    <w:p w14:paraId="2F41825E" w14:textId="77777777" w:rsidR="00004005" w:rsidRDefault="00004005"/>
                  </w:txbxContent>
                </v:textbox>
              </v:shape>
            </w:pict>
          </mc:Fallback>
        </mc:AlternateContent>
      </w:r>
      <w:r w:rsidR="003C5090" w:rsidRPr="00643CC2">
        <w:rPr>
          <w:rFonts w:ascii="Arial" w:hAnsi="Arial" w:cs="Arial"/>
        </w:rPr>
        <w:br w:type="page"/>
      </w:r>
      <w:r w:rsidRPr="00643CC2">
        <w:rPr>
          <w:rFonts w:ascii="Arial" w:hAnsi="Arial" w:cs="Arial"/>
        </w:rPr>
        <w:lastRenderedPageBreak/>
        <w:t xml:space="preserve"> </w:t>
      </w:r>
    </w:p>
    <w:p w14:paraId="0CBE0F7A" w14:textId="6A674FC7" w:rsidR="00643CC2" w:rsidRPr="00643CC2" w:rsidRDefault="00643CC2" w:rsidP="008069AF">
      <w:pPr>
        <w:jc w:val="center"/>
        <w:rPr>
          <w:rFonts w:ascii="Arial" w:hAnsi="Arial" w:cs="Arial"/>
          <w:b/>
          <w:sz w:val="40"/>
          <w:szCs w:val="40"/>
        </w:rPr>
      </w:pPr>
      <w:r w:rsidRPr="00643CC2">
        <w:rPr>
          <w:rFonts w:ascii="Arial" w:hAnsi="Arial" w:cs="Arial"/>
          <w:b/>
          <w:sz w:val="40"/>
          <w:szCs w:val="40"/>
        </w:rPr>
        <w:t>Créditos</w:t>
      </w:r>
    </w:p>
    <w:p w14:paraId="55B4A8F4" w14:textId="77777777" w:rsidR="00436F61" w:rsidRDefault="00436F61" w:rsidP="00436F61">
      <w:pPr>
        <w:jc w:val="both"/>
        <w:rPr>
          <w:rFonts w:ascii="Arial" w:hAnsi="Arial" w:cs="Arial"/>
          <w:b/>
        </w:rPr>
      </w:pPr>
    </w:p>
    <w:p w14:paraId="78FAF9CD" w14:textId="77777777" w:rsidR="00436F61" w:rsidRDefault="00436F61" w:rsidP="00436F61">
      <w:pPr>
        <w:jc w:val="both"/>
        <w:rPr>
          <w:rFonts w:ascii="Arial" w:hAnsi="Arial" w:cs="Arial"/>
          <w:b/>
        </w:rPr>
      </w:pPr>
    </w:p>
    <w:p w14:paraId="06E5149C" w14:textId="77777777" w:rsidR="00436F61" w:rsidRDefault="00436F61" w:rsidP="00436F61">
      <w:pPr>
        <w:jc w:val="both"/>
        <w:rPr>
          <w:rFonts w:ascii="Arial" w:hAnsi="Arial" w:cs="Arial"/>
          <w:b/>
        </w:rPr>
      </w:pPr>
    </w:p>
    <w:p w14:paraId="4512535B" w14:textId="77777777" w:rsidR="00436F61" w:rsidRDefault="00436F61" w:rsidP="00436F61">
      <w:pPr>
        <w:jc w:val="both"/>
        <w:rPr>
          <w:rFonts w:ascii="Arial" w:hAnsi="Arial" w:cs="Arial"/>
          <w:b/>
        </w:rPr>
      </w:pPr>
    </w:p>
    <w:p w14:paraId="7B3B53DC" w14:textId="77777777" w:rsidR="00436F61" w:rsidRDefault="00436F61" w:rsidP="00436F61">
      <w:pPr>
        <w:jc w:val="both"/>
        <w:rPr>
          <w:rFonts w:ascii="Arial" w:hAnsi="Arial" w:cs="Arial"/>
          <w:b/>
        </w:rPr>
      </w:pPr>
    </w:p>
    <w:p w14:paraId="59CC5C04" w14:textId="4110C5D7" w:rsidR="00436F61" w:rsidRPr="00436F61" w:rsidRDefault="00436F61" w:rsidP="00436F61">
      <w:pPr>
        <w:jc w:val="both"/>
        <w:rPr>
          <w:rFonts w:ascii="Arial" w:hAnsi="Arial" w:cs="Arial"/>
        </w:rPr>
      </w:pPr>
      <w:r w:rsidRPr="00436F61">
        <w:rPr>
          <w:rFonts w:ascii="Arial" w:hAnsi="Arial" w:cs="Arial"/>
        </w:rPr>
        <w:t>__________________________________________________</w:t>
      </w:r>
    </w:p>
    <w:p w14:paraId="7264644E" w14:textId="09B40264" w:rsidR="00570755" w:rsidRPr="00643CC2" w:rsidRDefault="00570755" w:rsidP="00436F61">
      <w:pPr>
        <w:jc w:val="both"/>
        <w:rPr>
          <w:rFonts w:ascii="Arial" w:hAnsi="Arial" w:cs="Arial"/>
          <w:b/>
        </w:rPr>
      </w:pPr>
      <w:r w:rsidRPr="00643CC2">
        <w:rPr>
          <w:rFonts w:ascii="Arial" w:hAnsi="Arial" w:cs="Arial"/>
          <w:b/>
        </w:rPr>
        <w:t>Elaborado por:</w:t>
      </w:r>
    </w:p>
    <w:p w14:paraId="1068EBE4" w14:textId="00BE48BC" w:rsidR="00570755" w:rsidRPr="00436F61" w:rsidRDefault="00570755" w:rsidP="00436F61">
      <w:pPr>
        <w:jc w:val="both"/>
        <w:rPr>
          <w:rFonts w:ascii="Arial" w:hAnsi="Arial" w:cs="Arial"/>
        </w:rPr>
      </w:pPr>
      <w:r w:rsidRPr="00436F61">
        <w:rPr>
          <w:rFonts w:ascii="Arial" w:hAnsi="Arial" w:cs="Arial"/>
        </w:rPr>
        <w:t xml:space="preserve">Keilyn Chavarría Fernández </w:t>
      </w:r>
    </w:p>
    <w:p w14:paraId="242E3E81" w14:textId="64545986" w:rsidR="00570755" w:rsidRPr="00436F61" w:rsidRDefault="00570755" w:rsidP="00436F61">
      <w:pPr>
        <w:jc w:val="both"/>
        <w:rPr>
          <w:rFonts w:ascii="Arial" w:hAnsi="Arial" w:cs="Arial"/>
        </w:rPr>
      </w:pPr>
      <w:r w:rsidRPr="00436F61">
        <w:rPr>
          <w:rFonts w:ascii="Arial" w:hAnsi="Arial" w:cs="Arial"/>
        </w:rPr>
        <w:t xml:space="preserve">Analista Unidad de Planificación y Control de Gestión </w:t>
      </w:r>
    </w:p>
    <w:p w14:paraId="1D20A8F1" w14:textId="44CE820C" w:rsidR="00643CC2" w:rsidRDefault="00643CC2" w:rsidP="00643CC2">
      <w:pPr>
        <w:rPr>
          <w:rFonts w:ascii="Arial" w:hAnsi="Arial" w:cs="Arial"/>
          <w:b/>
          <w:sz w:val="40"/>
          <w:szCs w:val="40"/>
        </w:rPr>
      </w:pPr>
    </w:p>
    <w:p w14:paraId="415FE73E" w14:textId="77777777" w:rsidR="00436F61" w:rsidRPr="00643CC2" w:rsidRDefault="00436F61" w:rsidP="00643CC2">
      <w:pPr>
        <w:rPr>
          <w:rFonts w:ascii="Arial" w:hAnsi="Arial" w:cs="Arial"/>
          <w:b/>
          <w:sz w:val="40"/>
          <w:szCs w:val="40"/>
        </w:rPr>
      </w:pPr>
    </w:p>
    <w:p w14:paraId="6DDD859E" w14:textId="77777777" w:rsidR="00436F61" w:rsidRDefault="00436F61" w:rsidP="00643CC2">
      <w:pPr>
        <w:tabs>
          <w:tab w:val="left" w:pos="2115"/>
        </w:tabs>
        <w:rPr>
          <w:rFonts w:ascii="Arial" w:hAnsi="Arial" w:cs="Arial"/>
        </w:rPr>
      </w:pPr>
    </w:p>
    <w:p w14:paraId="08FDE35F" w14:textId="118D1EA6" w:rsidR="00643CC2" w:rsidRPr="00643CC2" w:rsidRDefault="00643CC2" w:rsidP="00643CC2">
      <w:pPr>
        <w:tabs>
          <w:tab w:val="left" w:pos="2115"/>
        </w:tabs>
        <w:rPr>
          <w:rFonts w:ascii="Arial" w:hAnsi="Arial" w:cs="Arial"/>
        </w:rPr>
      </w:pPr>
      <w:r>
        <w:rPr>
          <w:rFonts w:ascii="Arial" w:hAnsi="Arial" w:cs="Arial"/>
        </w:rPr>
        <w:tab/>
      </w:r>
    </w:p>
    <w:p w14:paraId="0F08615F" w14:textId="096F48E8" w:rsidR="00643CC2" w:rsidRPr="00643CC2" w:rsidRDefault="00643CC2" w:rsidP="00643CC2">
      <w:pPr>
        <w:jc w:val="both"/>
        <w:rPr>
          <w:rFonts w:ascii="Arial" w:hAnsi="Arial" w:cs="Arial"/>
        </w:rPr>
      </w:pPr>
      <w:r w:rsidRPr="00643CC2">
        <w:rPr>
          <w:rFonts w:ascii="Arial" w:hAnsi="Arial" w:cs="Arial"/>
        </w:rPr>
        <w:t>_______________________________</w:t>
      </w:r>
      <w:r w:rsidR="00436F61">
        <w:rPr>
          <w:rFonts w:ascii="Arial" w:hAnsi="Arial" w:cs="Arial"/>
        </w:rPr>
        <w:t>___________________</w:t>
      </w:r>
      <w:r w:rsidRPr="00643CC2">
        <w:rPr>
          <w:rFonts w:ascii="Arial" w:hAnsi="Arial" w:cs="Arial"/>
        </w:rPr>
        <w:t>_</w:t>
      </w:r>
    </w:p>
    <w:p w14:paraId="4F8C3348" w14:textId="4AF8278E" w:rsidR="00643CC2" w:rsidRPr="00643CC2" w:rsidRDefault="00643CC2" w:rsidP="00643CC2">
      <w:pPr>
        <w:jc w:val="both"/>
        <w:rPr>
          <w:rFonts w:ascii="Arial" w:hAnsi="Arial" w:cs="Arial"/>
          <w:b/>
        </w:rPr>
      </w:pPr>
      <w:r w:rsidRPr="00643CC2">
        <w:rPr>
          <w:rFonts w:ascii="Arial" w:hAnsi="Arial" w:cs="Arial"/>
          <w:b/>
        </w:rPr>
        <w:t>Revisado por:</w:t>
      </w:r>
    </w:p>
    <w:p w14:paraId="50982CB8" w14:textId="5AE1C3CF" w:rsidR="00643CC2" w:rsidRPr="00643CC2" w:rsidRDefault="00643CC2" w:rsidP="00643CC2">
      <w:pPr>
        <w:jc w:val="both"/>
        <w:rPr>
          <w:rFonts w:ascii="Arial" w:hAnsi="Arial" w:cs="Arial"/>
        </w:rPr>
      </w:pPr>
      <w:r w:rsidRPr="00643CC2">
        <w:rPr>
          <w:rFonts w:ascii="Arial" w:hAnsi="Arial" w:cs="Arial"/>
        </w:rPr>
        <w:t>José Edgar Toruño Ramírez</w:t>
      </w:r>
    </w:p>
    <w:p w14:paraId="78F86755" w14:textId="3215DAB2" w:rsidR="00643CC2" w:rsidRPr="00643CC2" w:rsidRDefault="00643CC2" w:rsidP="00643CC2">
      <w:pPr>
        <w:jc w:val="both"/>
        <w:rPr>
          <w:rFonts w:ascii="Arial" w:hAnsi="Arial" w:cs="Arial"/>
        </w:rPr>
      </w:pPr>
      <w:r w:rsidRPr="00643CC2">
        <w:rPr>
          <w:rFonts w:ascii="Arial" w:hAnsi="Arial" w:cs="Arial"/>
        </w:rPr>
        <w:t>Director Dirección Administrativa Financiera</w:t>
      </w:r>
    </w:p>
    <w:p w14:paraId="6CA11592" w14:textId="45120904" w:rsidR="00643CC2" w:rsidRPr="00643CC2" w:rsidRDefault="00643CC2" w:rsidP="00643CC2">
      <w:pPr>
        <w:jc w:val="both"/>
        <w:rPr>
          <w:rFonts w:ascii="Arial" w:hAnsi="Arial" w:cs="Arial"/>
        </w:rPr>
      </w:pPr>
    </w:p>
    <w:p w14:paraId="7AC57F3E" w14:textId="040D852F" w:rsidR="00643CC2" w:rsidRDefault="00643CC2" w:rsidP="00643CC2">
      <w:pPr>
        <w:jc w:val="both"/>
        <w:rPr>
          <w:rFonts w:ascii="Arial" w:hAnsi="Arial" w:cs="Arial"/>
        </w:rPr>
      </w:pPr>
    </w:p>
    <w:p w14:paraId="15BB1D57" w14:textId="3BB2C356" w:rsidR="00436F61" w:rsidRDefault="00436F61" w:rsidP="00643CC2">
      <w:pPr>
        <w:jc w:val="both"/>
        <w:rPr>
          <w:rFonts w:ascii="Arial" w:hAnsi="Arial" w:cs="Arial"/>
        </w:rPr>
      </w:pPr>
    </w:p>
    <w:p w14:paraId="53FC8013" w14:textId="5F142832" w:rsidR="00436F61" w:rsidRDefault="00436F61" w:rsidP="00643CC2">
      <w:pPr>
        <w:jc w:val="both"/>
        <w:rPr>
          <w:rFonts w:ascii="Arial" w:hAnsi="Arial" w:cs="Arial"/>
        </w:rPr>
      </w:pPr>
    </w:p>
    <w:p w14:paraId="2356F92E" w14:textId="6ED1ACE6" w:rsidR="00436F61" w:rsidRDefault="00436F61" w:rsidP="00643CC2">
      <w:pPr>
        <w:jc w:val="both"/>
        <w:rPr>
          <w:rFonts w:ascii="Arial" w:hAnsi="Arial" w:cs="Arial"/>
        </w:rPr>
      </w:pPr>
    </w:p>
    <w:p w14:paraId="7CE2F075" w14:textId="26C6CF93" w:rsidR="00436F61" w:rsidRDefault="00436F61" w:rsidP="00643CC2">
      <w:pPr>
        <w:jc w:val="both"/>
        <w:rPr>
          <w:rFonts w:ascii="Arial" w:hAnsi="Arial" w:cs="Arial"/>
        </w:rPr>
      </w:pPr>
    </w:p>
    <w:p w14:paraId="34161451" w14:textId="77777777" w:rsidR="00436F61" w:rsidRPr="00643CC2" w:rsidRDefault="00436F61" w:rsidP="00643CC2">
      <w:pPr>
        <w:jc w:val="both"/>
        <w:rPr>
          <w:rFonts w:ascii="Arial" w:hAnsi="Arial" w:cs="Arial"/>
        </w:rPr>
      </w:pPr>
    </w:p>
    <w:p w14:paraId="05AF5B72" w14:textId="720C7041" w:rsidR="00643CC2" w:rsidRPr="00643CC2" w:rsidRDefault="00643CC2" w:rsidP="00643CC2">
      <w:pPr>
        <w:rPr>
          <w:rFonts w:ascii="Arial" w:hAnsi="Arial" w:cs="Arial"/>
        </w:rPr>
      </w:pPr>
      <w:r w:rsidRPr="00643CC2">
        <w:rPr>
          <w:rFonts w:ascii="Arial" w:hAnsi="Arial" w:cs="Arial"/>
        </w:rPr>
        <w:t>_______________________________</w:t>
      </w:r>
      <w:r w:rsidR="00436F61">
        <w:rPr>
          <w:rFonts w:ascii="Arial" w:hAnsi="Arial" w:cs="Arial"/>
        </w:rPr>
        <w:t>____________________</w:t>
      </w:r>
      <w:r w:rsidRPr="00643CC2">
        <w:rPr>
          <w:rFonts w:ascii="Arial" w:hAnsi="Arial" w:cs="Arial"/>
        </w:rPr>
        <w:t>_</w:t>
      </w:r>
    </w:p>
    <w:p w14:paraId="3353E9E0" w14:textId="72B08881" w:rsidR="00643CC2" w:rsidRPr="00643CC2" w:rsidRDefault="00643CC2" w:rsidP="00643CC2">
      <w:pPr>
        <w:rPr>
          <w:rFonts w:ascii="Arial" w:hAnsi="Arial" w:cs="Arial"/>
          <w:b/>
          <w:bCs/>
        </w:rPr>
      </w:pPr>
      <w:r w:rsidRPr="00643CC2">
        <w:rPr>
          <w:rFonts w:ascii="Arial" w:hAnsi="Arial" w:cs="Arial"/>
          <w:b/>
          <w:bCs/>
        </w:rPr>
        <w:t>Aprobado por:</w:t>
      </w:r>
    </w:p>
    <w:p w14:paraId="353FF876" w14:textId="5A801A04" w:rsidR="00643CC2" w:rsidRPr="00643CC2" w:rsidRDefault="00643CC2" w:rsidP="00643CC2">
      <w:pPr>
        <w:rPr>
          <w:rFonts w:ascii="Arial" w:hAnsi="Arial" w:cs="Arial"/>
        </w:rPr>
      </w:pPr>
      <w:bookmarkStart w:id="0" w:name="_Hlk184107610"/>
      <w:r w:rsidRPr="00643CC2">
        <w:rPr>
          <w:rFonts w:ascii="Arial" w:hAnsi="Arial" w:cs="Arial"/>
        </w:rPr>
        <w:t>Gilmar Navarrete Chacón</w:t>
      </w:r>
      <w:r w:rsidRPr="00643CC2">
        <w:rPr>
          <w:noProof/>
        </w:rPr>
        <w:t xml:space="preserve"> </w:t>
      </w:r>
    </w:p>
    <w:p w14:paraId="722BA8A5" w14:textId="4D4FE5E1" w:rsidR="00DC6544" w:rsidRDefault="00643CC2" w:rsidP="00643CC2">
      <w:pPr>
        <w:rPr>
          <w:rFonts w:ascii="Arial" w:hAnsi="Arial" w:cs="Arial"/>
        </w:rPr>
      </w:pPr>
      <w:r w:rsidRPr="00643CC2">
        <w:rPr>
          <w:rFonts w:ascii="Arial" w:hAnsi="Arial" w:cs="Arial"/>
        </w:rPr>
        <w:t>Director Ejecutivo</w:t>
      </w:r>
      <w:bookmarkEnd w:id="0"/>
      <w:r w:rsidRPr="00643CC2">
        <w:rPr>
          <w:rFonts w:ascii="Arial" w:hAnsi="Arial" w:cs="Arial"/>
        </w:rPr>
        <w:t xml:space="preserve"> </w:t>
      </w:r>
    </w:p>
    <w:p w14:paraId="0FF1C3B8" w14:textId="0D32C354" w:rsidR="00DC6544" w:rsidRDefault="00436F61">
      <w:pPr>
        <w:rPr>
          <w:rFonts w:ascii="Arial" w:hAnsi="Arial" w:cs="Arial"/>
        </w:rPr>
      </w:pPr>
      <w:r>
        <w:rPr>
          <w:noProof/>
        </w:rPr>
        <w:drawing>
          <wp:anchor distT="0" distB="0" distL="114300" distR="114300" simplePos="0" relativeHeight="251671040" behindDoc="1" locked="0" layoutInCell="1" allowOverlap="1" wp14:anchorId="7A47520D" wp14:editId="412E0AF7">
            <wp:simplePos x="0" y="0"/>
            <wp:positionH relativeFrom="column">
              <wp:posOffset>-810895</wp:posOffset>
            </wp:positionH>
            <wp:positionV relativeFrom="paragraph">
              <wp:posOffset>168275</wp:posOffset>
            </wp:positionV>
            <wp:extent cx="3333139" cy="1354867"/>
            <wp:effectExtent l="0" t="0" r="635" b="0"/>
            <wp:wrapNone/>
            <wp:docPr id="7" name="Imagen 7" descr="programa de psa pasaría de cubrir 40.000 hectáreas anuales a 182.000  hectá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grama de psa pasaría de cubrir 40.000 hectáreas anuales a 182.000  hectáreas"/>
                    <pic:cNvPicPr>
                      <a:picLocks noChangeAspect="1" noChangeArrowheads="1"/>
                    </pic:cNvPicPr>
                  </pic:nvPicPr>
                  <pic:blipFill rotWithShape="1">
                    <a:blip r:embed="rId10">
                      <a:lum bright="70000" contrast="-70000"/>
                      <a:extLst>
                        <a:ext uri="{28A0092B-C50C-407E-A947-70E740481C1C}">
                          <a14:useLocalDpi xmlns:a14="http://schemas.microsoft.com/office/drawing/2010/main" val="0"/>
                        </a:ext>
                      </a:extLst>
                    </a:blip>
                    <a:srcRect l="37354" r="-567" b="29720"/>
                    <a:stretch/>
                  </pic:blipFill>
                  <pic:spPr bwMode="auto">
                    <a:xfrm>
                      <a:off x="0" y="0"/>
                      <a:ext cx="3333139" cy="1354867"/>
                    </a:xfrm>
                    <a:prstGeom prst="rtTriangl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6544">
        <w:rPr>
          <w:rFonts w:ascii="Arial" w:hAnsi="Arial" w:cs="Arial"/>
        </w:rPr>
        <w:br w:type="page"/>
      </w:r>
    </w:p>
    <w:p w14:paraId="0017082D" w14:textId="43A2BE59" w:rsidR="00F52B43" w:rsidRPr="009C4749" w:rsidRDefault="00F52B43" w:rsidP="00487040">
      <w:pPr>
        <w:jc w:val="center"/>
        <w:rPr>
          <w:rFonts w:ascii="Arial" w:hAnsi="Arial" w:cs="Arial"/>
          <w:b/>
          <w:sz w:val="28"/>
        </w:rPr>
      </w:pPr>
      <w:r w:rsidRPr="009C4749">
        <w:rPr>
          <w:rFonts w:ascii="Arial" w:hAnsi="Arial" w:cs="Arial"/>
          <w:b/>
          <w:sz w:val="28"/>
        </w:rPr>
        <w:lastRenderedPageBreak/>
        <w:t>Tabla de contenido</w:t>
      </w:r>
    </w:p>
    <w:sdt>
      <w:sdtPr>
        <w:rPr>
          <w:rFonts w:asciiTheme="minorHAnsi" w:eastAsiaTheme="minorEastAsia" w:hAnsiTheme="minorHAnsi" w:cstheme="minorBidi"/>
          <w:b w:val="0"/>
          <w:bCs w:val="0"/>
          <w:color w:val="auto"/>
          <w:sz w:val="22"/>
          <w:szCs w:val="22"/>
          <w:lang w:val="es-ES" w:eastAsia="es-CR"/>
        </w:rPr>
        <w:id w:val="-645659548"/>
        <w:docPartObj>
          <w:docPartGallery w:val="Table of Contents"/>
          <w:docPartUnique/>
        </w:docPartObj>
      </w:sdtPr>
      <w:sdtEndPr>
        <w:rPr>
          <w:rFonts w:ascii="Times New Roman" w:eastAsia="Times New Roman" w:hAnsi="Times New Roman" w:cs="Times New Roman"/>
          <w:sz w:val="24"/>
          <w:szCs w:val="24"/>
        </w:rPr>
      </w:sdtEndPr>
      <w:sdtContent>
        <w:p w14:paraId="4E59BBD8" w14:textId="615B9D1A" w:rsidR="00F52B43" w:rsidRPr="00487040" w:rsidRDefault="00F52B43" w:rsidP="00487040">
          <w:pPr>
            <w:pStyle w:val="TtuloTDC"/>
            <w:spacing w:line="480" w:lineRule="auto"/>
            <w:rPr>
              <w:rFonts w:cs="Arial"/>
            </w:rPr>
          </w:pPr>
        </w:p>
        <w:p w14:paraId="0B41145F" w14:textId="0CDBBEDA" w:rsidR="00487040" w:rsidRPr="00487040" w:rsidRDefault="00F52B43" w:rsidP="00487040">
          <w:pPr>
            <w:pStyle w:val="TDC2"/>
            <w:tabs>
              <w:tab w:val="right" w:leader="dot" w:pos="13173"/>
            </w:tabs>
            <w:spacing w:line="480" w:lineRule="auto"/>
            <w:rPr>
              <w:rFonts w:ascii="Arial" w:hAnsi="Arial" w:cs="Arial"/>
              <w:noProof/>
              <w:lang w:eastAsia="es-CR"/>
            </w:rPr>
          </w:pPr>
          <w:r w:rsidRPr="00487040">
            <w:rPr>
              <w:rFonts w:ascii="Arial" w:hAnsi="Arial" w:cs="Arial"/>
              <w:sz w:val="24"/>
              <w:szCs w:val="24"/>
            </w:rPr>
            <w:fldChar w:fldCharType="begin"/>
          </w:r>
          <w:r w:rsidRPr="00487040">
            <w:rPr>
              <w:rFonts w:ascii="Arial" w:hAnsi="Arial" w:cs="Arial"/>
              <w:sz w:val="24"/>
              <w:szCs w:val="24"/>
            </w:rPr>
            <w:instrText xml:space="preserve"> TOC \o "1-3" \h \z \u </w:instrText>
          </w:r>
          <w:r w:rsidRPr="00487040">
            <w:rPr>
              <w:rFonts w:ascii="Arial" w:hAnsi="Arial" w:cs="Arial"/>
              <w:sz w:val="24"/>
              <w:szCs w:val="24"/>
            </w:rPr>
            <w:fldChar w:fldCharType="separate"/>
          </w:r>
          <w:hyperlink w:anchor="_Toc210994795" w:history="1">
            <w:r w:rsidR="00487040" w:rsidRPr="00487040">
              <w:rPr>
                <w:rStyle w:val="Hipervnculo"/>
                <w:rFonts w:ascii="Arial" w:hAnsi="Arial" w:cs="Arial"/>
                <w:noProof/>
              </w:rPr>
              <w:t>Introducción</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_Toc210994795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4</w:t>
            </w:r>
            <w:r w:rsidR="00487040" w:rsidRPr="00487040">
              <w:rPr>
                <w:rFonts w:ascii="Arial" w:hAnsi="Arial" w:cs="Arial"/>
                <w:noProof/>
                <w:webHidden/>
              </w:rPr>
              <w:fldChar w:fldCharType="end"/>
            </w:r>
          </w:hyperlink>
        </w:p>
        <w:p w14:paraId="5AB72D2B" w14:textId="5A548D1C" w:rsidR="00487040" w:rsidRPr="00487040" w:rsidRDefault="00004005" w:rsidP="00487040">
          <w:pPr>
            <w:pStyle w:val="TDC2"/>
            <w:tabs>
              <w:tab w:val="right" w:leader="dot" w:pos="13173"/>
            </w:tabs>
            <w:spacing w:line="480" w:lineRule="auto"/>
            <w:rPr>
              <w:rFonts w:ascii="Arial" w:hAnsi="Arial" w:cs="Arial"/>
              <w:noProof/>
              <w:lang w:eastAsia="es-CR"/>
            </w:rPr>
          </w:pPr>
          <w:hyperlink w:anchor="_Toc210994796" w:history="1">
            <w:r w:rsidR="00487040" w:rsidRPr="00487040">
              <w:rPr>
                <w:rStyle w:val="Hipervnculo"/>
                <w:rFonts w:ascii="Arial" w:hAnsi="Arial" w:cs="Arial"/>
                <w:noProof/>
              </w:rPr>
              <w:t>Justificación</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_Toc210994796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4</w:t>
            </w:r>
            <w:r w:rsidR="00487040" w:rsidRPr="00487040">
              <w:rPr>
                <w:rFonts w:ascii="Arial" w:hAnsi="Arial" w:cs="Arial"/>
                <w:noProof/>
                <w:webHidden/>
              </w:rPr>
              <w:fldChar w:fldCharType="end"/>
            </w:r>
          </w:hyperlink>
        </w:p>
        <w:p w14:paraId="404CAE5A" w14:textId="02B07F35"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797" w:history="1">
            <w:r w:rsidR="00487040" w:rsidRPr="00487040">
              <w:rPr>
                <w:rStyle w:val="Hipervnculo"/>
                <w:rFonts w:ascii="Arial" w:hAnsi="Arial" w:cs="Arial"/>
                <w:noProof/>
              </w:rPr>
              <w:t>I. Metodología</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_Toc210994797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5</w:t>
            </w:r>
            <w:r w:rsidR="00487040" w:rsidRPr="00487040">
              <w:rPr>
                <w:rFonts w:ascii="Arial" w:hAnsi="Arial" w:cs="Arial"/>
                <w:noProof/>
                <w:webHidden/>
              </w:rPr>
              <w:fldChar w:fldCharType="end"/>
            </w:r>
          </w:hyperlink>
        </w:p>
        <w:p w14:paraId="58C98378" w14:textId="2C5FEDBB" w:rsidR="00487040" w:rsidRPr="00487040" w:rsidRDefault="00004005" w:rsidP="00487040">
          <w:pPr>
            <w:pStyle w:val="TDC2"/>
            <w:tabs>
              <w:tab w:val="right" w:leader="dot" w:pos="13173"/>
            </w:tabs>
            <w:spacing w:line="480" w:lineRule="auto"/>
            <w:rPr>
              <w:rFonts w:ascii="Arial" w:hAnsi="Arial" w:cs="Arial"/>
              <w:noProof/>
              <w:lang w:eastAsia="es-CR"/>
            </w:rPr>
          </w:pPr>
          <w:hyperlink w:anchor="_Toc210994798" w:history="1">
            <w:r w:rsidR="00487040" w:rsidRPr="00487040">
              <w:rPr>
                <w:rStyle w:val="Hipervnculo"/>
                <w:rFonts w:ascii="Arial" w:hAnsi="Arial" w:cs="Arial"/>
                <w:noProof/>
              </w:rPr>
              <w:t>Descripción de los niveles de riesgos</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_Toc210994798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6</w:t>
            </w:r>
            <w:r w:rsidR="00487040" w:rsidRPr="00487040">
              <w:rPr>
                <w:rFonts w:ascii="Arial" w:hAnsi="Arial" w:cs="Arial"/>
                <w:noProof/>
                <w:webHidden/>
              </w:rPr>
              <w:fldChar w:fldCharType="end"/>
            </w:r>
          </w:hyperlink>
        </w:p>
        <w:p w14:paraId="45C56517" w14:textId="0567C11E" w:rsidR="00487040" w:rsidRPr="00487040" w:rsidRDefault="00004005" w:rsidP="00487040">
          <w:pPr>
            <w:pStyle w:val="TDC2"/>
            <w:tabs>
              <w:tab w:val="right" w:leader="dot" w:pos="13173"/>
            </w:tabs>
            <w:spacing w:line="480" w:lineRule="auto"/>
            <w:rPr>
              <w:rFonts w:ascii="Arial" w:hAnsi="Arial" w:cs="Arial"/>
              <w:noProof/>
              <w:lang w:eastAsia="es-CR"/>
            </w:rPr>
          </w:pPr>
          <w:hyperlink w:anchor="_Toc210994799" w:history="1">
            <w:r w:rsidR="00487040" w:rsidRPr="00487040">
              <w:rPr>
                <w:rStyle w:val="Hipervnculo"/>
                <w:rFonts w:ascii="Arial" w:hAnsi="Arial" w:cs="Arial"/>
                <w:noProof/>
              </w:rPr>
              <w:t>Parámetros de aceptabilidad</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_Toc210994799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6</w:t>
            </w:r>
            <w:r w:rsidR="00487040" w:rsidRPr="00487040">
              <w:rPr>
                <w:rFonts w:ascii="Arial" w:hAnsi="Arial" w:cs="Arial"/>
                <w:noProof/>
                <w:webHidden/>
              </w:rPr>
              <w:fldChar w:fldCharType="end"/>
            </w:r>
          </w:hyperlink>
        </w:p>
        <w:p w14:paraId="40C3FCAC" w14:textId="5224C54A"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0" w:history="1">
            <w:r w:rsidR="00487040" w:rsidRPr="00487040">
              <w:rPr>
                <w:rStyle w:val="Hipervnculo"/>
                <w:rFonts w:ascii="Arial" w:hAnsi="Arial" w:cs="Arial"/>
                <w:noProof/>
              </w:rPr>
              <w:t>II. Resultados</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_Toc210994800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7</w:t>
            </w:r>
            <w:r w:rsidR="00487040" w:rsidRPr="00487040">
              <w:rPr>
                <w:rFonts w:ascii="Arial" w:hAnsi="Arial" w:cs="Arial"/>
                <w:noProof/>
                <w:webHidden/>
              </w:rPr>
              <w:fldChar w:fldCharType="end"/>
            </w:r>
          </w:hyperlink>
        </w:p>
        <w:p w14:paraId="39C119BE" w14:textId="23C9B9D7"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1" w:history="1">
            <w:r w:rsidR="00487040" w:rsidRPr="00487040">
              <w:rPr>
                <w:rStyle w:val="Hipervnculo"/>
                <w:rFonts w:ascii="Arial" w:hAnsi="Arial" w:cs="Arial"/>
                <w:noProof/>
              </w:rPr>
              <w:t>III. Nivel de Riesgo Institucional</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_Toc210994801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18</w:t>
            </w:r>
            <w:r w:rsidR="00487040" w:rsidRPr="00487040">
              <w:rPr>
                <w:rFonts w:ascii="Arial" w:hAnsi="Arial" w:cs="Arial"/>
                <w:noProof/>
                <w:webHidden/>
              </w:rPr>
              <w:fldChar w:fldCharType="end"/>
            </w:r>
          </w:hyperlink>
        </w:p>
        <w:p w14:paraId="40055DE6" w14:textId="3797D466"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2" w:history="1">
            <w:r w:rsidR="00487040" w:rsidRPr="00487040">
              <w:rPr>
                <w:rStyle w:val="Hipervnculo"/>
                <w:rFonts w:ascii="Arial" w:hAnsi="Arial" w:cs="Arial"/>
                <w:noProof/>
              </w:rPr>
              <w:t>IV. Administración del Riesgo</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_Toc210994802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20</w:t>
            </w:r>
            <w:r w:rsidR="00487040" w:rsidRPr="00487040">
              <w:rPr>
                <w:rFonts w:ascii="Arial" w:hAnsi="Arial" w:cs="Arial"/>
                <w:noProof/>
                <w:webHidden/>
              </w:rPr>
              <w:fldChar w:fldCharType="end"/>
            </w:r>
          </w:hyperlink>
        </w:p>
        <w:p w14:paraId="28F00C29" w14:textId="0AE7F3F8"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3" w:history="1">
            <w:r w:rsidR="00487040" w:rsidRPr="00487040">
              <w:rPr>
                <w:rStyle w:val="Hipervnculo"/>
                <w:rFonts w:ascii="Arial" w:hAnsi="Arial" w:cs="Arial"/>
                <w:noProof/>
              </w:rPr>
              <w:t>V. Medidas de mitigación de riesgos</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_Toc210994803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21</w:t>
            </w:r>
            <w:r w:rsidR="00487040" w:rsidRPr="00487040">
              <w:rPr>
                <w:rFonts w:ascii="Arial" w:hAnsi="Arial" w:cs="Arial"/>
                <w:noProof/>
                <w:webHidden/>
              </w:rPr>
              <w:fldChar w:fldCharType="end"/>
            </w:r>
          </w:hyperlink>
        </w:p>
        <w:p w14:paraId="1C0F3EF0" w14:textId="01D46136"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4" w:history="1">
            <w:r w:rsidR="00487040" w:rsidRPr="00487040">
              <w:rPr>
                <w:rStyle w:val="Hipervnculo"/>
                <w:rFonts w:ascii="Arial" w:hAnsi="Arial" w:cs="Arial"/>
                <w:noProof/>
              </w:rPr>
              <w:t>VI. Monitoreo y seguimiento</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_Toc210994804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22</w:t>
            </w:r>
            <w:r w:rsidR="00487040" w:rsidRPr="00487040">
              <w:rPr>
                <w:rFonts w:ascii="Arial" w:hAnsi="Arial" w:cs="Arial"/>
                <w:noProof/>
                <w:webHidden/>
              </w:rPr>
              <w:fldChar w:fldCharType="end"/>
            </w:r>
          </w:hyperlink>
        </w:p>
        <w:p w14:paraId="0FEE3FF4" w14:textId="212BDD42"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5" w:history="1">
            <w:r w:rsidR="00487040" w:rsidRPr="00487040">
              <w:rPr>
                <w:rStyle w:val="Hipervnculo"/>
                <w:rFonts w:ascii="Arial" w:hAnsi="Arial" w:cs="Arial"/>
                <w:noProof/>
              </w:rPr>
              <w:t>VII. Conclusiones</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_Toc210994805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23</w:t>
            </w:r>
            <w:r w:rsidR="00487040" w:rsidRPr="00487040">
              <w:rPr>
                <w:rFonts w:ascii="Arial" w:hAnsi="Arial" w:cs="Arial"/>
                <w:noProof/>
                <w:webHidden/>
              </w:rPr>
              <w:fldChar w:fldCharType="end"/>
            </w:r>
          </w:hyperlink>
        </w:p>
        <w:p w14:paraId="4218210C" w14:textId="20DA4B56" w:rsidR="00487040" w:rsidRPr="00487040" w:rsidRDefault="00004005" w:rsidP="00487040">
          <w:pPr>
            <w:pStyle w:val="TDC1"/>
            <w:tabs>
              <w:tab w:val="right" w:leader="dot" w:pos="13173"/>
            </w:tabs>
            <w:spacing w:line="480" w:lineRule="auto"/>
            <w:rPr>
              <w:rFonts w:ascii="Arial" w:hAnsi="Arial" w:cs="Arial"/>
              <w:noProof/>
              <w:lang w:eastAsia="es-CR"/>
            </w:rPr>
          </w:pPr>
          <w:hyperlink w:anchor="_Toc210994806" w:history="1">
            <w:r w:rsidR="00487040" w:rsidRPr="00487040">
              <w:rPr>
                <w:rStyle w:val="Hipervnculo"/>
                <w:rFonts w:ascii="Arial" w:hAnsi="Arial" w:cs="Arial"/>
                <w:noProof/>
              </w:rPr>
              <w:t>Anexos</w:t>
            </w:r>
            <w:r w:rsidR="00487040" w:rsidRPr="00487040">
              <w:rPr>
                <w:rFonts w:ascii="Arial" w:hAnsi="Arial" w:cs="Arial"/>
                <w:noProof/>
                <w:webHidden/>
              </w:rPr>
              <w:tab/>
            </w:r>
            <w:r w:rsidR="00487040" w:rsidRPr="00487040">
              <w:rPr>
                <w:rFonts w:ascii="Arial" w:hAnsi="Arial" w:cs="Arial"/>
                <w:noProof/>
                <w:webHidden/>
              </w:rPr>
              <w:fldChar w:fldCharType="begin"/>
            </w:r>
            <w:r w:rsidR="00487040" w:rsidRPr="00487040">
              <w:rPr>
                <w:rFonts w:ascii="Arial" w:hAnsi="Arial" w:cs="Arial"/>
                <w:noProof/>
                <w:webHidden/>
              </w:rPr>
              <w:instrText xml:space="preserve"> PAGEREF _Toc210994806 \h </w:instrText>
            </w:r>
            <w:r w:rsidR="00487040" w:rsidRPr="00487040">
              <w:rPr>
                <w:rFonts w:ascii="Arial" w:hAnsi="Arial" w:cs="Arial"/>
                <w:noProof/>
                <w:webHidden/>
              </w:rPr>
            </w:r>
            <w:r w:rsidR="00487040" w:rsidRPr="00487040">
              <w:rPr>
                <w:rFonts w:ascii="Arial" w:hAnsi="Arial" w:cs="Arial"/>
                <w:noProof/>
                <w:webHidden/>
              </w:rPr>
              <w:fldChar w:fldCharType="separate"/>
            </w:r>
            <w:r w:rsidR="001B1544">
              <w:rPr>
                <w:rFonts w:ascii="Arial" w:hAnsi="Arial" w:cs="Arial"/>
                <w:noProof/>
                <w:webHidden/>
              </w:rPr>
              <w:t>24</w:t>
            </w:r>
            <w:r w:rsidR="00487040" w:rsidRPr="00487040">
              <w:rPr>
                <w:rFonts w:ascii="Arial" w:hAnsi="Arial" w:cs="Arial"/>
                <w:noProof/>
                <w:webHidden/>
              </w:rPr>
              <w:fldChar w:fldCharType="end"/>
            </w:r>
          </w:hyperlink>
        </w:p>
        <w:p w14:paraId="63882236" w14:textId="77B99F2D" w:rsidR="00F52B43" w:rsidRDefault="00F52B43" w:rsidP="00487040">
          <w:pPr>
            <w:spacing w:line="480" w:lineRule="auto"/>
          </w:pPr>
          <w:r w:rsidRPr="00487040">
            <w:rPr>
              <w:rFonts w:ascii="Arial" w:hAnsi="Arial" w:cs="Arial"/>
              <w:b/>
              <w:bCs/>
              <w:lang w:val="es-ES"/>
            </w:rPr>
            <w:fldChar w:fldCharType="end"/>
          </w:r>
        </w:p>
      </w:sdtContent>
    </w:sdt>
    <w:p w14:paraId="237F40CB" w14:textId="55718C0F" w:rsidR="00F52B43" w:rsidRDefault="00F52B43">
      <w:pPr>
        <w:rPr>
          <w:rFonts w:ascii="Arial" w:hAnsi="Arial" w:cs="Arial"/>
        </w:rPr>
      </w:pPr>
      <w:r>
        <w:rPr>
          <w:rFonts w:ascii="Arial" w:hAnsi="Arial" w:cs="Arial"/>
        </w:rPr>
        <w:br w:type="page"/>
      </w:r>
    </w:p>
    <w:p w14:paraId="48EE3466" w14:textId="2B580B6F" w:rsidR="00DC6544" w:rsidRPr="00E45AE0" w:rsidRDefault="00483460" w:rsidP="005866CD">
      <w:pPr>
        <w:pStyle w:val="Ttulo2"/>
        <w:rPr>
          <w:sz w:val="32"/>
        </w:rPr>
      </w:pPr>
      <w:bookmarkStart w:id="1" w:name="_Toc210994795"/>
      <w:r>
        <w:rPr>
          <w:rFonts w:cs="Arial"/>
          <w:noProof/>
          <w:szCs w:val="24"/>
          <w:lang w:eastAsia="es-CR"/>
        </w:rPr>
        <w:lastRenderedPageBreak/>
        <w:drawing>
          <wp:anchor distT="0" distB="0" distL="114300" distR="114300" simplePos="0" relativeHeight="251650559" behindDoc="1" locked="0" layoutInCell="1" allowOverlap="1" wp14:anchorId="582D379E" wp14:editId="460554E3">
            <wp:simplePos x="0" y="0"/>
            <wp:positionH relativeFrom="column">
              <wp:posOffset>2689211</wp:posOffset>
            </wp:positionH>
            <wp:positionV relativeFrom="paragraph">
              <wp:posOffset>-581457</wp:posOffset>
            </wp:positionV>
            <wp:extent cx="10375900" cy="9027065"/>
            <wp:effectExtent l="38100" t="133350" r="139700" b="13652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rato CA-01-22-0080-23 Guindon  (1).jpg"/>
                    <pic:cNvPicPr/>
                  </pic:nvPicPr>
                  <pic:blipFill rotWithShape="1">
                    <a:blip r:embed="rId11">
                      <a:clrChange>
                        <a:clrFrom>
                          <a:srgbClr val="83A63A"/>
                        </a:clrFrom>
                        <a:clrTo>
                          <a:srgbClr val="83A63A">
                            <a:alpha val="0"/>
                          </a:srgbClr>
                        </a:clrTo>
                      </a:clrChange>
                      <a:extLst>
                        <a:ext uri="{BEBA8EAE-BF5A-486C-A8C5-ECC9F3942E4B}">
                          <a14:imgProps xmlns:a14="http://schemas.microsoft.com/office/drawing/2010/main">
                            <a14:imgLayer r:embed="rId12">
                              <a14:imgEffect>
                                <a14:sharpenSoften amount="50000"/>
                              </a14:imgEffect>
                              <a14:imgEffect>
                                <a14:colorTemperature colorTemp="4700"/>
                              </a14:imgEffect>
                              <a14:imgEffect>
                                <a14:brightnessContrast bright="39000"/>
                              </a14:imgEffect>
                            </a14:imgLayer>
                          </a14:imgProps>
                        </a:ext>
                        <a:ext uri="{28A0092B-C50C-407E-A947-70E740481C1C}">
                          <a14:useLocalDpi xmlns:a14="http://schemas.microsoft.com/office/drawing/2010/main" val="0"/>
                        </a:ext>
                      </a:extLst>
                    </a:blip>
                    <a:srcRect l="-14719" t="-2250" r="14719" b="2250"/>
                    <a:stretch/>
                  </pic:blipFill>
                  <pic:spPr>
                    <a:xfrm rot="10800000">
                      <a:off x="0" y="0"/>
                      <a:ext cx="10375900" cy="9027065"/>
                    </a:xfrm>
                    <a:prstGeom prst="flowChartOnlineStorage">
                      <a:avLst/>
                    </a:prstGeom>
                    <a:solidFill>
                      <a:schemeClr val="bg1"/>
                    </a:solidFill>
                    <a:effectLst>
                      <a:glow rad="127000">
                        <a:schemeClr val="accent1">
                          <a:alpha val="26000"/>
                        </a:schemeClr>
                      </a:glow>
                    </a:effectLst>
                  </pic:spPr>
                </pic:pic>
              </a:graphicData>
            </a:graphic>
            <wp14:sizeRelH relativeFrom="margin">
              <wp14:pctWidth>0</wp14:pctWidth>
            </wp14:sizeRelH>
            <wp14:sizeRelV relativeFrom="margin">
              <wp14:pctHeight>0</wp14:pctHeight>
            </wp14:sizeRelV>
          </wp:anchor>
        </w:drawing>
      </w:r>
      <w:r w:rsidR="00DC6544" w:rsidRPr="00E45AE0">
        <w:rPr>
          <w:rStyle w:val="Textoennegrita"/>
          <w:rFonts w:cs="Arial"/>
          <w:b/>
          <w:bCs/>
          <w:szCs w:val="24"/>
        </w:rPr>
        <w:t>Introducción</w:t>
      </w:r>
      <w:bookmarkEnd w:id="1"/>
    </w:p>
    <w:p w14:paraId="755CFCA0" w14:textId="3D9A973A" w:rsidR="00DC6544" w:rsidRDefault="00DC6544" w:rsidP="00DC6544">
      <w:pPr>
        <w:pStyle w:val="NormalWeb"/>
        <w:spacing w:line="360" w:lineRule="auto"/>
        <w:jc w:val="both"/>
        <w:rPr>
          <w:rFonts w:ascii="Arial" w:hAnsi="Arial" w:cs="Arial"/>
        </w:rPr>
      </w:pPr>
      <w:r w:rsidRPr="2031C88B">
        <w:rPr>
          <w:rFonts w:ascii="Arial" w:hAnsi="Arial" w:cs="Arial"/>
        </w:rPr>
        <w:t>El presente informe documenta los resultados del proceso de valoración de riesgos institucionales realizado mediante el Sistema Específico de Valoración del Riesgo Institucional (SEVRI), en cumplimiento con lo establecido por la Contraloría General de la República y la normativa de control interno aplicable al sector público costarricense. Esta herramienta constituye un componente esencial del Sistema de Control Interno y tiene como propósito i</w:t>
      </w:r>
      <w:r w:rsidRPr="00487040">
        <w:rPr>
          <w:rFonts w:ascii="Arial" w:hAnsi="Arial" w:cs="Arial"/>
        </w:rPr>
        <w:t xml:space="preserve">dentificar, analizar y valorar los riesgos que pueden afectar </w:t>
      </w:r>
      <w:r w:rsidR="00FB562C" w:rsidRPr="00487040">
        <w:rPr>
          <w:rFonts w:ascii="Arial" w:hAnsi="Arial" w:cs="Arial"/>
        </w:rPr>
        <w:t>la misión, visión y</w:t>
      </w:r>
      <w:r w:rsidRPr="00487040">
        <w:rPr>
          <w:rFonts w:ascii="Arial" w:hAnsi="Arial" w:cs="Arial"/>
        </w:rPr>
        <w:t xml:space="preserve"> objetivos estratégicos del Fondo</w:t>
      </w:r>
      <w:r w:rsidRPr="2031C88B">
        <w:rPr>
          <w:rFonts w:ascii="Arial" w:hAnsi="Arial" w:cs="Arial"/>
        </w:rPr>
        <w:t xml:space="preserve"> Nacional de Financiamiento Forestal (Fonafifo), con el fin último de </w:t>
      </w:r>
      <w:r w:rsidR="00FB562C" w:rsidRPr="2031C88B">
        <w:rPr>
          <w:rFonts w:ascii="Arial" w:hAnsi="Arial" w:cs="Arial"/>
        </w:rPr>
        <w:t>determinar el nivel de riesgo institucional y facilitar la toma de decisiones, garantizando así una gestión adecuada y oportuna de los riesgos.</w:t>
      </w:r>
    </w:p>
    <w:p w14:paraId="0B548296" w14:textId="5413A4BD" w:rsidR="00DC6544" w:rsidRPr="00DC6544" w:rsidRDefault="00DC6544" w:rsidP="005866CD">
      <w:pPr>
        <w:pStyle w:val="Ttulo2"/>
        <w:rPr>
          <w:sz w:val="24"/>
          <w:szCs w:val="24"/>
        </w:rPr>
      </w:pPr>
      <w:bookmarkStart w:id="2" w:name="_Toc210994796"/>
      <w:r w:rsidRPr="00DC6544">
        <w:t>Justificación</w:t>
      </w:r>
      <w:bookmarkEnd w:id="2"/>
    </w:p>
    <w:p w14:paraId="44225CBB" w14:textId="0C702D3E" w:rsidR="00E45AE0" w:rsidRDefault="00DC6544" w:rsidP="00DC6544">
      <w:pPr>
        <w:pStyle w:val="NormalWeb"/>
        <w:spacing w:line="360" w:lineRule="auto"/>
        <w:jc w:val="both"/>
        <w:rPr>
          <w:rFonts w:ascii="Arial" w:hAnsi="Arial" w:cs="Arial"/>
        </w:rPr>
      </w:pPr>
      <w:r w:rsidRPr="00DC6544">
        <w:rPr>
          <w:rFonts w:ascii="Arial" w:hAnsi="Arial" w:cs="Arial"/>
        </w:rPr>
        <w:t>La aplicación del SEVRI permite contar con una visión estructurada y preventiva sobre las amenazas y debilidades que enfrenta la institución, promoviendo la toma de decisiones informadas y oportunas. Asimismo, facilita la planificación de acciones orientadas a mitigar los riesgos identificados, fortalecer los procesos institucionales y fomentar una cultura organizacional orientada a la gestión proactiva del riesgo.</w:t>
      </w:r>
    </w:p>
    <w:p w14:paraId="754C3A29" w14:textId="46FF1724" w:rsidR="00E45AE0" w:rsidRDefault="00E45AE0">
      <w:pPr>
        <w:rPr>
          <w:rFonts w:ascii="Arial" w:hAnsi="Arial" w:cs="Arial"/>
        </w:rPr>
      </w:pPr>
      <w:r>
        <w:rPr>
          <w:rFonts w:ascii="Arial" w:hAnsi="Arial" w:cs="Arial"/>
        </w:rPr>
        <w:br w:type="page"/>
      </w:r>
    </w:p>
    <w:p w14:paraId="08603AFF" w14:textId="616AD318" w:rsidR="002B7DA9" w:rsidRPr="005866CD" w:rsidRDefault="00DD785B" w:rsidP="00DD785B">
      <w:pPr>
        <w:pStyle w:val="Ttulo1"/>
      </w:pPr>
      <w:bookmarkStart w:id="3" w:name="_Toc210994797"/>
      <w:r>
        <w:rPr>
          <w:rStyle w:val="Textoennegrita"/>
          <w:b/>
          <w:bCs/>
        </w:rPr>
        <w:lastRenderedPageBreak/>
        <w:t xml:space="preserve">I. </w:t>
      </w:r>
      <w:r w:rsidR="002B7DA9" w:rsidRPr="005866CD">
        <w:rPr>
          <w:rStyle w:val="Textoennegrita"/>
          <w:b/>
          <w:bCs/>
        </w:rPr>
        <w:t>Metodología</w:t>
      </w:r>
      <w:bookmarkEnd w:id="3"/>
      <w:r w:rsidR="002B7DA9" w:rsidRPr="005866CD">
        <w:rPr>
          <w:rStyle w:val="Textoennegrita"/>
          <w:b/>
          <w:bCs/>
        </w:rPr>
        <w:t xml:space="preserve"> </w:t>
      </w:r>
    </w:p>
    <w:p w14:paraId="6EC4051A" w14:textId="4C81814D" w:rsidR="002B7DA9" w:rsidRPr="00E45AE0" w:rsidRDefault="002B7DA9" w:rsidP="00F67810">
      <w:pPr>
        <w:pStyle w:val="NormalWeb"/>
        <w:spacing w:line="360" w:lineRule="auto"/>
        <w:rPr>
          <w:rFonts w:ascii="Arial" w:hAnsi="Arial" w:cs="Arial"/>
        </w:rPr>
      </w:pPr>
      <w:r w:rsidRPr="00E45AE0">
        <w:rPr>
          <w:rFonts w:ascii="Arial" w:hAnsi="Arial" w:cs="Arial"/>
        </w:rPr>
        <w:t>La implementación del SEVRI en Fonafifo se desarrolló bajo principios de participación y confianza, involucrando activamente al personal. La metodología se estructuró en tres fases principales:</w:t>
      </w:r>
    </w:p>
    <w:p w14:paraId="7104A6AF" w14:textId="125883D3" w:rsidR="002B7DA9" w:rsidRDefault="002B7DA9" w:rsidP="00F67810">
      <w:pPr>
        <w:pStyle w:val="NormalWeb"/>
        <w:numPr>
          <w:ilvl w:val="0"/>
          <w:numId w:val="12"/>
        </w:numPr>
        <w:spacing w:line="360" w:lineRule="auto"/>
        <w:rPr>
          <w:rFonts w:ascii="Arial" w:hAnsi="Arial" w:cs="Arial"/>
        </w:rPr>
      </w:pPr>
      <w:r w:rsidRPr="00E45AE0">
        <w:rPr>
          <w:rStyle w:val="Textoennegrita"/>
          <w:rFonts w:ascii="Arial" w:hAnsi="Arial" w:cs="Arial"/>
        </w:rPr>
        <w:t>Capacitación inicial:</w:t>
      </w:r>
      <w:r w:rsidRPr="00E45AE0">
        <w:rPr>
          <w:rFonts w:ascii="Arial" w:hAnsi="Arial" w:cs="Arial"/>
        </w:rPr>
        <w:br/>
        <w:t>Se realizaron espacios formativos para unificar conocimientos sobre el Sistema de Control Interno y sensibilizar sobre la importancia del SEVRI.</w:t>
      </w:r>
    </w:p>
    <w:p w14:paraId="5A7B8BAC" w14:textId="50C7F720" w:rsidR="002B7DA9" w:rsidRPr="00E45AE0" w:rsidRDefault="002B7DA9" w:rsidP="00F67810">
      <w:pPr>
        <w:pStyle w:val="NormalWeb"/>
        <w:numPr>
          <w:ilvl w:val="0"/>
          <w:numId w:val="12"/>
        </w:numPr>
        <w:spacing w:line="360" w:lineRule="auto"/>
        <w:rPr>
          <w:rFonts w:ascii="Arial" w:hAnsi="Arial" w:cs="Arial"/>
        </w:rPr>
      </w:pPr>
      <w:r w:rsidRPr="00E45AE0">
        <w:rPr>
          <w:rStyle w:val="Textoennegrita"/>
          <w:rFonts w:ascii="Arial" w:hAnsi="Arial" w:cs="Arial"/>
        </w:rPr>
        <w:t>Identificación de riesgos:</w:t>
      </w:r>
    </w:p>
    <w:p w14:paraId="50AA2850" w14:textId="34984ACB" w:rsidR="002B7DA9" w:rsidRPr="00E45AE0" w:rsidRDefault="00FB562C" w:rsidP="00F67810">
      <w:pPr>
        <w:pStyle w:val="NormalWeb"/>
        <w:numPr>
          <w:ilvl w:val="1"/>
          <w:numId w:val="12"/>
        </w:numPr>
        <w:spacing w:line="360" w:lineRule="auto"/>
        <w:rPr>
          <w:rFonts w:ascii="Arial" w:hAnsi="Arial" w:cs="Arial"/>
        </w:rPr>
      </w:pPr>
      <w:r>
        <w:rPr>
          <w:rStyle w:val="Textoennegrita"/>
          <w:rFonts w:ascii="Arial" w:hAnsi="Arial" w:cs="Arial"/>
        </w:rPr>
        <w:t>Encuesta</w:t>
      </w:r>
      <w:r w:rsidR="002B7DA9" w:rsidRPr="00E45AE0">
        <w:rPr>
          <w:rStyle w:val="Textoennegrita"/>
          <w:rFonts w:ascii="Arial" w:hAnsi="Arial" w:cs="Arial"/>
        </w:rPr>
        <w:t xml:space="preserve"> </w:t>
      </w:r>
      <w:r w:rsidR="00251FF7">
        <w:rPr>
          <w:rStyle w:val="Textoennegrita"/>
          <w:rFonts w:ascii="Arial" w:hAnsi="Arial" w:cs="Arial"/>
        </w:rPr>
        <w:t>breve</w:t>
      </w:r>
      <w:r w:rsidR="002B7DA9" w:rsidRPr="00E45AE0">
        <w:rPr>
          <w:rStyle w:val="Textoennegrita"/>
          <w:rFonts w:ascii="Arial" w:hAnsi="Arial" w:cs="Arial"/>
        </w:rPr>
        <w:t>:</w:t>
      </w:r>
      <w:r w:rsidR="002B7DA9" w:rsidRPr="00E45AE0">
        <w:rPr>
          <w:rFonts w:ascii="Arial" w:hAnsi="Arial" w:cs="Arial"/>
        </w:rPr>
        <w:t xml:space="preserve"> Se enviaron previamente al personal para identificar posibles riesgos desde su experiencia directa.</w:t>
      </w:r>
    </w:p>
    <w:p w14:paraId="2AD9754F" w14:textId="01F221D3" w:rsidR="002B7DA9" w:rsidRDefault="002B7DA9" w:rsidP="00F67810">
      <w:pPr>
        <w:pStyle w:val="NormalWeb"/>
        <w:numPr>
          <w:ilvl w:val="1"/>
          <w:numId w:val="12"/>
        </w:numPr>
        <w:spacing w:line="360" w:lineRule="auto"/>
        <w:rPr>
          <w:rFonts w:ascii="Arial" w:hAnsi="Arial" w:cs="Arial"/>
        </w:rPr>
      </w:pPr>
      <w:r w:rsidRPr="00E45AE0">
        <w:rPr>
          <w:rStyle w:val="Textoennegrita"/>
          <w:rFonts w:ascii="Arial" w:hAnsi="Arial" w:cs="Arial"/>
        </w:rPr>
        <w:t>Talleres participativos:</w:t>
      </w:r>
      <w:r w:rsidRPr="00E45AE0">
        <w:rPr>
          <w:rFonts w:ascii="Arial" w:hAnsi="Arial" w:cs="Arial"/>
        </w:rPr>
        <w:t xml:space="preserve"> Se desarrollaron talleres y sesiones breves donde el personal institucional completó la identificación de riesgos y controles existentes.</w:t>
      </w:r>
    </w:p>
    <w:p w14:paraId="73760EEB" w14:textId="0F7E7782" w:rsidR="002B7DA9" w:rsidRPr="00E45AE0" w:rsidRDefault="002B7DA9" w:rsidP="00F67810">
      <w:pPr>
        <w:pStyle w:val="NormalWeb"/>
        <w:numPr>
          <w:ilvl w:val="0"/>
          <w:numId w:val="12"/>
        </w:numPr>
        <w:spacing w:line="360" w:lineRule="auto"/>
        <w:rPr>
          <w:rFonts w:ascii="Arial" w:hAnsi="Arial" w:cs="Arial"/>
        </w:rPr>
      </w:pPr>
      <w:r w:rsidRPr="00E45AE0">
        <w:rPr>
          <w:rStyle w:val="Textoennegrita"/>
          <w:rFonts w:ascii="Arial" w:hAnsi="Arial" w:cs="Arial"/>
        </w:rPr>
        <w:t>Análisis y evaluación de riesgos:</w:t>
      </w:r>
    </w:p>
    <w:p w14:paraId="1327488E" w14:textId="0FE3F2FB" w:rsidR="002B7DA9" w:rsidRPr="00E45AE0" w:rsidRDefault="002B7DA9" w:rsidP="00F67810">
      <w:pPr>
        <w:pStyle w:val="NormalWeb"/>
        <w:numPr>
          <w:ilvl w:val="1"/>
          <w:numId w:val="12"/>
        </w:numPr>
        <w:spacing w:line="360" w:lineRule="auto"/>
        <w:rPr>
          <w:rFonts w:ascii="Arial" w:hAnsi="Arial" w:cs="Arial"/>
        </w:rPr>
      </w:pPr>
      <w:r w:rsidRPr="00E45AE0">
        <w:rPr>
          <w:rFonts w:ascii="Arial" w:hAnsi="Arial" w:cs="Arial"/>
        </w:rPr>
        <w:t xml:space="preserve">En sesiones virtuales, directores, jefaturas intermedias y encargados analizaron los riesgos identificados, valorando su probabilidad e impacto. </w:t>
      </w:r>
    </w:p>
    <w:p w14:paraId="65173ABD" w14:textId="4A95B8A3" w:rsidR="002B7DA9" w:rsidRPr="00E45AE0" w:rsidRDefault="002B7DA9" w:rsidP="00F67810">
      <w:pPr>
        <w:pStyle w:val="NormalWeb"/>
        <w:numPr>
          <w:ilvl w:val="1"/>
          <w:numId w:val="12"/>
        </w:numPr>
        <w:spacing w:line="360" w:lineRule="auto"/>
        <w:rPr>
          <w:rFonts w:ascii="Arial" w:hAnsi="Arial" w:cs="Arial"/>
        </w:rPr>
      </w:pPr>
      <w:r w:rsidRPr="00E45AE0">
        <w:rPr>
          <w:rFonts w:ascii="Arial" w:hAnsi="Arial" w:cs="Arial"/>
        </w:rPr>
        <w:t>En una segunda sesión virtual, los directores validaron los riesgos priorizados y definieron acciones de respuesta.</w:t>
      </w:r>
    </w:p>
    <w:p w14:paraId="4735459E" w14:textId="67DB7807" w:rsidR="00E45AE0" w:rsidRDefault="002B7DA9" w:rsidP="00F67810">
      <w:pPr>
        <w:pStyle w:val="NormalWeb"/>
        <w:spacing w:line="360" w:lineRule="auto"/>
        <w:jc w:val="both"/>
        <w:rPr>
          <w:rFonts w:ascii="Arial" w:hAnsi="Arial" w:cs="Arial"/>
        </w:rPr>
      </w:pPr>
      <w:r w:rsidRPr="00E45AE0">
        <w:rPr>
          <w:rFonts w:ascii="Arial" w:hAnsi="Arial" w:cs="Arial"/>
        </w:rPr>
        <w:t>En las oficinas regionales se realizaron talleres y sesiones virtuales para la identificación y análisis de riesgos. Las etapas siguientes se desarrollaron en coordinación con el director de la Dirección de Servicios Ambientales.</w:t>
      </w:r>
    </w:p>
    <w:p w14:paraId="61BC99E2" w14:textId="3F3CDE29" w:rsidR="005866CD" w:rsidRDefault="005866CD" w:rsidP="00F67810">
      <w:pPr>
        <w:pStyle w:val="NormalWeb"/>
        <w:spacing w:line="360" w:lineRule="auto"/>
        <w:jc w:val="both"/>
        <w:rPr>
          <w:rFonts w:ascii="Arial" w:hAnsi="Arial" w:cs="Arial"/>
        </w:rPr>
      </w:pPr>
    </w:p>
    <w:p w14:paraId="1B686AFD" w14:textId="3F3B9C66" w:rsidR="002B7DA9" w:rsidRDefault="002B7DA9" w:rsidP="00465139">
      <w:pPr>
        <w:pStyle w:val="Ttulo2"/>
      </w:pPr>
      <w:bookmarkStart w:id="4" w:name="_Toc210994798"/>
      <w:r w:rsidRPr="002B7DA9">
        <w:lastRenderedPageBreak/>
        <w:t>Descripción de los niveles de riesgos</w:t>
      </w:r>
      <w:bookmarkEnd w:id="4"/>
    </w:p>
    <w:p w14:paraId="0FDD375E" w14:textId="64C44D48" w:rsidR="005866CD" w:rsidRPr="005866CD" w:rsidRDefault="005866CD" w:rsidP="005866CD">
      <w:pPr>
        <w:pStyle w:val="NormalWeb"/>
        <w:numPr>
          <w:ilvl w:val="0"/>
          <w:numId w:val="15"/>
        </w:numPr>
        <w:spacing w:line="360" w:lineRule="auto"/>
        <w:jc w:val="both"/>
        <w:rPr>
          <w:rFonts w:ascii="Arial" w:hAnsi="Arial" w:cs="Arial"/>
        </w:rPr>
      </w:pPr>
      <w:r w:rsidRPr="005866CD">
        <w:rPr>
          <w:rStyle w:val="Textoennegrita"/>
          <w:rFonts w:ascii="Arial" w:hAnsi="Arial" w:cs="Arial"/>
        </w:rPr>
        <w:t>Bajo:</w:t>
      </w:r>
      <w:r w:rsidR="00F67810" w:rsidRPr="005866CD">
        <w:rPr>
          <w:rFonts w:ascii="Arial" w:hAnsi="Arial" w:cs="Arial"/>
          <w:b/>
        </w:rPr>
        <w:t xml:space="preserve"> </w:t>
      </w:r>
      <w:r w:rsidR="00F67810" w:rsidRPr="005866CD">
        <w:rPr>
          <w:rFonts w:ascii="Arial" w:hAnsi="Arial" w:cs="Arial"/>
        </w:rPr>
        <w:t>Riesgo con</w:t>
      </w:r>
      <w:r w:rsidR="00F67810" w:rsidRPr="005866CD">
        <w:rPr>
          <w:rFonts w:ascii="Arial" w:hAnsi="Arial" w:cs="Arial"/>
          <w:b/>
        </w:rPr>
        <w:t xml:space="preserve"> </w:t>
      </w:r>
      <w:r w:rsidR="00F67810" w:rsidRPr="005866CD">
        <w:rPr>
          <w:rStyle w:val="Textoennegrita"/>
          <w:rFonts w:ascii="Arial" w:hAnsi="Arial" w:cs="Arial"/>
          <w:b w:val="0"/>
        </w:rPr>
        <w:t>baja probabilidad</w:t>
      </w:r>
      <w:r w:rsidR="00F67810" w:rsidRPr="005866CD">
        <w:rPr>
          <w:rFonts w:ascii="Arial" w:hAnsi="Arial" w:cs="Arial"/>
          <w:b/>
        </w:rPr>
        <w:t xml:space="preserve"> </w:t>
      </w:r>
      <w:r w:rsidR="00F67810" w:rsidRPr="005866CD">
        <w:rPr>
          <w:rFonts w:ascii="Arial" w:hAnsi="Arial" w:cs="Arial"/>
        </w:rPr>
        <w:t>y</w:t>
      </w:r>
      <w:r w:rsidR="00F67810" w:rsidRPr="005866CD">
        <w:rPr>
          <w:rFonts w:ascii="Arial" w:hAnsi="Arial" w:cs="Arial"/>
          <w:b/>
        </w:rPr>
        <w:t xml:space="preserve"> </w:t>
      </w:r>
      <w:r w:rsidR="00F67810" w:rsidRPr="005866CD">
        <w:rPr>
          <w:rStyle w:val="Textoennegrita"/>
          <w:rFonts w:ascii="Arial" w:hAnsi="Arial" w:cs="Arial"/>
          <w:b w:val="0"/>
        </w:rPr>
        <w:t>consecuencias insignificantes</w:t>
      </w:r>
      <w:r w:rsidR="00F67810" w:rsidRPr="005866CD">
        <w:rPr>
          <w:rFonts w:ascii="Arial" w:hAnsi="Arial" w:cs="Arial"/>
          <w:b/>
        </w:rPr>
        <w:t>.</w:t>
      </w:r>
    </w:p>
    <w:p w14:paraId="34A1C141" w14:textId="11809C77" w:rsidR="00F67810" w:rsidRPr="005866CD" w:rsidRDefault="00F67810" w:rsidP="005866CD">
      <w:pPr>
        <w:pStyle w:val="NormalWeb"/>
        <w:numPr>
          <w:ilvl w:val="0"/>
          <w:numId w:val="15"/>
        </w:numPr>
        <w:spacing w:line="360" w:lineRule="auto"/>
        <w:jc w:val="both"/>
        <w:rPr>
          <w:rFonts w:ascii="Arial" w:hAnsi="Arial" w:cs="Arial"/>
        </w:rPr>
      </w:pPr>
      <w:r w:rsidRPr="005866CD">
        <w:rPr>
          <w:rStyle w:val="Textoennegrita"/>
          <w:rFonts w:ascii="Arial" w:hAnsi="Arial" w:cs="Arial"/>
        </w:rPr>
        <w:t>Medio</w:t>
      </w:r>
      <w:r w:rsidRPr="005866CD">
        <w:rPr>
          <w:rFonts w:ascii="Arial" w:hAnsi="Arial" w:cs="Arial"/>
          <w:b/>
        </w:rPr>
        <w:t xml:space="preserve">: </w:t>
      </w:r>
      <w:r w:rsidRPr="005866CD">
        <w:rPr>
          <w:rFonts w:ascii="Arial" w:hAnsi="Arial" w:cs="Arial"/>
        </w:rPr>
        <w:t>Riesgo de</w:t>
      </w:r>
      <w:r w:rsidRPr="005866CD">
        <w:rPr>
          <w:rFonts w:ascii="Arial" w:hAnsi="Arial" w:cs="Arial"/>
          <w:b/>
        </w:rPr>
        <w:t xml:space="preserve"> </w:t>
      </w:r>
      <w:r w:rsidRPr="005866CD">
        <w:rPr>
          <w:rStyle w:val="Textoennegrita"/>
          <w:rFonts w:ascii="Arial" w:hAnsi="Arial" w:cs="Arial"/>
          <w:b w:val="0"/>
        </w:rPr>
        <w:t>baja probabilidad</w:t>
      </w:r>
      <w:r w:rsidRPr="005866CD">
        <w:rPr>
          <w:rFonts w:ascii="Arial" w:hAnsi="Arial" w:cs="Arial"/>
        </w:rPr>
        <w:t xml:space="preserve"> y</w:t>
      </w:r>
      <w:r w:rsidRPr="005866CD">
        <w:rPr>
          <w:rFonts w:ascii="Arial" w:hAnsi="Arial" w:cs="Arial"/>
          <w:b/>
        </w:rPr>
        <w:t xml:space="preserve"> </w:t>
      </w:r>
      <w:r w:rsidRPr="005866CD">
        <w:rPr>
          <w:rStyle w:val="Textoennegrita"/>
          <w:rFonts w:ascii="Arial" w:hAnsi="Arial" w:cs="Arial"/>
          <w:b w:val="0"/>
        </w:rPr>
        <w:t>mínimo impacto</w:t>
      </w:r>
      <w:r w:rsidRPr="005866CD">
        <w:rPr>
          <w:rFonts w:ascii="Arial" w:hAnsi="Arial" w:cs="Arial"/>
          <w:b/>
        </w:rPr>
        <w:t>.</w:t>
      </w:r>
    </w:p>
    <w:p w14:paraId="3C7FA59E" w14:textId="5C051D6C" w:rsidR="00F67810" w:rsidRPr="005866CD" w:rsidRDefault="00F67810" w:rsidP="005866CD">
      <w:pPr>
        <w:pStyle w:val="NormalWeb"/>
        <w:numPr>
          <w:ilvl w:val="0"/>
          <w:numId w:val="15"/>
        </w:numPr>
        <w:spacing w:line="360" w:lineRule="auto"/>
        <w:jc w:val="both"/>
        <w:rPr>
          <w:rFonts w:ascii="Arial" w:hAnsi="Arial" w:cs="Arial"/>
        </w:rPr>
      </w:pPr>
      <w:r>
        <w:rPr>
          <w:rStyle w:val="Textoennegrita"/>
          <w:rFonts w:ascii="Arial" w:hAnsi="Arial" w:cs="Arial"/>
        </w:rPr>
        <w:t>Alto</w:t>
      </w:r>
      <w:r w:rsidRPr="005866CD">
        <w:rPr>
          <w:rFonts w:ascii="Arial" w:hAnsi="Arial" w:cs="Arial"/>
          <w:b/>
        </w:rPr>
        <w:t xml:space="preserve">: </w:t>
      </w:r>
      <w:r w:rsidRPr="005866CD">
        <w:rPr>
          <w:rFonts w:ascii="Arial" w:hAnsi="Arial" w:cs="Arial"/>
        </w:rPr>
        <w:t>Riesgo de</w:t>
      </w:r>
      <w:r w:rsidRPr="005866CD">
        <w:rPr>
          <w:rFonts w:ascii="Arial" w:hAnsi="Arial" w:cs="Arial"/>
          <w:b/>
        </w:rPr>
        <w:t xml:space="preserve"> </w:t>
      </w:r>
      <w:r w:rsidRPr="005866CD">
        <w:rPr>
          <w:rStyle w:val="Textoennegrita"/>
          <w:rFonts w:ascii="Arial" w:hAnsi="Arial" w:cs="Arial"/>
          <w:b w:val="0"/>
        </w:rPr>
        <w:t>probabilidad media</w:t>
      </w:r>
      <w:r w:rsidRPr="005866CD">
        <w:rPr>
          <w:rFonts w:ascii="Arial" w:hAnsi="Arial" w:cs="Arial"/>
          <w:b/>
        </w:rPr>
        <w:t xml:space="preserve"> </w:t>
      </w:r>
      <w:r w:rsidRPr="005866CD">
        <w:rPr>
          <w:rFonts w:ascii="Arial" w:hAnsi="Arial" w:cs="Arial"/>
        </w:rPr>
        <w:t>y</w:t>
      </w:r>
      <w:r w:rsidRPr="005866CD">
        <w:rPr>
          <w:rFonts w:ascii="Arial" w:hAnsi="Arial" w:cs="Arial"/>
          <w:b/>
        </w:rPr>
        <w:t xml:space="preserve"> </w:t>
      </w:r>
      <w:r w:rsidRPr="005866CD">
        <w:rPr>
          <w:rStyle w:val="Textoennegrita"/>
          <w:rFonts w:ascii="Arial" w:hAnsi="Arial" w:cs="Arial"/>
          <w:b w:val="0"/>
        </w:rPr>
        <w:t>afectación manejable</w:t>
      </w:r>
      <w:r w:rsidRPr="005866CD">
        <w:rPr>
          <w:rFonts w:ascii="Arial" w:hAnsi="Arial" w:cs="Arial"/>
        </w:rPr>
        <w:t xml:space="preserve"> en los resultados institucionales.</w:t>
      </w:r>
    </w:p>
    <w:p w14:paraId="0801716C" w14:textId="31CD2357" w:rsidR="00F67810" w:rsidRPr="005866CD" w:rsidRDefault="00F67810" w:rsidP="005866CD">
      <w:pPr>
        <w:pStyle w:val="NormalWeb"/>
        <w:numPr>
          <w:ilvl w:val="0"/>
          <w:numId w:val="15"/>
        </w:numPr>
        <w:spacing w:line="360" w:lineRule="auto"/>
        <w:jc w:val="both"/>
        <w:rPr>
          <w:rFonts w:ascii="Arial" w:hAnsi="Arial" w:cs="Arial"/>
        </w:rPr>
      </w:pPr>
      <w:r>
        <w:rPr>
          <w:rStyle w:val="Textoennegrita"/>
          <w:rFonts w:ascii="Arial" w:hAnsi="Arial" w:cs="Arial"/>
        </w:rPr>
        <w:t xml:space="preserve">Muy </w:t>
      </w:r>
      <w:r w:rsidRPr="002B7DA9">
        <w:rPr>
          <w:rStyle w:val="Textoennegrita"/>
          <w:rFonts w:ascii="Arial" w:hAnsi="Arial" w:cs="Arial"/>
        </w:rPr>
        <w:t>Alto</w:t>
      </w:r>
      <w:r w:rsidRPr="005866CD">
        <w:rPr>
          <w:rFonts w:ascii="Arial" w:hAnsi="Arial" w:cs="Arial"/>
          <w:b/>
        </w:rPr>
        <w:t xml:space="preserve">: </w:t>
      </w:r>
      <w:r w:rsidRPr="005866CD">
        <w:rPr>
          <w:rFonts w:ascii="Arial" w:hAnsi="Arial" w:cs="Arial"/>
        </w:rPr>
        <w:t xml:space="preserve">Riesgo con </w:t>
      </w:r>
      <w:r w:rsidRPr="005866CD">
        <w:rPr>
          <w:rStyle w:val="Textoennegrita"/>
          <w:rFonts w:ascii="Arial" w:hAnsi="Arial" w:cs="Arial"/>
          <w:b w:val="0"/>
        </w:rPr>
        <w:t>alta probabilidad</w:t>
      </w:r>
      <w:r w:rsidRPr="005866CD">
        <w:rPr>
          <w:rFonts w:ascii="Arial" w:hAnsi="Arial" w:cs="Arial"/>
        </w:rPr>
        <w:t xml:space="preserve"> e</w:t>
      </w:r>
      <w:r w:rsidRPr="005866CD">
        <w:rPr>
          <w:rFonts w:ascii="Arial" w:hAnsi="Arial" w:cs="Arial"/>
          <w:b/>
        </w:rPr>
        <w:t xml:space="preserve"> </w:t>
      </w:r>
      <w:r w:rsidRPr="005866CD">
        <w:rPr>
          <w:rStyle w:val="Textoennegrita"/>
          <w:rFonts w:ascii="Arial" w:hAnsi="Arial" w:cs="Arial"/>
          <w:b w:val="0"/>
        </w:rPr>
        <w:t>impacto significativo</w:t>
      </w:r>
      <w:r w:rsidRPr="005866CD">
        <w:rPr>
          <w:rFonts w:ascii="Arial" w:hAnsi="Arial" w:cs="Arial"/>
          <w:b/>
        </w:rPr>
        <w:t xml:space="preserve"> </w:t>
      </w:r>
      <w:r w:rsidRPr="005866CD">
        <w:rPr>
          <w:rFonts w:ascii="Arial" w:hAnsi="Arial" w:cs="Arial"/>
        </w:rPr>
        <w:t>en los objetivos estratégicos.</w:t>
      </w:r>
    </w:p>
    <w:p w14:paraId="3A68F99A" w14:textId="049EAB8B" w:rsidR="002B7DA9" w:rsidRPr="00A76BC0" w:rsidRDefault="002B7DA9" w:rsidP="005866CD">
      <w:pPr>
        <w:pStyle w:val="NormalWeb"/>
        <w:numPr>
          <w:ilvl w:val="0"/>
          <w:numId w:val="15"/>
        </w:numPr>
        <w:spacing w:line="360" w:lineRule="auto"/>
        <w:jc w:val="both"/>
        <w:rPr>
          <w:rFonts w:ascii="Arial" w:hAnsi="Arial" w:cs="Arial"/>
          <w:color w:val="FF0000"/>
        </w:rPr>
      </w:pPr>
      <w:r w:rsidRPr="00A76BC0">
        <w:rPr>
          <w:rStyle w:val="Textoennegrita"/>
          <w:rFonts w:ascii="Arial" w:hAnsi="Arial" w:cs="Arial"/>
          <w:color w:val="FF0000"/>
        </w:rPr>
        <w:t>Extremo</w:t>
      </w:r>
      <w:r w:rsidRPr="00A76BC0">
        <w:rPr>
          <w:rFonts w:ascii="Arial" w:hAnsi="Arial" w:cs="Arial"/>
          <w:b/>
          <w:bCs/>
        </w:rPr>
        <w:t>:</w:t>
      </w:r>
      <w:r w:rsidRPr="00A76BC0">
        <w:rPr>
          <w:rFonts w:ascii="Arial" w:hAnsi="Arial" w:cs="Arial"/>
        </w:rPr>
        <w:t xml:space="preserve"> Riesgo con </w:t>
      </w:r>
      <w:r w:rsidRPr="00A76BC0">
        <w:rPr>
          <w:rStyle w:val="Textoennegrita"/>
          <w:rFonts w:ascii="Arial" w:hAnsi="Arial" w:cs="Arial"/>
          <w:b w:val="0"/>
          <w:bCs w:val="0"/>
        </w:rPr>
        <w:t>muy alta probabilidad</w:t>
      </w:r>
      <w:r w:rsidRPr="00A76BC0">
        <w:rPr>
          <w:rFonts w:ascii="Arial" w:hAnsi="Arial" w:cs="Arial"/>
        </w:rPr>
        <w:t xml:space="preserve"> de ocurrencia y </w:t>
      </w:r>
      <w:r w:rsidRPr="00A76BC0">
        <w:rPr>
          <w:rStyle w:val="Textoennegrita"/>
          <w:rFonts w:ascii="Arial" w:hAnsi="Arial" w:cs="Arial"/>
          <w:b w:val="0"/>
          <w:bCs w:val="0"/>
        </w:rPr>
        <w:t>consecuencias catastróficas</w:t>
      </w:r>
      <w:r w:rsidRPr="00A76BC0">
        <w:rPr>
          <w:rFonts w:ascii="Arial" w:hAnsi="Arial" w:cs="Arial"/>
        </w:rPr>
        <w:t xml:space="preserve"> para la institución.</w:t>
      </w:r>
    </w:p>
    <w:p w14:paraId="683C59B7" w14:textId="48BD0817" w:rsidR="00525DB6" w:rsidRDefault="00525DB6" w:rsidP="00465139">
      <w:pPr>
        <w:pStyle w:val="Ttulo2"/>
      </w:pPr>
      <w:bookmarkStart w:id="5" w:name="_Toc210994799"/>
      <w:r>
        <w:t>Parámetros de aceptabilidad</w:t>
      </w:r>
      <w:bookmarkEnd w:id="5"/>
      <w:r>
        <w:t xml:space="preserve"> </w:t>
      </w:r>
    </w:p>
    <w:p w14:paraId="6E4ABA56" w14:textId="4E7AB760" w:rsidR="005866CD" w:rsidRPr="005866CD" w:rsidRDefault="00525DB6" w:rsidP="005866CD">
      <w:pPr>
        <w:pStyle w:val="NormalWeb"/>
        <w:spacing w:line="360" w:lineRule="auto"/>
        <w:jc w:val="both"/>
        <w:rPr>
          <w:rStyle w:val="Textoennegrita"/>
          <w:rFonts w:ascii="Arial" w:hAnsi="Arial" w:cs="Arial"/>
          <w:b w:val="0"/>
        </w:rPr>
      </w:pPr>
      <w:r w:rsidRPr="005866CD">
        <w:rPr>
          <w:rStyle w:val="Textoennegrita"/>
          <w:rFonts w:ascii="Arial" w:hAnsi="Arial" w:cs="Arial"/>
          <w:b w:val="0"/>
        </w:rPr>
        <w:t xml:space="preserve">Los parámetros de aceptabilidad permiten a la institución clasificar los riesgos identificados en función del nivel de exposición aceptable según su impacto y probabilidad. En este sentido, el </w:t>
      </w:r>
      <w:r w:rsidR="00251FF7">
        <w:rPr>
          <w:rStyle w:val="Textoennegrita"/>
          <w:rFonts w:ascii="Arial" w:hAnsi="Arial" w:cs="Arial"/>
          <w:b w:val="0"/>
        </w:rPr>
        <w:t>Fonafifo</w:t>
      </w:r>
      <w:r w:rsidRPr="005866CD">
        <w:rPr>
          <w:rStyle w:val="Textoennegrita"/>
          <w:rFonts w:ascii="Arial" w:hAnsi="Arial" w:cs="Arial"/>
          <w:b w:val="0"/>
        </w:rPr>
        <w:t xml:space="preserve"> toma como </w:t>
      </w:r>
      <w:r w:rsidR="00251FF7">
        <w:rPr>
          <w:rStyle w:val="Textoennegrita"/>
          <w:rFonts w:ascii="Arial" w:hAnsi="Arial" w:cs="Arial"/>
          <w:b w:val="0"/>
        </w:rPr>
        <w:t xml:space="preserve">referencia la siguiente escala: </w:t>
      </w:r>
    </w:p>
    <w:p w14:paraId="43DB74EC" w14:textId="0C81DF1E" w:rsidR="00525DB6" w:rsidRPr="00A76BC0" w:rsidRDefault="00525DB6" w:rsidP="005866CD">
      <w:pPr>
        <w:pStyle w:val="NormalWeb"/>
        <w:numPr>
          <w:ilvl w:val="0"/>
          <w:numId w:val="22"/>
        </w:numPr>
        <w:spacing w:line="360" w:lineRule="auto"/>
        <w:jc w:val="both"/>
        <w:rPr>
          <w:rStyle w:val="Textoennegrita"/>
          <w:b w:val="0"/>
          <w:bCs w:val="0"/>
        </w:rPr>
      </w:pPr>
      <w:r w:rsidRPr="005866CD">
        <w:rPr>
          <w:rStyle w:val="Textoennegrita"/>
          <w:rFonts w:ascii="Arial" w:hAnsi="Arial" w:cs="Arial"/>
          <w:b w:val="0"/>
        </w:rPr>
        <w:t xml:space="preserve">Los riesgos que se ubiquen en la categoría de nivel de riesgo bajo son aceptables sin necesidad de valorar medidas </w:t>
      </w:r>
      <w:r w:rsidRPr="00A76BC0">
        <w:rPr>
          <w:rStyle w:val="Textoennegrita"/>
          <w:rFonts w:ascii="Arial" w:hAnsi="Arial" w:cs="Arial"/>
          <w:b w:val="0"/>
        </w:rPr>
        <w:t xml:space="preserve">de administración de riesgos distintas a la retención de riesgos. </w:t>
      </w:r>
    </w:p>
    <w:p w14:paraId="552148FD" w14:textId="06FED004" w:rsidR="00525DB6" w:rsidRPr="00A76BC0" w:rsidRDefault="00525DB6" w:rsidP="005866CD">
      <w:pPr>
        <w:pStyle w:val="NormalWeb"/>
        <w:numPr>
          <w:ilvl w:val="0"/>
          <w:numId w:val="22"/>
        </w:numPr>
        <w:spacing w:line="360" w:lineRule="auto"/>
        <w:jc w:val="both"/>
        <w:rPr>
          <w:rStyle w:val="Textoennegrita"/>
          <w:rFonts w:ascii="Arial" w:hAnsi="Arial" w:cs="Arial"/>
          <w:b w:val="0"/>
          <w:bCs w:val="0"/>
        </w:rPr>
      </w:pPr>
      <w:r w:rsidRPr="00A76BC0">
        <w:rPr>
          <w:rStyle w:val="Textoennegrita"/>
          <w:rFonts w:ascii="Arial" w:hAnsi="Arial" w:cs="Arial"/>
          <w:b w:val="0"/>
          <w:bCs w:val="0"/>
        </w:rPr>
        <w:t>Los riesgos que se ubiquen en la c</w:t>
      </w:r>
      <w:r w:rsidR="00932906" w:rsidRPr="00A76BC0">
        <w:rPr>
          <w:rStyle w:val="Textoennegrita"/>
          <w:rFonts w:ascii="Arial" w:hAnsi="Arial" w:cs="Arial"/>
          <w:b w:val="0"/>
          <w:bCs w:val="0"/>
        </w:rPr>
        <w:t xml:space="preserve">ategoría de nivel de riesgo </w:t>
      </w:r>
      <w:r w:rsidRPr="00A76BC0">
        <w:rPr>
          <w:rStyle w:val="Textoennegrita"/>
          <w:rFonts w:ascii="Arial" w:hAnsi="Arial" w:cs="Arial"/>
          <w:b w:val="0"/>
          <w:bCs w:val="0"/>
        </w:rPr>
        <w:t>medio</w:t>
      </w:r>
      <w:r w:rsidR="00932906" w:rsidRPr="00A76BC0">
        <w:rPr>
          <w:rStyle w:val="Textoennegrita"/>
          <w:rFonts w:ascii="Arial" w:hAnsi="Arial" w:cs="Arial"/>
          <w:b w:val="0"/>
          <w:bCs w:val="0"/>
        </w:rPr>
        <w:t xml:space="preserve"> y alto</w:t>
      </w:r>
      <w:r w:rsidRPr="00A76BC0">
        <w:rPr>
          <w:rStyle w:val="Textoennegrita"/>
          <w:rFonts w:ascii="Arial" w:hAnsi="Arial" w:cs="Arial"/>
          <w:b w:val="0"/>
          <w:bCs w:val="0"/>
        </w:rPr>
        <w:t xml:space="preserve"> serán aceptables si los costos de su administración exceden los beneficios o son imposibles de administrar por vías distintas a la retención de riesgos. </w:t>
      </w:r>
    </w:p>
    <w:p w14:paraId="78FA0825" w14:textId="4636D1DD" w:rsidR="00E45AE0" w:rsidRPr="00A76BC0" w:rsidRDefault="00525DB6" w:rsidP="2031C88B">
      <w:pPr>
        <w:pStyle w:val="NormalWeb"/>
        <w:numPr>
          <w:ilvl w:val="0"/>
          <w:numId w:val="22"/>
        </w:numPr>
        <w:spacing w:line="360" w:lineRule="auto"/>
        <w:jc w:val="both"/>
        <w:rPr>
          <w:rStyle w:val="Textoennegrita"/>
          <w:rFonts w:ascii="Arial" w:hAnsi="Arial" w:cs="Arial"/>
          <w:b w:val="0"/>
          <w:bCs w:val="0"/>
        </w:rPr>
      </w:pPr>
      <w:r w:rsidRPr="00A76BC0">
        <w:rPr>
          <w:rStyle w:val="Textoennegrita"/>
          <w:rFonts w:ascii="Arial" w:hAnsi="Arial" w:cs="Arial"/>
          <w:b w:val="0"/>
          <w:bCs w:val="0"/>
        </w:rPr>
        <w:t>Los riesgos que se ubiquen en</w:t>
      </w:r>
      <w:r w:rsidR="00932906" w:rsidRPr="00A76BC0">
        <w:rPr>
          <w:rStyle w:val="Textoennegrita"/>
          <w:rFonts w:ascii="Arial" w:hAnsi="Arial" w:cs="Arial"/>
          <w:b w:val="0"/>
          <w:bCs w:val="0"/>
        </w:rPr>
        <w:t xml:space="preserve"> la categoría de nivel de riesgo muy alto y extremo</w:t>
      </w:r>
      <w:r w:rsidRPr="00A76BC0">
        <w:rPr>
          <w:rStyle w:val="Textoennegrita"/>
          <w:rFonts w:ascii="Arial" w:hAnsi="Arial" w:cs="Arial"/>
          <w:b w:val="0"/>
          <w:bCs w:val="0"/>
        </w:rPr>
        <w:t xml:space="preserve"> son aceptables únicamente bajo circunstancias extraordinarias justificadas.</w:t>
      </w:r>
    </w:p>
    <w:p w14:paraId="2B176569" w14:textId="3E6CB5CF" w:rsidR="00E45AE0" w:rsidRPr="002B7DA9" w:rsidRDefault="00E45AE0" w:rsidP="002B7DA9"/>
    <w:p w14:paraId="3B9A2B43" w14:textId="77777777" w:rsidR="002B7DA9" w:rsidRDefault="002B7DA9" w:rsidP="002B7DA9">
      <w:pPr>
        <w:pStyle w:val="Sinespaciado"/>
        <w:rPr>
          <w:lang w:val="es-CR"/>
        </w:rPr>
      </w:pPr>
    </w:p>
    <w:p w14:paraId="247A7312" w14:textId="4ACE6E02" w:rsidR="00643CC2" w:rsidRPr="002B7DA9" w:rsidRDefault="00643CC2" w:rsidP="002B7DA9">
      <w:pPr>
        <w:pStyle w:val="Sinespaciado"/>
        <w:rPr>
          <w:lang w:val="es-CR"/>
        </w:rPr>
      </w:pPr>
      <w:r w:rsidRPr="002B7DA9">
        <w:rPr>
          <w:lang w:val="es-CR"/>
        </w:rPr>
        <w:br w:type="page"/>
      </w:r>
    </w:p>
    <w:p w14:paraId="089D4931" w14:textId="6432E23E" w:rsidR="006243C5" w:rsidRDefault="00DD785B" w:rsidP="00DD785B">
      <w:pPr>
        <w:pStyle w:val="Ttulo1"/>
      </w:pPr>
      <w:bookmarkStart w:id="6" w:name="_Toc210994800"/>
      <w:r>
        <w:lastRenderedPageBreak/>
        <w:t>II. Resultados</w:t>
      </w:r>
      <w:bookmarkEnd w:id="6"/>
      <w:r>
        <w:t xml:space="preserve"> </w:t>
      </w:r>
    </w:p>
    <w:p w14:paraId="0F1E4D5A" w14:textId="77777777" w:rsidR="00251FF7" w:rsidRPr="00251FF7" w:rsidRDefault="00251FF7" w:rsidP="00251FF7"/>
    <w:p w14:paraId="76BCB416" w14:textId="65122CCD" w:rsidR="00D171C1" w:rsidRDefault="00D171C1" w:rsidP="00D171C1">
      <w:pPr>
        <w:spacing w:line="360" w:lineRule="auto"/>
        <w:jc w:val="both"/>
        <w:rPr>
          <w:rFonts w:ascii="Arial" w:hAnsi="Arial" w:cs="Arial"/>
        </w:rPr>
      </w:pPr>
      <w:r w:rsidRPr="00D171C1">
        <w:rPr>
          <w:rFonts w:ascii="Arial" w:hAnsi="Arial" w:cs="Arial"/>
        </w:rPr>
        <w:t xml:space="preserve">De los 27 riesgos identificados por el personal institucional, se analizaron y evaluaron considerando su importancia y nivel de aceptabilidad para la institución. </w:t>
      </w:r>
      <w:r w:rsidR="00F3272A">
        <w:rPr>
          <w:rFonts w:ascii="Arial" w:hAnsi="Arial" w:cs="Arial"/>
        </w:rPr>
        <w:t>Como resultado</w:t>
      </w:r>
      <w:r w:rsidRPr="00D171C1">
        <w:rPr>
          <w:rFonts w:ascii="Arial" w:hAnsi="Arial" w:cs="Arial"/>
        </w:rPr>
        <w:t>, nueve fueron catalogados como de alta relevancia y prioritarios, por lo que requieren especial atención para garantizar el cumplimiento de la misión, visión y objetivos estratégicos.</w:t>
      </w:r>
    </w:p>
    <w:p w14:paraId="190E5990" w14:textId="77777777" w:rsidR="00A76BC0" w:rsidRPr="00D171C1" w:rsidRDefault="00A76BC0" w:rsidP="00D171C1">
      <w:pPr>
        <w:spacing w:line="360" w:lineRule="auto"/>
        <w:jc w:val="both"/>
        <w:rPr>
          <w:rFonts w:ascii="Arial" w:hAnsi="Arial" w:cs="Arial"/>
        </w:rPr>
      </w:pPr>
    </w:p>
    <w:p w14:paraId="2BB0C12E" w14:textId="23E48137" w:rsidR="008413A5" w:rsidRDefault="00D171C1" w:rsidP="00D171C1">
      <w:pPr>
        <w:spacing w:line="360" w:lineRule="auto"/>
        <w:jc w:val="both"/>
        <w:rPr>
          <w:rFonts w:ascii="Arial" w:hAnsi="Arial" w:cs="Arial"/>
        </w:rPr>
      </w:pPr>
      <w:r w:rsidRPr="00D171C1">
        <w:rPr>
          <w:rFonts w:ascii="Arial" w:hAnsi="Arial" w:cs="Arial"/>
        </w:rPr>
        <w:t>A continuación, se presentan estos riesgos clasificados según su impacto estratégico o relevancia institucional y su tipo de riesgo.</w:t>
      </w:r>
    </w:p>
    <w:p w14:paraId="6AD0FF99" w14:textId="2EAECCD6" w:rsidR="000543AE" w:rsidRDefault="000543AE" w:rsidP="000543AE">
      <w:pPr>
        <w:jc w:val="center"/>
        <w:rPr>
          <w:b/>
          <w:color w:val="000000" w:themeColor="text1"/>
          <w:sz w:val="28"/>
        </w:rPr>
      </w:pPr>
      <w:r>
        <w:rPr>
          <w:b/>
          <w:color w:val="000000" w:themeColor="text1"/>
          <w:sz w:val="28"/>
        </w:rPr>
        <w:t>Tabla 1</w:t>
      </w:r>
      <w:r w:rsidRPr="00FC579F">
        <w:rPr>
          <w:b/>
          <w:color w:val="000000" w:themeColor="text1"/>
          <w:sz w:val="28"/>
        </w:rPr>
        <w:t>.</w:t>
      </w:r>
      <w:r>
        <w:t xml:space="preserve"> </w:t>
      </w:r>
      <w:r w:rsidRPr="000543AE">
        <w:rPr>
          <w:b/>
          <w:color w:val="000000" w:themeColor="text1"/>
          <w:sz w:val="28"/>
        </w:rPr>
        <w:t>Resumen de riesgos institucionales</w:t>
      </w:r>
    </w:p>
    <w:p w14:paraId="103DE2B1" w14:textId="77777777" w:rsidR="000543AE" w:rsidRPr="008413A5" w:rsidRDefault="000543AE" w:rsidP="00D171C1">
      <w:pPr>
        <w:spacing w:line="360" w:lineRule="auto"/>
        <w:jc w:val="both"/>
        <w:rPr>
          <w:rFonts w:ascii="Arial" w:hAnsi="Arial" w:cs="Arial"/>
        </w:rPr>
      </w:pPr>
    </w:p>
    <w:tbl>
      <w:tblPr>
        <w:tblStyle w:val="Tablaconcuadrcula"/>
        <w:tblW w:w="0" w:type="auto"/>
        <w:tblLook w:val="04A0" w:firstRow="1" w:lastRow="0" w:firstColumn="1" w:lastColumn="0" w:noHBand="0" w:noVBand="1"/>
      </w:tblPr>
      <w:tblGrid>
        <w:gridCol w:w="7715"/>
        <w:gridCol w:w="2587"/>
        <w:gridCol w:w="2704"/>
      </w:tblGrid>
      <w:tr w:rsidR="00D171C1" w14:paraId="3B49B356" w14:textId="77777777" w:rsidTr="00A76BC0">
        <w:trPr>
          <w:trHeight w:val="750"/>
          <w:tblHeader/>
        </w:trPr>
        <w:tc>
          <w:tcPr>
            <w:tcW w:w="7715" w:type="dxa"/>
            <w:shd w:val="clear" w:color="auto" w:fill="D2843E"/>
            <w:vAlign w:val="center"/>
          </w:tcPr>
          <w:p w14:paraId="7A9225C9" w14:textId="6C01B775" w:rsidR="00D171C1" w:rsidRPr="00487040" w:rsidRDefault="00D171C1" w:rsidP="00A76BC0">
            <w:pPr>
              <w:pStyle w:val="Sinespaciado"/>
              <w:spacing w:line="360" w:lineRule="auto"/>
              <w:jc w:val="center"/>
              <w:rPr>
                <w:rFonts w:ascii="Arial" w:hAnsi="Arial" w:cs="Arial"/>
                <w:b/>
                <w:sz w:val="24"/>
                <w:lang w:val="es-CR"/>
              </w:rPr>
            </w:pPr>
            <w:r w:rsidRPr="00487040">
              <w:rPr>
                <w:rFonts w:ascii="Arial" w:hAnsi="Arial" w:cs="Arial"/>
                <w:b/>
                <w:sz w:val="24"/>
                <w:lang w:val="es-CR"/>
              </w:rPr>
              <w:t>Evento de riesgo</w:t>
            </w:r>
          </w:p>
        </w:tc>
        <w:tc>
          <w:tcPr>
            <w:tcW w:w="2587" w:type="dxa"/>
            <w:shd w:val="clear" w:color="auto" w:fill="D2843E"/>
            <w:vAlign w:val="center"/>
          </w:tcPr>
          <w:p w14:paraId="4972A5CC" w14:textId="5750962A" w:rsidR="00D171C1" w:rsidRPr="00487040" w:rsidRDefault="00D171C1" w:rsidP="00A76BC0">
            <w:pPr>
              <w:pStyle w:val="Sinespaciado"/>
              <w:spacing w:line="360" w:lineRule="auto"/>
              <w:jc w:val="center"/>
              <w:rPr>
                <w:rFonts w:ascii="Arial" w:hAnsi="Arial" w:cs="Arial"/>
                <w:b/>
                <w:sz w:val="24"/>
              </w:rPr>
            </w:pPr>
            <w:r w:rsidRPr="00487040">
              <w:rPr>
                <w:rFonts w:ascii="Arial" w:hAnsi="Arial" w:cs="Arial"/>
                <w:b/>
                <w:sz w:val="24"/>
                <w:lang w:val="es-CR"/>
              </w:rPr>
              <w:t>Clasificación</w:t>
            </w:r>
          </w:p>
        </w:tc>
        <w:tc>
          <w:tcPr>
            <w:tcW w:w="2704" w:type="dxa"/>
            <w:shd w:val="clear" w:color="auto" w:fill="D2843E"/>
            <w:vAlign w:val="center"/>
          </w:tcPr>
          <w:p w14:paraId="49901B82" w14:textId="77777777" w:rsidR="00D171C1" w:rsidRPr="00487040" w:rsidRDefault="00D171C1" w:rsidP="00A76BC0">
            <w:pPr>
              <w:pStyle w:val="Sinespaciado"/>
              <w:spacing w:line="360" w:lineRule="auto"/>
              <w:jc w:val="center"/>
              <w:rPr>
                <w:rFonts w:ascii="Arial" w:hAnsi="Arial" w:cs="Arial"/>
                <w:b/>
                <w:sz w:val="24"/>
                <w:lang w:val="es-CR"/>
              </w:rPr>
            </w:pPr>
            <w:r w:rsidRPr="00487040">
              <w:rPr>
                <w:rFonts w:ascii="Arial" w:hAnsi="Arial" w:cs="Arial"/>
                <w:b/>
                <w:sz w:val="24"/>
                <w:lang w:val="es-CR"/>
              </w:rPr>
              <w:t>Estratégico/</w:t>
            </w:r>
          </w:p>
          <w:p w14:paraId="4E4F5861" w14:textId="4330FE14" w:rsidR="00D171C1" w:rsidRPr="00487040" w:rsidRDefault="00D171C1" w:rsidP="00A76BC0">
            <w:pPr>
              <w:pStyle w:val="Sinespaciado"/>
              <w:spacing w:line="360" w:lineRule="auto"/>
              <w:jc w:val="center"/>
              <w:rPr>
                <w:rFonts w:ascii="Arial" w:hAnsi="Arial" w:cs="Arial"/>
                <w:b/>
                <w:sz w:val="24"/>
              </w:rPr>
            </w:pPr>
            <w:r w:rsidRPr="00487040">
              <w:rPr>
                <w:rFonts w:ascii="Arial" w:hAnsi="Arial" w:cs="Arial"/>
                <w:b/>
                <w:sz w:val="24"/>
                <w:lang w:val="es-CR"/>
              </w:rPr>
              <w:t>Relevante</w:t>
            </w:r>
          </w:p>
        </w:tc>
      </w:tr>
      <w:tr w:rsidR="00D171C1" w14:paraId="6765C28D" w14:textId="77777777" w:rsidTr="00A76BC0">
        <w:trPr>
          <w:trHeight w:val="536"/>
        </w:trPr>
        <w:tc>
          <w:tcPr>
            <w:tcW w:w="7715" w:type="dxa"/>
            <w:vAlign w:val="center"/>
          </w:tcPr>
          <w:p w14:paraId="1B198719" w14:textId="34474CD6" w:rsidR="00D171C1" w:rsidRPr="008E2AE3"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 xml:space="preserve">Incumplimiento </w:t>
            </w:r>
            <w:r>
              <w:rPr>
                <w:rFonts w:ascii="Arial" w:hAnsi="Arial" w:cs="Arial"/>
                <w:sz w:val="24"/>
                <w:lang w:val="es-CR"/>
              </w:rPr>
              <w:t>de los compromisos estratégicos.</w:t>
            </w:r>
          </w:p>
        </w:tc>
        <w:tc>
          <w:tcPr>
            <w:tcW w:w="2587" w:type="dxa"/>
            <w:vAlign w:val="center"/>
          </w:tcPr>
          <w:p w14:paraId="1571C7FB" w14:textId="438339D8"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Gobernanza</w:t>
            </w:r>
          </w:p>
        </w:tc>
        <w:tc>
          <w:tcPr>
            <w:tcW w:w="2704" w:type="dxa"/>
            <w:vAlign w:val="center"/>
          </w:tcPr>
          <w:p w14:paraId="4911A493" w14:textId="27ACBE1D"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Estratégico</w:t>
            </w:r>
          </w:p>
        </w:tc>
      </w:tr>
      <w:tr w:rsidR="00D171C1" w14:paraId="5E76DE21" w14:textId="77777777" w:rsidTr="00A76BC0">
        <w:trPr>
          <w:trHeight w:val="457"/>
        </w:trPr>
        <w:tc>
          <w:tcPr>
            <w:tcW w:w="7715" w:type="dxa"/>
            <w:vAlign w:val="center"/>
          </w:tcPr>
          <w:p w14:paraId="3B7574D6" w14:textId="0CF9F997"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Posibilidad de que ocurran actos de corrupción en los procesos de gestión institucional</w:t>
            </w:r>
            <w:r>
              <w:rPr>
                <w:rFonts w:ascii="Arial" w:hAnsi="Arial" w:cs="Arial"/>
                <w:sz w:val="24"/>
                <w:lang w:val="es-CR"/>
              </w:rPr>
              <w:t>.</w:t>
            </w:r>
          </w:p>
        </w:tc>
        <w:tc>
          <w:tcPr>
            <w:tcW w:w="2587" w:type="dxa"/>
            <w:vAlign w:val="center"/>
          </w:tcPr>
          <w:p w14:paraId="45E59608" w14:textId="7E8EE9F6"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Gobernanza</w:t>
            </w:r>
          </w:p>
        </w:tc>
        <w:tc>
          <w:tcPr>
            <w:tcW w:w="2704" w:type="dxa"/>
            <w:vAlign w:val="center"/>
          </w:tcPr>
          <w:p w14:paraId="13B97F96" w14:textId="516B742E"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Estratégico</w:t>
            </w:r>
          </w:p>
        </w:tc>
      </w:tr>
      <w:tr w:rsidR="00D171C1" w14:paraId="7FD3EDE1" w14:textId="77777777" w:rsidTr="00A76BC0">
        <w:trPr>
          <w:trHeight w:val="474"/>
        </w:trPr>
        <w:tc>
          <w:tcPr>
            <w:tcW w:w="7715" w:type="dxa"/>
            <w:vAlign w:val="center"/>
          </w:tcPr>
          <w:p w14:paraId="14A0566B" w14:textId="57FF199B"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Posibilidad de vulnerabilidades en la plataforma tecnológica institucional</w:t>
            </w:r>
            <w:r>
              <w:rPr>
                <w:rFonts w:ascii="Arial" w:hAnsi="Arial" w:cs="Arial"/>
                <w:sz w:val="24"/>
                <w:lang w:val="es-CR"/>
              </w:rPr>
              <w:t>.</w:t>
            </w:r>
          </w:p>
        </w:tc>
        <w:tc>
          <w:tcPr>
            <w:tcW w:w="2587" w:type="dxa"/>
            <w:vAlign w:val="center"/>
          </w:tcPr>
          <w:p w14:paraId="11347B1F" w14:textId="61DF16EF"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Tecnológico</w:t>
            </w:r>
          </w:p>
        </w:tc>
        <w:tc>
          <w:tcPr>
            <w:tcW w:w="2704" w:type="dxa"/>
            <w:vAlign w:val="center"/>
          </w:tcPr>
          <w:p w14:paraId="256413A7" w14:textId="4BB28484"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Relevante</w:t>
            </w:r>
          </w:p>
        </w:tc>
      </w:tr>
      <w:tr w:rsidR="00D171C1" w14:paraId="632652E6" w14:textId="77777777" w:rsidTr="00A76BC0">
        <w:trPr>
          <w:trHeight w:val="457"/>
        </w:trPr>
        <w:tc>
          <w:tcPr>
            <w:tcW w:w="7715" w:type="dxa"/>
            <w:vAlign w:val="center"/>
          </w:tcPr>
          <w:p w14:paraId="77353313" w14:textId="3D6E452F"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Posibilidad de presentar problemas o daños en la plataforma tecnológica institucional</w:t>
            </w:r>
            <w:r>
              <w:rPr>
                <w:rFonts w:ascii="Arial" w:hAnsi="Arial" w:cs="Arial"/>
                <w:sz w:val="24"/>
                <w:lang w:val="es-CR"/>
              </w:rPr>
              <w:t>.</w:t>
            </w:r>
          </w:p>
        </w:tc>
        <w:tc>
          <w:tcPr>
            <w:tcW w:w="2587" w:type="dxa"/>
            <w:vAlign w:val="center"/>
          </w:tcPr>
          <w:p w14:paraId="3083AEFF" w14:textId="2D701129"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Tecnológico</w:t>
            </w:r>
          </w:p>
        </w:tc>
        <w:tc>
          <w:tcPr>
            <w:tcW w:w="2704" w:type="dxa"/>
            <w:vAlign w:val="center"/>
          </w:tcPr>
          <w:p w14:paraId="46DD4BCC" w14:textId="1A92A96D"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Relevante</w:t>
            </w:r>
          </w:p>
        </w:tc>
      </w:tr>
      <w:tr w:rsidR="00D171C1" w14:paraId="67811381" w14:textId="77777777" w:rsidTr="00A76BC0">
        <w:trPr>
          <w:trHeight w:val="474"/>
        </w:trPr>
        <w:tc>
          <w:tcPr>
            <w:tcW w:w="7715" w:type="dxa"/>
            <w:vAlign w:val="center"/>
          </w:tcPr>
          <w:p w14:paraId="3477F486" w14:textId="765600C5"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Disminución de la capacidad financiera para cumplir con los compromisos institucionales</w:t>
            </w:r>
            <w:r>
              <w:rPr>
                <w:rFonts w:ascii="Arial" w:hAnsi="Arial" w:cs="Arial"/>
                <w:sz w:val="24"/>
                <w:lang w:val="es-CR"/>
              </w:rPr>
              <w:t>.</w:t>
            </w:r>
          </w:p>
        </w:tc>
        <w:tc>
          <w:tcPr>
            <w:tcW w:w="2587" w:type="dxa"/>
            <w:vAlign w:val="center"/>
          </w:tcPr>
          <w:p w14:paraId="46677F67" w14:textId="077A7C8A"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Financiero</w:t>
            </w:r>
          </w:p>
        </w:tc>
        <w:tc>
          <w:tcPr>
            <w:tcW w:w="2704" w:type="dxa"/>
            <w:vAlign w:val="center"/>
          </w:tcPr>
          <w:p w14:paraId="0B8F68F7" w14:textId="7E22BF8A" w:rsidR="00D171C1" w:rsidRPr="00A76BC0" w:rsidRDefault="00D171C1" w:rsidP="00A76BC0">
            <w:pPr>
              <w:pStyle w:val="Sinespaciado"/>
              <w:spacing w:line="360" w:lineRule="auto"/>
              <w:jc w:val="center"/>
              <w:rPr>
                <w:rFonts w:ascii="Arial" w:hAnsi="Arial" w:cs="Arial"/>
                <w:sz w:val="24"/>
                <w:szCs w:val="24"/>
              </w:rPr>
            </w:pPr>
            <w:r w:rsidRPr="00A76BC0">
              <w:rPr>
                <w:rFonts w:ascii="Arial" w:hAnsi="Arial" w:cs="Arial"/>
                <w:sz w:val="24"/>
                <w:szCs w:val="24"/>
                <w:lang w:val="es-CR"/>
              </w:rPr>
              <w:t>Estratégico</w:t>
            </w:r>
          </w:p>
        </w:tc>
      </w:tr>
      <w:tr w:rsidR="00D171C1" w14:paraId="59611C8B" w14:textId="77777777" w:rsidTr="00A76BC0">
        <w:trPr>
          <w:trHeight w:val="457"/>
        </w:trPr>
        <w:tc>
          <w:tcPr>
            <w:tcW w:w="7715" w:type="dxa"/>
            <w:vAlign w:val="center"/>
          </w:tcPr>
          <w:p w14:paraId="23179405" w14:textId="3FD685CD"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t>No disponer del personal experto adecuado para cumplir oportunamente con los objetivos institucionales</w:t>
            </w:r>
            <w:r>
              <w:rPr>
                <w:rFonts w:ascii="Arial" w:hAnsi="Arial" w:cs="Arial"/>
                <w:sz w:val="24"/>
                <w:lang w:val="es-CR"/>
              </w:rPr>
              <w:t>.</w:t>
            </w:r>
          </w:p>
        </w:tc>
        <w:tc>
          <w:tcPr>
            <w:tcW w:w="2587" w:type="dxa"/>
            <w:vAlign w:val="center"/>
          </w:tcPr>
          <w:p w14:paraId="0D0FBB03" w14:textId="0108679E"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Talento humano</w:t>
            </w:r>
          </w:p>
        </w:tc>
        <w:tc>
          <w:tcPr>
            <w:tcW w:w="2704" w:type="dxa"/>
            <w:vAlign w:val="center"/>
          </w:tcPr>
          <w:p w14:paraId="2F86095B" w14:textId="4D859CEA"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Estratégico</w:t>
            </w:r>
          </w:p>
        </w:tc>
      </w:tr>
      <w:tr w:rsidR="00D171C1" w14:paraId="0A340EAF" w14:textId="77777777" w:rsidTr="00A76BC0">
        <w:trPr>
          <w:trHeight w:val="457"/>
        </w:trPr>
        <w:tc>
          <w:tcPr>
            <w:tcW w:w="7715" w:type="dxa"/>
            <w:vAlign w:val="center"/>
          </w:tcPr>
          <w:p w14:paraId="09A7C515" w14:textId="3A8E57E3" w:rsidR="00D171C1" w:rsidRPr="001617A5" w:rsidRDefault="00D171C1" w:rsidP="00A76BC0">
            <w:pPr>
              <w:pStyle w:val="Sinespaciado"/>
              <w:spacing w:line="360" w:lineRule="auto"/>
              <w:rPr>
                <w:rFonts w:ascii="Arial" w:hAnsi="Arial" w:cs="Arial"/>
                <w:sz w:val="24"/>
                <w:lang w:val="es-CR"/>
              </w:rPr>
            </w:pPr>
            <w:r w:rsidRPr="001617A5">
              <w:rPr>
                <w:rFonts w:ascii="Arial" w:hAnsi="Arial" w:cs="Arial"/>
                <w:sz w:val="24"/>
                <w:lang w:val="es-CR"/>
              </w:rPr>
              <w:lastRenderedPageBreak/>
              <w:t>Rezago institucional en la innovación tecnológica para la gestión de los servicios ecosistémicos</w:t>
            </w:r>
            <w:r>
              <w:rPr>
                <w:rFonts w:ascii="Arial" w:hAnsi="Arial" w:cs="Arial"/>
                <w:sz w:val="24"/>
                <w:lang w:val="es-CR"/>
              </w:rPr>
              <w:t>.</w:t>
            </w:r>
          </w:p>
        </w:tc>
        <w:tc>
          <w:tcPr>
            <w:tcW w:w="2587" w:type="dxa"/>
            <w:vAlign w:val="center"/>
          </w:tcPr>
          <w:p w14:paraId="04407918" w14:textId="3A7BD5B1"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Tecnológico</w:t>
            </w:r>
          </w:p>
        </w:tc>
        <w:tc>
          <w:tcPr>
            <w:tcW w:w="2704" w:type="dxa"/>
            <w:vAlign w:val="center"/>
          </w:tcPr>
          <w:p w14:paraId="3872459E" w14:textId="783F4ADC"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Estratégico</w:t>
            </w:r>
          </w:p>
        </w:tc>
      </w:tr>
      <w:tr w:rsidR="00D171C1" w14:paraId="24174819" w14:textId="77777777" w:rsidTr="00F32E20">
        <w:trPr>
          <w:trHeight w:val="457"/>
        </w:trPr>
        <w:tc>
          <w:tcPr>
            <w:tcW w:w="7715" w:type="dxa"/>
            <w:vAlign w:val="center"/>
          </w:tcPr>
          <w:p w14:paraId="001113EC" w14:textId="43C508BD" w:rsidR="00D171C1" w:rsidRPr="001617A5" w:rsidRDefault="00D171C1" w:rsidP="00F32E20">
            <w:pPr>
              <w:pStyle w:val="Sinespaciado"/>
              <w:spacing w:line="360" w:lineRule="auto"/>
              <w:rPr>
                <w:rFonts w:ascii="Arial" w:hAnsi="Arial" w:cs="Arial"/>
                <w:sz w:val="24"/>
                <w:lang w:val="es-CR"/>
              </w:rPr>
            </w:pPr>
            <w:r w:rsidRPr="001617A5">
              <w:rPr>
                <w:rFonts w:ascii="Arial" w:hAnsi="Arial" w:cs="Arial"/>
                <w:sz w:val="24"/>
                <w:lang w:val="es-CR"/>
              </w:rPr>
              <w:t>Incumplimiento de pago por parte de los deudores de la cartera de crédito forestal</w:t>
            </w:r>
            <w:r>
              <w:rPr>
                <w:rFonts w:ascii="Arial" w:hAnsi="Arial" w:cs="Arial"/>
                <w:sz w:val="24"/>
                <w:lang w:val="es-CR"/>
              </w:rPr>
              <w:t>.</w:t>
            </w:r>
          </w:p>
        </w:tc>
        <w:tc>
          <w:tcPr>
            <w:tcW w:w="2587" w:type="dxa"/>
            <w:vAlign w:val="center"/>
          </w:tcPr>
          <w:p w14:paraId="2A35FE95" w14:textId="3BC1B11B"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Financiero</w:t>
            </w:r>
          </w:p>
        </w:tc>
        <w:tc>
          <w:tcPr>
            <w:tcW w:w="2704" w:type="dxa"/>
            <w:vAlign w:val="center"/>
          </w:tcPr>
          <w:p w14:paraId="747461CB" w14:textId="10B43AE5"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Relevante</w:t>
            </w:r>
          </w:p>
        </w:tc>
      </w:tr>
      <w:tr w:rsidR="00D171C1" w14:paraId="2D3EA0C7" w14:textId="77777777" w:rsidTr="00F32E20">
        <w:trPr>
          <w:trHeight w:val="457"/>
        </w:trPr>
        <w:tc>
          <w:tcPr>
            <w:tcW w:w="7715" w:type="dxa"/>
            <w:vAlign w:val="center"/>
          </w:tcPr>
          <w:p w14:paraId="7251E813" w14:textId="4094194F" w:rsidR="00D171C1" w:rsidRPr="00E3268F" w:rsidRDefault="00D171C1" w:rsidP="00F32E20">
            <w:pPr>
              <w:pStyle w:val="Sinespaciado"/>
              <w:spacing w:line="360" w:lineRule="auto"/>
              <w:rPr>
                <w:rFonts w:ascii="Arial" w:hAnsi="Arial" w:cs="Arial"/>
                <w:sz w:val="24"/>
                <w:lang w:val="es-CR"/>
              </w:rPr>
            </w:pPr>
            <w:r w:rsidRPr="00E3268F">
              <w:rPr>
                <w:rFonts w:ascii="Arial" w:hAnsi="Arial" w:cs="Arial"/>
                <w:sz w:val="24"/>
                <w:lang w:val="es-CR"/>
              </w:rPr>
              <w:t>Pérdida del posicionamiento del Fonafifo para captar recursos adicionales</w:t>
            </w:r>
            <w:r>
              <w:rPr>
                <w:rFonts w:ascii="Arial" w:hAnsi="Arial" w:cs="Arial"/>
                <w:sz w:val="24"/>
                <w:lang w:val="es-CR"/>
              </w:rPr>
              <w:t>.</w:t>
            </w:r>
          </w:p>
        </w:tc>
        <w:tc>
          <w:tcPr>
            <w:tcW w:w="2587" w:type="dxa"/>
            <w:vAlign w:val="center"/>
          </w:tcPr>
          <w:p w14:paraId="4B411232" w14:textId="527A7EDE"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Reputacional</w:t>
            </w:r>
          </w:p>
        </w:tc>
        <w:tc>
          <w:tcPr>
            <w:tcW w:w="2704" w:type="dxa"/>
            <w:vAlign w:val="center"/>
          </w:tcPr>
          <w:p w14:paraId="1A63D438" w14:textId="702B8CDB" w:rsidR="00D171C1" w:rsidRPr="00A76BC0" w:rsidRDefault="00D171C1" w:rsidP="00A76BC0">
            <w:pPr>
              <w:pStyle w:val="Sinespaciado"/>
              <w:spacing w:line="360" w:lineRule="auto"/>
              <w:jc w:val="center"/>
              <w:rPr>
                <w:rFonts w:ascii="Arial" w:hAnsi="Arial" w:cs="Arial"/>
                <w:sz w:val="24"/>
                <w:szCs w:val="24"/>
                <w:lang w:val="es-CR"/>
              </w:rPr>
            </w:pPr>
            <w:r w:rsidRPr="00A76BC0">
              <w:rPr>
                <w:rFonts w:ascii="Arial" w:hAnsi="Arial" w:cs="Arial"/>
                <w:sz w:val="24"/>
                <w:szCs w:val="24"/>
                <w:lang w:val="es-CR"/>
              </w:rPr>
              <w:t>Estratégico</w:t>
            </w:r>
          </w:p>
        </w:tc>
      </w:tr>
    </w:tbl>
    <w:p w14:paraId="2AD9C871" w14:textId="2B9F0EF4" w:rsidR="00D6286C" w:rsidRPr="001617A5" w:rsidRDefault="00D6286C" w:rsidP="00D6286C">
      <w:pPr>
        <w:pStyle w:val="Sinespaciado"/>
        <w:spacing w:line="360" w:lineRule="auto"/>
        <w:rPr>
          <w:rFonts w:ascii="Arial" w:hAnsi="Arial" w:cs="Arial"/>
          <w:sz w:val="24"/>
          <w:lang w:val="es-CR"/>
        </w:rPr>
      </w:pPr>
    </w:p>
    <w:p w14:paraId="109AFA66" w14:textId="4121A25C" w:rsidR="00D9745C" w:rsidRPr="001617A5" w:rsidRDefault="00D9745C" w:rsidP="00D6286C">
      <w:pPr>
        <w:pStyle w:val="Sinespaciado"/>
        <w:spacing w:line="360" w:lineRule="auto"/>
        <w:rPr>
          <w:rFonts w:ascii="Arial" w:hAnsi="Arial" w:cs="Arial"/>
          <w:sz w:val="24"/>
          <w:lang w:val="es-CR"/>
        </w:rPr>
      </w:pPr>
      <w:r>
        <w:rPr>
          <w:rFonts w:ascii="Arial" w:hAnsi="Arial" w:cs="Arial"/>
          <w:sz w:val="24"/>
          <w:lang w:val="es-CR"/>
        </w:rPr>
        <w:t>De los nueves riesgos identificados c</w:t>
      </w:r>
      <w:r w:rsidRPr="00D9745C">
        <w:rPr>
          <w:rFonts w:ascii="Arial" w:hAnsi="Arial" w:cs="Arial"/>
          <w:sz w:val="24"/>
          <w:lang w:val="es-CR"/>
        </w:rPr>
        <w:t>omo de alta relevancia y prioritarios para la institución.</w:t>
      </w:r>
      <w:r>
        <w:rPr>
          <w:rFonts w:ascii="Arial" w:hAnsi="Arial" w:cs="Arial"/>
          <w:sz w:val="24"/>
          <w:lang w:val="es-CR"/>
        </w:rPr>
        <w:t xml:space="preserve"> De estos </w:t>
      </w:r>
      <w:r w:rsidRPr="00D9745C">
        <w:rPr>
          <w:rFonts w:ascii="Arial" w:hAnsi="Arial" w:cs="Arial"/>
          <w:sz w:val="24"/>
          <w:lang w:val="es-CR"/>
        </w:rPr>
        <w:t>6 ries</w:t>
      </w:r>
      <w:r>
        <w:rPr>
          <w:rFonts w:ascii="Arial" w:hAnsi="Arial" w:cs="Arial"/>
          <w:sz w:val="24"/>
          <w:lang w:val="es-CR"/>
        </w:rPr>
        <w:t xml:space="preserve">gos se consideran estratégicos y </w:t>
      </w:r>
      <w:r w:rsidRPr="00D9745C">
        <w:rPr>
          <w:rFonts w:ascii="Arial" w:hAnsi="Arial" w:cs="Arial"/>
          <w:sz w:val="24"/>
          <w:lang w:val="es-CR"/>
        </w:rPr>
        <w:t>3 riesgos se consideran relevantes, con impacto significativo en áreas clave, pero con menor implicación directa en la estrategia institucional.</w:t>
      </w:r>
    </w:p>
    <w:p w14:paraId="077DA8B3" w14:textId="77777777" w:rsidR="00D9745C" w:rsidRDefault="00D9745C" w:rsidP="00D6286C">
      <w:pPr>
        <w:pStyle w:val="Sinespaciado"/>
        <w:spacing w:line="360" w:lineRule="auto"/>
        <w:rPr>
          <w:rFonts w:ascii="Arial" w:hAnsi="Arial" w:cs="Arial"/>
          <w:sz w:val="24"/>
          <w:lang w:val="es-CR"/>
        </w:rPr>
      </w:pPr>
    </w:p>
    <w:p w14:paraId="63B62A1B" w14:textId="419F765B" w:rsidR="00D9745C" w:rsidRPr="004C4205" w:rsidRDefault="004C4205" w:rsidP="00D6286C">
      <w:pPr>
        <w:pStyle w:val="Sinespaciado"/>
        <w:spacing w:line="360" w:lineRule="auto"/>
        <w:rPr>
          <w:rFonts w:ascii="Arial" w:hAnsi="Arial" w:cs="Arial"/>
          <w:sz w:val="24"/>
          <w:lang w:val="es-CR"/>
        </w:rPr>
      </w:pPr>
      <w:r w:rsidRPr="004C4205">
        <w:rPr>
          <w:rFonts w:ascii="Arial" w:hAnsi="Arial" w:cs="Arial"/>
          <w:sz w:val="24"/>
          <w:lang w:val="es-CR"/>
        </w:rPr>
        <w:t>A continuación, se detalla cada evento de riesgo, desglosando sus principales causas, consecuencias y nivel de riesgo, con el propósito de ofrecer un panorama integral que facilite su adecuada gestión.</w:t>
      </w:r>
    </w:p>
    <w:p w14:paraId="3FE461E5" w14:textId="7E487DC8" w:rsidR="00D9745C" w:rsidRDefault="00D9745C" w:rsidP="00D6286C">
      <w:pPr>
        <w:pStyle w:val="Sinespaciado"/>
        <w:spacing w:line="360" w:lineRule="auto"/>
        <w:rPr>
          <w:rFonts w:ascii="Arial" w:hAnsi="Arial" w:cs="Arial"/>
          <w:sz w:val="24"/>
          <w:lang w:val="es-CR"/>
        </w:rPr>
      </w:pPr>
    </w:p>
    <w:p w14:paraId="3E0E6A23" w14:textId="1F57915F" w:rsidR="00D9745C" w:rsidRPr="004C4205" w:rsidRDefault="00D9745C" w:rsidP="00D6286C">
      <w:pPr>
        <w:pStyle w:val="Sinespaciado"/>
        <w:spacing w:line="360" w:lineRule="auto"/>
        <w:rPr>
          <w:rFonts w:ascii="Arial" w:hAnsi="Arial" w:cs="Arial"/>
          <w:sz w:val="24"/>
          <w:lang w:val="es-CR"/>
        </w:rPr>
      </w:pPr>
    </w:p>
    <w:p w14:paraId="7D70BA0E" w14:textId="72B7F6BA" w:rsidR="00D9745C" w:rsidRDefault="00D9745C" w:rsidP="00D6286C">
      <w:pPr>
        <w:pStyle w:val="Sinespaciado"/>
        <w:spacing w:line="360" w:lineRule="auto"/>
        <w:rPr>
          <w:rFonts w:ascii="Arial" w:hAnsi="Arial" w:cs="Arial"/>
          <w:sz w:val="24"/>
          <w:lang w:val="es-CR"/>
        </w:rPr>
      </w:pPr>
    </w:p>
    <w:p w14:paraId="168132D6" w14:textId="2FC15FA6" w:rsidR="004C4205" w:rsidRDefault="004C4205" w:rsidP="00D6286C">
      <w:pPr>
        <w:pStyle w:val="Sinespaciado"/>
        <w:spacing w:line="360" w:lineRule="auto"/>
        <w:rPr>
          <w:rFonts w:ascii="Arial" w:hAnsi="Arial" w:cs="Arial"/>
          <w:sz w:val="24"/>
          <w:lang w:val="es-CR"/>
        </w:rPr>
      </w:pPr>
    </w:p>
    <w:p w14:paraId="287F32BB" w14:textId="77777777" w:rsidR="004C4205" w:rsidRDefault="004C4205" w:rsidP="00D6286C">
      <w:pPr>
        <w:pStyle w:val="Sinespaciado"/>
        <w:spacing w:line="360" w:lineRule="auto"/>
        <w:rPr>
          <w:rFonts w:ascii="Arial" w:hAnsi="Arial" w:cs="Arial"/>
          <w:sz w:val="24"/>
          <w:lang w:val="es-CR"/>
        </w:rPr>
      </w:pPr>
    </w:p>
    <w:p w14:paraId="609C8795" w14:textId="6AEDB0ED" w:rsidR="00D9745C" w:rsidRDefault="00D9745C" w:rsidP="00D6286C">
      <w:pPr>
        <w:pStyle w:val="Sinespaciado"/>
        <w:spacing w:line="360" w:lineRule="auto"/>
        <w:rPr>
          <w:rFonts w:ascii="Arial" w:hAnsi="Arial" w:cs="Arial"/>
          <w:sz w:val="24"/>
          <w:lang w:val="es-CR"/>
        </w:rPr>
      </w:pPr>
    </w:p>
    <w:p w14:paraId="3BA95C79" w14:textId="57D80B11" w:rsidR="00436F61" w:rsidRDefault="00436F61" w:rsidP="00D6286C">
      <w:pPr>
        <w:pStyle w:val="Sinespaciado"/>
        <w:spacing w:line="360" w:lineRule="auto"/>
        <w:rPr>
          <w:rFonts w:ascii="Arial" w:hAnsi="Arial" w:cs="Arial"/>
          <w:sz w:val="24"/>
          <w:lang w:val="es-CR"/>
        </w:rPr>
      </w:pPr>
    </w:p>
    <w:p w14:paraId="162D67B7" w14:textId="77777777" w:rsidR="00436F61" w:rsidRDefault="00436F61" w:rsidP="00D6286C">
      <w:pPr>
        <w:pStyle w:val="Sinespaciado"/>
        <w:spacing w:line="360" w:lineRule="auto"/>
        <w:rPr>
          <w:rFonts w:ascii="Arial" w:hAnsi="Arial" w:cs="Arial"/>
          <w:sz w:val="24"/>
          <w:lang w:val="es-CR"/>
        </w:rPr>
      </w:pPr>
    </w:p>
    <w:p w14:paraId="752D4C46" w14:textId="4D0CC474" w:rsidR="00643CC2" w:rsidRDefault="00992B21" w:rsidP="00FC579F">
      <w:pPr>
        <w:jc w:val="center"/>
        <w:rPr>
          <w:b/>
          <w:color w:val="000000" w:themeColor="text1"/>
          <w:sz w:val="28"/>
        </w:rPr>
      </w:pPr>
      <w:r>
        <w:rPr>
          <w:b/>
          <w:color w:val="000000" w:themeColor="text1"/>
          <w:sz w:val="28"/>
        </w:rPr>
        <w:lastRenderedPageBreak/>
        <w:t>Tabla 2</w:t>
      </w:r>
      <w:r w:rsidR="00FC579F" w:rsidRPr="00FC579F">
        <w:rPr>
          <w:b/>
          <w:color w:val="000000" w:themeColor="text1"/>
          <w:sz w:val="28"/>
        </w:rPr>
        <w:t>.</w:t>
      </w:r>
      <w:r w:rsidR="00FC579F">
        <w:t xml:space="preserve"> </w:t>
      </w:r>
      <w:r w:rsidR="00FC579F">
        <w:rPr>
          <w:b/>
          <w:color w:val="000000" w:themeColor="text1"/>
          <w:sz w:val="28"/>
        </w:rPr>
        <w:t>Dirección Ejecutiva</w:t>
      </w:r>
    </w:p>
    <w:p w14:paraId="254A4009" w14:textId="77777777" w:rsidR="00436F61" w:rsidRPr="00643CC2" w:rsidRDefault="00436F61" w:rsidP="00FC579F">
      <w:pPr>
        <w:jc w:val="center"/>
      </w:pPr>
    </w:p>
    <w:tbl>
      <w:tblPr>
        <w:tblStyle w:val="Cuadrculadetablaclara"/>
        <w:tblW w:w="12931" w:type="dxa"/>
        <w:jc w:val="center"/>
        <w:tblLook w:val="04A0" w:firstRow="1" w:lastRow="0" w:firstColumn="1" w:lastColumn="0" w:noHBand="0" w:noVBand="1"/>
      </w:tblPr>
      <w:tblGrid>
        <w:gridCol w:w="645"/>
        <w:gridCol w:w="2819"/>
        <w:gridCol w:w="4682"/>
        <w:gridCol w:w="3697"/>
        <w:gridCol w:w="1088"/>
      </w:tblGrid>
      <w:tr w:rsidR="001617A5" w:rsidRPr="0014394D" w14:paraId="48D1C7CD" w14:textId="77777777" w:rsidTr="00F32E20">
        <w:trPr>
          <w:trHeight w:val="807"/>
          <w:tblHeader/>
          <w:jc w:val="center"/>
        </w:trPr>
        <w:tc>
          <w:tcPr>
            <w:tcW w:w="645" w:type="dxa"/>
            <w:shd w:val="clear" w:color="auto" w:fill="F2F2F2" w:themeFill="background1" w:themeFillShade="F2"/>
            <w:vAlign w:val="center"/>
          </w:tcPr>
          <w:p w14:paraId="60B73F7F" w14:textId="2094CDC8" w:rsidR="006D086C" w:rsidRPr="00F32E20" w:rsidRDefault="006D086C" w:rsidP="00FB0D41">
            <w:pPr>
              <w:spacing w:line="360" w:lineRule="auto"/>
              <w:jc w:val="center"/>
              <w:rPr>
                <w:b/>
                <w:color w:val="000000" w:themeColor="text1"/>
              </w:rPr>
            </w:pPr>
            <w:r w:rsidRPr="00F32E20">
              <w:rPr>
                <w:b/>
                <w:color w:val="000000" w:themeColor="text1"/>
              </w:rPr>
              <w:t>N°</w:t>
            </w:r>
          </w:p>
        </w:tc>
        <w:tc>
          <w:tcPr>
            <w:tcW w:w="2819" w:type="dxa"/>
            <w:shd w:val="clear" w:color="auto" w:fill="F2F2F2" w:themeFill="background1" w:themeFillShade="F2"/>
            <w:vAlign w:val="center"/>
          </w:tcPr>
          <w:p w14:paraId="2E966079" w14:textId="0A9AE2E2" w:rsidR="006D086C" w:rsidRPr="00F32E20" w:rsidRDefault="006D086C" w:rsidP="00FB0D41">
            <w:pPr>
              <w:spacing w:line="360" w:lineRule="auto"/>
              <w:jc w:val="center"/>
              <w:rPr>
                <w:b/>
                <w:color w:val="000000" w:themeColor="text1"/>
              </w:rPr>
            </w:pPr>
            <w:r w:rsidRPr="00F32E20">
              <w:rPr>
                <w:b/>
                <w:color w:val="000000" w:themeColor="text1"/>
              </w:rPr>
              <w:t>Riesgo</w:t>
            </w:r>
            <w:r w:rsidR="00E74C2B" w:rsidRPr="00F32E20">
              <w:rPr>
                <w:b/>
                <w:color w:val="000000" w:themeColor="text1"/>
              </w:rPr>
              <w:t>s</w:t>
            </w:r>
            <w:r w:rsidRPr="00F32E20">
              <w:rPr>
                <w:b/>
                <w:color w:val="000000" w:themeColor="text1"/>
              </w:rPr>
              <w:t xml:space="preserve"> estratégicos relevantes</w:t>
            </w:r>
          </w:p>
        </w:tc>
        <w:tc>
          <w:tcPr>
            <w:tcW w:w="4682" w:type="dxa"/>
            <w:shd w:val="clear" w:color="auto" w:fill="F2F2F2" w:themeFill="background1" w:themeFillShade="F2"/>
            <w:vAlign w:val="center"/>
          </w:tcPr>
          <w:p w14:paraId="59FFDC3F" w14:textId="77777777" w:rsidR="006D086C" w:rsidRPr="00F32E20" w:rsidRDefault="006D086C" w:rsidP="00FB0D41">
            <w:pPr>
              <w:spacing w:line="360" w:lineRule="auto"/>
              <w:jc w:val="center"/>
              <w:rPr>
                <w:b/>
                <w:color w:val="000000" w:themeColor="text1"/>
              </w:rPr>
            </w:pPr>
            <w:r w:rsidRPr="00F32E20">
              <w:rPr>
                <w:b/>
                <w:color w:val="000000" w:themeColor="text1"/>
              </w:rPr>
              <w:t>Principales causas</w:t>
            </w:r>
          </w:p>
        </w:tc>
        <w:tc>
          <w:tcPr>
            <w:tcW w:w="3697" w:type="dxa"/>
            <w:shd w:val="clear" w:color="auto" w:fill="F2F2F2" w:themeFill="background1" w:themeFillShade="F2"/>
            <w:vAlign w:val="center"/>
          </w:tcPr>
          <w:p w14:paraId="47B13201" w14:textId="77777777" w:rsidR="006D086C" w:rsidRPr="00F32E20" w:rsidRDefault="006D086C" w:rsidP="00FB0D41">
            <w:pPr>
              <w:spacing w:line="360" w:lineRule="auto"/>
              <w:jc w:val="center"/>
              <w:rPr>
                <w:b/>
                <w:color w:val="000000" w:themeColor="text1"/>
              </w:rPr>
            </w:pPr>
            <w:r w:rsidRPr="00F32E20">
              <w:rPr>
                <w:b/>
                <w:color w:val="000000" w:themeColor="text1"/>
              </w:rPr>
              <w:t>Principales consecuencias</w:t>
            </w:r>
          </w:p>
        </w:tc>
        <w:tc>
          <w:tcPr>
            <w:tcW w:w="1088" w:type="dxa"/>
            <w:shd w:val="clear" w:color="auto" w:fill="F2F2F2" w:themeFill="background1" w:themeFillShade="F2"/>
            <w:vAlign w:val="center"/>
          </w:tcPr>
          <w:p w14:paraId="73D83763" w14:textId="77777777" w:rsidR="006D086C" w:rsidRPr="00F32E20" w:rsidRDefault="006D086C" w:rsidP="00FB0D41">
            <w:pPr>
              <w:spacing w:line="360" w:lineRule="auto"/>
              <w:jc w:val="center"/>
              <w:rPr>
                <w:b/>
                <w:color w:val="000000" w:themeColor="text1"/>
              </w:rPr>
            </w:pPr>
            <w:r w:rsidRPr="00F32E20">
              <w:rPr>
                <w:b/>
                <w:color w:val="000000" w:themeColor="text1"/>
              </w:rPr>
              <w:t>Nivel</w:t>
            </w:r>
          </w:p>
        </w:tc>
      </w:tr>
      <w:tr w:rsidR="00E74C2B" w:rsidRPr="0014394D" w14:paraId="178B81D8" w14:textId="77777777" w:rsidTr="001617A5">
        <w:trPr>
          <w:cantSplit/>
          <w:trHeight w:val="2944"/>
          <w:jc w:val="center"/>
        </w:trPr>
        <w:tc>
          <w:tcPr>
            <w:tcW w:w="645" w:type="dxa"/>
            <w:textDirection w:val="btLr"/>
          </w:tcPr>
          <w:p w14:paraId="6FC0AC40" w14:textId="53E29462" w:rsidR="006D086C" w:rsidRPr="00465139" w:rsidRDefault="00B03556" w:rsidP="00FB0D41">
            <w:pPr>
              <w:spacing w:line="360" w:lineRule="auto"/>
              <w:ind w:left="113" w:right="113"/>
              <w:jc w:val="center"/>
              <w:rPr>
                <w:b/>
              </w:rPr>
            </w:pPr>
            <w:r>
              <w:rPr>
                <w:b/>
              </w:rPr>
              <w:t>R-DE</w:t>
            </w:r>
            <w:r w:rsidR="006D086C" w:rsidRPr="006D086C">
              <w:rPr>
                <w:b/>
              </w:rPr>
              <w:t>-01</w:t>
            </w:r>
          </w:p>
        </w:tc>
        <w:tc>
          <w:tcPr>
            <w:tcW w:w="2819" w:type="dxa"/>
            <w:vAlign w:val="center"/>
          </w:tcPr>
          <w:p w14:paraId="77B7920A" w14:textId="6F799CC0" w:rsidR="006D086C" w:rsidRPr="00855565" w:rsidRDefault="008A6F8F" w:rsidP="00855565">
            <w:pPr>
              <w:spacing w:line="360" w:lineRule="auto"/>
              <w:jc w:val="both"/>
              <w:rPr>
                <w:rFonts w:asciiTheme="minorHAnsi" w:hAnsiTheme="minorHAnsi"/>
                <w:b/>
              </w:rPr>
            </w:pPr>
            <w:r w:rsidRPr="00855565">
              <w:rPr>
                <w:rFonts w:asciiTheme="minorHAnsi" w:hAnsiTheme="minorHAnsi"/>
                <w:b/>
              </w:rPr>
              <w:t xml:space="preserve">Incumplimiento de los compromisos estratégicos institucionales </w:t>
            </w:r>
          </w:p>
        </w:tc>
        <w:tc>
          <w:tcPr>
            <w:tcW w:w="4682" w:type="dxa"/>
          </w:tcPr>
          <w:p w14:paraId="75BE5CCE" w14:textId="77777777" w:rsidR="001617A5" w:rsidRDefault="001617A5" w:rsidP="00FB0D41">
            <w:pPr>
              <w:spacing w:line="360" w:lineRule="auto"/>
              <w:jc w:val="both"/>
            </w:pPr>
          </w:p>
          <w:p w14:paraId="352E19A6" w14:textId="50A75480" w:rsidR="00F405BC" w:rsidRDefault="006D086C" w:rsidP="00FB0D41">
            <w:pPr>
              <w:spacing w:line="360" w:lineRule="auto"/>
              <w:jc w:val="both"/>
            </w:pPr>
            <w:r w:rsidRPr="00D6286C">
              <w:t xml:space="preserve">Entre las causas externas destacan la disminución de las fuentes de financiamiento, </w:t>
            </w:r>
            <w:r w:rsidR="00F32E20">
              <w:t xml:space="preserve">por un </w:t>
            </w:r>
            <w:r w:rsidRPr="00D6286C">
              <w:t>cambio en las priorida</w:t>
            </w:r>
            <w:r w:rsidR="00F32E20">
              <w:t xml:space="preserve">des del gobierno de turno, así como </w:t>
            </w:r>
            <w:r w:rsidRPr="00D6286C">
              <w:t xml:space="preserve">transformaciones políticas en el sector forestal. </w:t>
            </w:r>
          </w:p>
          <w:p w14:paraId="21047EC4" w14:textId="77777777" w:rsidR="001617A5" w:rsidRDefault="001617A5" w:rsidP="00FB0D41">
            <w:pPr>
              <w:spacing w:line="360" w:lineRule="auto"/>
              <w:jc w:val="both"/>
            </w:pPr>
          </w:p>
          <w:p w14:paraId="2AA6EDB2" w14:textId="77777777" w:rsidR="006D086C" w:rsidRDefault="006D086C" w:rsidP="00FB0D41">
            <w:pPr>
              <w:spacing w:line="360" w:lineRule="auto"/>
              <w:jc w:val="both"/>
            </w:pPr>
            <w:r w:rsidRPr="00D6286C">
              <w:t xml:space="preserve">En cuanto a los factores internos, se incluyen el </w:t>
            </w:r>
            <w:r w:rsidR="00974127">
              <w:t xml:space="preserve">posible </w:t>
            </w:r>
            <w:r w:rsidRPr="00D6286C">
              <w:t>incumplimiento de los programas sustantivos que responden a metas de planes nacionales, así como la aparición de incumplimientos en la programación y desarrollo de proyectos de tecnología de la información.</w:t>
            </w:r>
          </w:p>
          <w:p w14:paraId="586A93E0" w14:textId="00D5F1B9" w:rsidR="001617A5" w:rsidRPr="00D6286C" w:rsidRDefault="001617A5" w:rsidP="00FB0D41">
            <w:pPr>
              <w:spacing w:line="360" w:lineRule="auto"/>
              <w:jc w:val="both"/>
              <w:rPr>
                <w:b/>
              </w:rPr>
            </w:pPr>
          </w:p>
        </w:tc>
        <w:tc>
          <w:tcPr>
            <w:tcW w:w="3697" w:type="dxa"/>
            <w:vAlign w:val="center"/>
          </w:tcPr>
          <w:p w14:paraId="0BB7D72A" w14:textId="7A4AF37D" w:rsidR="006D086C" w:rsidRPr="00D6286C" w:rsidRDefault="006D086C" w:rsidP="001617A5">
            <w:pPr>
              <w:spacing w:line="360" w:lineRule="auto"/>
              <w:jc w:val="both"/>
            </w:pPr>
            <w:r w:rsidRPr="00D6286C">
              <w:t>Pérdida de confianza y credibilidad ante los grupos de interés y la sociedad, afectando la percepción del valor y la efectividad institucional.</w:t>
            </w:r>
          </w:p>
        </w:tc>
        <w:tc>
          <w:tcPr>
            <w:tcW w:w="1088" w:type="dxa"/>
            <w:shd w:val="clear" w:color="auto" w:fill="9BBB59" w:themeFill="accent3"/>
            <w:vAlign w:val="center"/>
          </w:tcPr>
          <w:p w14:paraId="26C6111E" w14:textId="3501E398" w:rsidR="006D086C" w:rsidRPr="0014394D" w:rsidRDefault="006D086C" w:rsidP="00FB0D41">
            <w:pPr>
              <w:spacing w:line="360" w:lineRule="auto"/>
              <w:jc w:val="center"/>
              <w:rPr>
                <w:b/>
              </w:rPr>
            </w:pPr>
            <w:r w:rsidRPr="00A64FFF">
              <w:rPr>
                <w:b/>
              </w:rPr>
              <w:t>Nivel de Riesgo Bajo</w:t>
            </w:r>
          </w:p>
        </w:tc>
      </w:tr>
      <w:tr w:rsidR="00E74C2B" w:rsidRPr="0014394D" w14:paraId="610CF30C" w14:textId="77777777" w:rsidTr="001617A5">
        <w:trPr>
          <w:cantSplit/>
          <w:trHeight w:val="1961"/>
          <w:jc w:val="center"/>
        </w:trPr>
        <w:tc>
          <w:tcPr>
            <w:tcW w:w="645" w:type="dxa"/>
            <w:textDirection w:val="btLr"/>
          </w:tcPr>
          <w:p w14:paraId="1D8D2010" w14:textId="3B964A74" w:rsidR="006D086C" w:rsidRPr="00465139" w:rsidRDefault="00B03556" w:rsidP="00FB0D41">
            <w:pPr>
              <w:spacing w:line="360" w:lineRule="auto"/>
              <w:ind w:left="113" w:right="113"/>
              <w:jc w:val="center"/>
              <w:rPr>
                <w:b/>
              </w:rPr>
            </w:pPr>
            <w:r>
              <w:rPr>
                <w:b/>
              </w:rPr>
              <w:lastRenderedPageBreak/>
              <w:t>R-DE</w:t>
            </w:r>
            <w:r w:rsidR="006D086C" w:rsidRPr="006D086C">
              <w:rPr>
                <w:b/>
              </w:rPr>
              <w:t>-02</w:t>
            </w:r>
          </w:p>
        </w:tc>
        <w:tc>
          <w:tcPr>
            <w:tcW w:w="2819" w:type="dxa"/>
            <w:vAlign w:val="center"/>
          </w:tcPr>
          <w:p w14:paraId="2192152F" w14:textId="53B479CF" w:rsidR="006D086C" w:rsidRPr="00855565" w:rsidRDefault="006D086C" w:rsidP="003D53AB">
            <w:pPr>
              <w:spacing w:line="360" w:lineRule="auto"/>
              <w:jc w:val="both"/>
              <w:rPr>
                <w:rFonts w:asciiTheme="minorHAnsi" w:hAnsiTheme="minorHAnsi"/>
                <w:b/>
              </w:rPr>
            </w:pPr>
            <w:r w:rsidRPr="00855565">
              <w:rPr>
                <w:rFonts w:asciiTheme="minorHAnsi" w:hAnsiTheme="minorHAnsi"/>
                <w:b/>
              </w:rPr>
              <w:t>Posibilidad de que ocurran actos de corrupción en los procesos de gestión institucional</w:t>
            </w:r>
            <w:r w:rsidR="002A3A20" w:rsidRPr="00855565">
              <w:rPr>
                <w:rFonts w:asciiTheme="minorHAnsi" w:hAnsiTheme="minorHAnsi"/>
                <w:b/>
              </w:rPr>
              <w:t>.</w:t>
            </w:r>
          </w:p>
        </w:tc>
        <w:tc>
          <w:tcPr>
            <w:tcW w:w="4682" w:type="dxa"/>
            <w:vAlign w:val="center"/>
          </w:tcPr>
          <w:p w14:paraId="7C436039" w14:textId="7482E2DC" w:rsidR="006D086C" w:rsidRPr="00D6286C" w:rsidRDefault="006D086C" w:rsidP="001617A5">
            <w:pPr>
              <w:spacing w:line="360" w:lineRule="auto"/>
              <w:jc w:val="both"/>
            </w:pPr>
            <w:r w:rsidRPr="00D6286C">
              <w:t>Entre las causas internas se encuentra la falta de operatividad de la Comisión de Ética, lo que limita a la institución en la gestión proactiva de situaciones que afectan su funcionamiento, así como la ausencia de una estrategia para incorporar la ética, la integridad y los valores en la cultura organiz</w:t>
            </w:r>
            <w:r w:rsidR="001617A5">
              <w:t>acional, así como i</w:t>
            </w:r>
            <w:r w:rsidR="001617A5" w:rsidRPr="001617A5">
              <w:t>ncumplimiento</w:t>
            </w:r>
            <w:r w:rsidR="001617A5">
              <w:t>s</w:t>
            </w:r>
            <w:r w:rsidR="001617A5" w:rsidRPr="001617A5">
              <w:t xml:space="preserve"> de los controles internos institucionales.</w:t>
            </w:r>
          </w:p>
        </w:tc>
        <w:tc>
          <w:tcPr>
            <w:tcW w:w="3697" w:type="dxa"/>
          </w:tcPr>
          <w:p w14:paraId="65DF8D5C" w14:textId="77777777" w:rsidR="00BB083B" w:rsidRDefault="00BB083B" w:rsidP="0062413A">
            <w:pPr>
              <w:spacing w:before="100" w:beforeAutospacing="1" w:after="100" w:afterAutospacing="1" w:line="360" w:lineRule="auto"/>
              <w:jc w:val="both"/>
            </w:pPr>
          </w:p>
          <w:p w14:paraId="79E4F9FB" w14:textId="416D8023" w:rsidR="006D086C" w:rsidRDefault="006D086C" w:rsidP="0062413A">
            <w:pPr>
              <w:spacing w:before="100" w:beforeAutospacing="1" w:after="100" w:afterAutospacing="1" w:line="360" w:lineRule="auto"/>
              <w:jc w:val="both"/>
            </w:pPr>
            <w:r w:rsidRPr="00D6286C">
              <w:t>Daño a la imagen y credibilidad</w:t>
            </w:r>
            <w:r w:rsidR="0062413A" w:rsidRPr="00D6286C">
              <w:t xml:space="preserve"> de la institución</w:t>
            </w:r>
            <w:r w:rsidRPr="00D6286C">
              <w:t>,</w:t>
            </w:r>
            <w:r w:rsidR="0062413A" w:rsidRPr="00D6286C">
              <w:t xml:space="preserve"> así como la</w:t>
            </w:r>
            <w:r w:rsidRPr="00D6286C">
              <w:t xml:space="preserve"> pérdida de confianza en programas sustantivos</w:t>
            </w:r>
            <w:r w:rsidR="0062413A" w:rsidRPr="00D6286C">
              <w:t>. P</w:t>
            </w:r>
            <w:r w:rsidRPr="00D6286C">
              <w:t xml:space="preserve">osibles sanciones legales o administrativas que afecten la operatividad de la institución, y </w:t>
            </w:r>
            <w:r w:rsidR="0062413A" w:rsidRPr="00D6286C">
              <w:t>la</w:t>
            </w:r>
            <w:r w:rsidRPr="00D6286C">
              <w:t xml:space="preserve"> suspensión de fondos o cooperación internacional por incumplimiento de estándares de transparencia y ética</w:t>
            </w:r>
            <w:r w:rsidR="0062413A" w:rsidRPr="00D6286C">
              <w:t>.</w:t>
            </w:r>
          </w:p>
          <w:p w14:paraId="3FCF54BB" w14:textId="0A019605" w:rsidR="001617A5" w:rsidRPr="00D6286C" w:rsidRDefault="001617A5" w:rsidP="0062413A">
            <w:pPr>
              <w:spacing w:before="100" w:beforeAutospacing="1" w:after="100" w:afterAutospacing="1" w:line="360" w:lineRule="auto"/>
              <w:jc w:val="both"/>
            </w:pPr>
          </w:p>
        </w:tc>
        <w:tc>
          <w:tcPr>
            <w:tcW w:w="1088" w:type="dxa"/>
            <w:shd w:val="clear" w:color="auto" w:fill="FFFFCD"/>
            <w:vAlign w:val="center"/>
          </w:tcPr>
          <w:p w14:paraId="0FF264AD" w14:textId="1AF4A953" w:rsidR="006D086C" w:rsidRPr="0014394D" w:rsidRDefault="00E74C2B" w:rsidP="00FB0D41">
            <w:pPr>
              <w:spacing w:line="360" w:lineRule="auto"/>
              <w:jc w:val="center"/>
              <w:rPr>
                <w:b/>
              </w:rPr>
            </w:pPr>
            <w:r>
              <w:rPr>
                <w:b/>
              </w:rPr>
              <w:t xml:space="preserve">Nivel de Riesgo </w:t>
            </w:r>
            <w:r w:rsidR="006D086C" w:rsidRPr="00A64FFF">
              <w:rPr>
                <w:b/>
              </w:rPr>
              <w:t>medio</w:t>
            </w:r>
          </w:p>
        </w:tc>
      </w:tr>
      <w:tr w:rsidR="00E74C2B" w:rsidRPr="0014394D" w14:paraId="763675F3" w14:textId="77777777" w:rsidTr="001617A5">
        <w:trPr>
          <w:cantSplit/>
          <w:trHeight w:val="1160"/>
          <w:jc w:val="center"/>
        </w:trPr>
        <w:tc>
          <w:tcPr>
            <w:tcW w:w="645" w:type="dxa"/>
            <w:textDirection w:val="btLr"/>
          </w:tcPr>
          <w:p w14:paraId="74671EA5" w14:textId="33682D17" w:rsidR="006D086C" w:rsidRPr="00465139" w:rsidRDefault="00B03556" w:rsidP="00FB0D41">
            <w:pPr>
              <w:spacing w:line="360" w:lineRule="auto"/>
              <w:ind w:left="113" w:right="113"/>
              <w:jc w:val="center"/>
              <w:rPr>
                <w:b/>
              </w:rPr>
            </w:pPr>
            <w:r>
              <w:rPr>
                <w:b/>
              </w:rPr>
              <w:lastRenderedPageBreak/>
              <w:t>R-DE</w:t>
            </w:r>
            <w:r w:rsidR="006D086C">
              <w:rPr>
                <w:b/>
              </w:rPr>
              <w:t>-03</w:t>
            </w:r>
          </w:p>
        </w:tc>
        <w:tc>
          <w:tcPr>
            <w:tcW w:w="2819" w:type="dxa"/>
            <w:vAlign w:val="center"/>
          </w:tcPr>
          <w:p w14:paraId="47DB5986" w14:textId="25D4FA2C" w:rsidR="006D086C" w:rsidRPr="00855565" w:rsidRDefault="006D086C" w:rsidP="003C02D8">
            <w:pPr>
              <w:spacing w:line="360" w:lineRule="auto"/>
              <w:jc w:val="both"/>
              <w:rPr>
                <w:rFonts w:asciiTheme="minorHAnsi" w:hAnsiTheme="minorHAnsi"/>
                <w:b/>
              </w:rPr>
            </w:pPr>
            <w:r w:rsidRPr="00855565">
              <w:rPr>
                <w:rFonts w:asciiTheme="minorHAnsi" w:hAnsiTheme="minorHAnsi"/>
                <w:b/>
              </w:rPr>
              <w:t>Posibilidad de vulnerabilidad</w:t>
            </w:r>
            <w:r w:rsidR="008A6F8F" w:rsidRPr="00855565">
              <w:rPr>
                <w:rFonts w:asciiTheme="minorHAnsi" w:hAnsiTheme="minorHAnsi"/>
                <w:b/>
              </w:rPr>
              <w:t>es</w:t>
            </w:r>
            <w:r w:rsidRPr="00855565">
              <w:rPr>
                <w:rFonts w:asciiTheme="minorHAnsi" w:hAnsiTheme="minorHAnsi"/>
                <w:b/>
              </w:rPr>
              <w:t xml:space="preserve"> en la plataforma tecnológica institucional.</w:t>
            </w:r>
          </w:p>
        </w:tc>
        <w:tc>
          <w:tcPr>
            <w:tcW w:w="4682" w:type="dxa"/>
          </w:tcPr>
          <w:p w14:paraId="4925BC62" w14:textId="77777777" w:rsidR="001617A5" w:rsidRDefault="001617A5" w:rsidP="00FB0D41">
            <w:pPr>
              <w:spacing w:line="360" w:lineRule="auto"/>
              <w:jc w:val="both"/>
            </w:pPr>
          </w:p>
          <w:p w14:paraId="5607CBE9" w14:textId="468DCE07" w:rsidR="00F405BC" w:rsidRDefault="006D086C" w:rsidP="00FB0D41">
            <w:pPr>
              <w:spacing w:line="360" w:lineRule="auto"/>
              <w:jc w:val="both"/>
            </w:pPr>
            <w:r w:rsidRPr="00D6286C">
              <w:t xml:space="preserve">Entre los factores externos se encuentran los ataques criminales de ciberseguridad y malware. </w:t>
            </w:r>
          </w:p>
          <w:p w14:paraId="2BE9C95B" w14:textId="77777777" w:rsidR="00F405BC" w:rsidRDefault="00F405BC" w:rsidP="00FB0D41">
            <w:pPr>
              <w:spacing w:line="360" w:lineRule="auto"/>
              <w:jc w:val="both"/>
            </w:pPr>
          </w:p>
          <w:p w14:paraId="0110CCE9" w14:textId="77777777" w:rsidR="006D086C" w:rsidRDefault="006D086C" w:rsidP="00FB0D41">
            <w:pPr>
              <w:spacing w:line="360" w:lineRule="auto"/>
              <w:jc w:val="both"/>
            </w:pPr>
            <w:r w:rsidRPr="00D6286C">
              <w:t>En cuanto a los factores internos, destacan los posibles incumplimientos en los controles establecidos en la política de seguridad, así como la falta de adquisición o los retrasos en la renovación de certificados y herramientas de seguridad para servidores, páginas web, antivirus, entre otros.</w:t>
            </w:r>
          </w:p>
          <w:p w14:paraId="4506320F" w14:textId="7F768672" w:rsidR="001617A5" w:rsidRPr="00D6286C" w:rsidRDefault="001617A5" w:rsidP="00FB0D41">
            <w:pPr>
              <w:spacing w:line="360" w:lineRule="auto"/>
              <w:jc w:val="both"/>
            </w:pPr>
          </w:p>
        </w:tc>
        <w:tc>
          <w:tcPr>
            <w:tcW w:w="3697" w:type="dxa"/>
            <w:vAlign w:val="center"/>
          </w:tcPr>
          <w:p w14:paraId="19BB5520" w14:textId="62ECE3C3" w:rsidR="006D086C" w:rsidRPr="00D6286C" w:rsidRDefault="006D086C" w:rsidP="00974127">
            <w:pPr>
              <w:spacing w:line="360" w:lineRule="auto"/>
              <w:jc w:val="both"/>
              <w:rPr>
                <w:b/>
              </w:rPr>
            </w:pPr>
            <w:r w:rsidRPr="00D6286C">
              <w:t>Pérdida o daño de información crítica para la opera</w:t>
            </w:r>
            <w:r w:rsidR="0062413A" w:rsidRPr="00D6286C">
              <w:t>ción y gestión de beneficiarios. Asimismo el</w:t>
            </w:r>
            <w:r w:rsidRPr="00D6286C">
              <w:t xml:space="preserve"> deterioro de la confianza y reputación institucional.</w:t>
            </w:r>
          </w:p>
        </w:tc>
        <w:tc>
          <w:tcPr>
            <w:tcW w:w="1088" w:type="dxa"/>
            <w:shd w:val="clear" w:color="auto" w:fill="FFC000"/>
            <w:vAlign w:val="center"/>
          </w:tcPr>
          <w:p w14:paraId="42BD60C6" w14:textId="207A07F6" w:rsidR="006D086C" w:rsidRPr="0014394D" w:rsidRDefault="00E74C2B" w:rsidP="00E74C2B">
            <w:pPr>
              <w:spacing w:line="360" w:lineRule="auto"/>
              <w:jc w:val="center"/>
              <w:rPr>
                <w:b/>
              </w:rPr>
            </w:pPr>
            <w:r>
              <w:rPr>
                <w:b/>
              </w:rPr>
              <w:t xml:space="preserve">Nivel de </w:t>
            </w:r>
            <w:r w:rsidR="00ED4395">
              <w:rPr>
                <w:b/>
              </w:rPr>
              <w:t>Riesgo</w:t>
            </w:r>
            <w:r w:rsidR="006D086C" w:rsidRPr="00A64FFF">
              <w:rPr>
                <w:b/>
              </w:rPr>
              <w:t xml:space="preserve"> alto</w:t>
            </w:r>
          </w:p>
        </w:tc>
      </w:tr>
      <w:tr w:rsidR="00E74C2B" w:rsidRPr="0014394D" w14:paraId="1C2D0D4F" w14:textId="77777777" w:rsidTr="001617A5">
        <w:trPr>
          <w:cantSplit/>
          <w:trHeight w:val="2144"/>
          <w:jc w:val="center"/>
        </w:trPr>
        <w:tc>
          <w:tcPr>
            <w:tcW w:w="645" w:type="dxa"/>
            <w:textDirection w:val="btLr"/>
          </w:tcPr>
          <w:p w14:paraId="758E8A81" w14:textId="2B0F4989" w:rsidR="006D086C" w:rsidRPr="00465139" w:rsidRDefault="00B03556" w:rsidP="00FB0D41">
            <w:pPr>
              <w:spacing w:line="360" w:lineRule="auto"/>
              <w:ind w:left="113" w:right="113"/>
              <w:jc w:val="center"/>
              <w:rPr>
                <w:b/>
              </w:rPr>
            </w:pPr>
            <w:r>
              <w:rPr>
                <w:b/>
              </w:rPr>
              <w:lastRenderedPageBreak/>
              <w:t>R-DE</w:t>
            </w:r>
            <w:r w:rsidR="006D086C" w:rsidRPr="006D086C">
              <w:rPr>
                <w:b/>
              </w:rPr>
              <w:t>-04</w:t>
            </w:r>
          </w:p>
        </w:tc>
        <w:tc>
          <w:tcPr>
            <w:tcW w:w="2819" w:type="dxa"/>
            <w:vAlign w:val="center"/>
          </w:tcPr>
          <w:p w14:paraId="2026AE07" w14:textId="330F85D8" w:rsidR="006D086C" w:rsidRPr="00855565" w:rsidRDefault="006D086C" w:rsidP="003C02D8">
            <w:pPr>
              <w:spacing w:line="360" w:lineRule="auto"/>
              <w:jc w:val="both"/>
              <w:rPr>
                <w:rFonts w:asciiTheme="minorHAnsi" w:hAnsiTheme="minorHAnsi"/>
                <w:b/>
              </w:rPr>
            </w:pPr>
            <w:r w:rsidRPr="00855565">
              <w:rPr>
                <w:rFonts w:asciiTheme="minorHAnsi" w:hAnsiTheme="minorHAnsi"/>
                <w:b/>
              </w:rPr>
              <w:t>Posibilidad de presentar problemas o daños en la plataforma tecnológica institucional.</w:t>
            </w:r>
          </w:p>
          <w:p w14:paraId="6E712385" w14:textId="77777777" w:rsidR="006D086C" w:rsidRDefault="006D086C" w:rsidP="0062413A">
            <w:pPr>
              <w:spacing w:line="360" w:lineRule="auto"/>
              <w:jc w:val="center"/>
              <w:rPr>
                <w:b/>
              </w:rPr>
            </w:pPr>
          </w:p>
          <w:p w14:paraId="2B54BEC5" w14:textId="4ACE7BD3" w:rsidR="006D086C" w:rsidRPr="00465139" w:rsidRDefault="006D086C" w:rsidP="0062413A">
            <w:pPr>
              <w:spacing w:line="360" w:lineRule="auto"/>
              <w:jc w:val="center"/>
              <w:rPr>
                <w:b/>
              </w:rPr>
            </w:pPr>
          </w:p>
        </w:tc>
        <w:tc>
          <w:tcPr>
            <w:tcW w:w="4682" w:type="dxa"/>
          </w:tcPr>
          <w:p w14:paraId="6A1EE984" w14:textId="77777777" w:rsidR="001617A5" w:rsidRDefault="001617A5" w:rsidP="00FB0D41">
            <w:pPr>
              <w:spacing w:line="360" w:lineRule="auto"/>
              <w:jc w:val="both"/>
            </w:pPr>
          </w:p>
          <w:p w14:paraId="3B563C4C" w14:textId="2A005739" w:rsidR="00F405BC" w:rsidRDefault="006D086C" w:rsidP="00FB0D41">
            <w:pPr>
              <w:spacing w:line="360" w:lineRule="auto"/>
              <w:jc w:val="both"/>
            </w:pPr>
            <w:r w:rsidRPr="00D6286C">
              <w:t>A nivel externo, se identifican factores como la aparición fallas en el suministro eléctrico o de internet, así como la asignación limitada de presupuesto para cubrir repuestos de servidores y equipos esenciales</w:t>
            </w:r>
            <w:r w:rsidR="0062413A" w:rsidRPr="00D6286C">
              <w:t xml:space="preserve"> de manera oportuna</w:t>
            </w:r>
            <w:r w:rsidRPr="00D6286C">
              <w:t xml:space="preserve">. </w:t>
            </w:r>
          </w:p>
          <w:p w14:paraId="0C4B14A7" w14:textId="77777777" w:rsidR="00F405BC" w:rsidRDefault="00F405BC" w:rsidP="00FB0D41">
            <w:pPr>
              <w:spacing w:line="360" w:lineRule="auto"/>
              <w:jc w:val="both"/>
            </w:pPr>
          </w:p>
          <w:p w14:paraId="6159460C" w14:textId="50B6EADE" w:rsidR="006D086C" w:rsidRDefault="006D086C" w:rsidP="00FB0D41">
            <w:pPr>
              <w:spacing w:line="360" w:lineRule="auto"/>
              <w:jc w:val="both"/>
            </w:pPr>
            <w:r w:rsidRPr="00D6286C">
              <w:t>A nivel interno, se consideran posibles fallas en los equipos de enfriamiento y en el tablero electrónico de la sala de servidores, así como daños o desactualizaciones en la plataforma e infraestructura tecnológica.</w:t>
            </w:r>
          </w:p>
          <w:p w14:paraId="145D3924" w14:textId="77777777" w:rsidR="001617A5" w:rsidRPr="00D6286C" w:rsidRDefault="001617A5" w:rsidP="00FB0D41">
            <w:pPr>
              <w:spacing w:line="360" w:lineRule="auto"/>
              <w:jc w:val="both"/>
              <w:rPr>
                <w:b/>
              </w:rPr>
            </w:pPr>
          </w:p>
          <w:p w14:paraId="6D2761F5" w14:textId="5FD3F48A" w:rsidR="006D086C" w:rsidRPr="00D6286C" w:rsidRDefault="006D086C" w:rsidP="00FB0D41">
            <w:pPr>
              <w:spacing w:line="360" w:lineRule="auto"/>
              <w:jc w:val="center"/>
              <w:rPr>
                <w:b/>
              </w:rPr>
            </w:pPr>
          </w:p>
        </w:tc>
        <w:tc>
          <w:tcPr>
            <w:tcW w:w="3697" w:type="dxa"/>
            <w:vAlign w:val="center"/>
          </w:tcPr>
          <w:p w14:paraId="1AE5DE68" w14:textId="510C03AD" w:rsidR="006D086C" w:rsidRPr="00D6286C" w:rsidRDefault="006D086C" w:rsidP="00974127">
            <w:pPr>
              <w:spacing w:line="360" w:lineRule="auto"/>
              <w:jc w:val="both"/>
              <w:rPr>
                <w:b/>
              </w:rPr>
            </w:pPr>
            <w:r w:rsidRPr="00D6286C">
              <w:t>Daños o vulnerabilidades en la infraestructura y plataformas tecnológicas, interrupciones en servicios críticos y pérdida de información institucional generando un incrementando las inconformidades de los clientes.</w:t>
            </w:r>
          </w:p>
        </w:tc>
        <w:tc>
          <w:tcPr>
            <w:tcW w:w="1088" w:type="dxa"/>
            <w:shd w:val="clear" w:color="auto" w:fill="FFFFCD"/>
            <w:vAlign w:val="center"/>
          </w:tcPr>
          <w:p w14:paraId="7F91EC8E" w14:textId="71A8B69F" w:rsidR="006D086C" w:rsidRPr="0014394D" w:rsidRDefault="00E74C2B" w:rsidP="00E74C2B">
            <w:pPr>
              <w:spacing w:line="360" w:lineRule="auto"/>
              <w:jc w:val="center"/>
              <w:rPr>
                <w:b/>
              </w:rPr>
            </w:pPr>
            <w:r>
              <w:rPr>
                <w:b/>
              </w:rPr>
              <w:t>Nivel de Riesgo</w:t>
            </w:r>
            <w:r w:rsidR="006D086C" w:rsidRPr="00A64FFF">
              <w:rPr>
                <w:b/>
              </w:rPr>
              <w:t xml:space="preserve"> medio</w:t>
            </w:r>
          </w:p>
        </w:tc>
      </w:tr>
    </w:tbl>
    <w:p w14:paraId="5B57CD01" w14:textId="77777777" w:rsidR="00ED4B03" w:rsidRDefault="00ED4B03" w:rsidP="00FC579F">
      <w:pPr>
        <w:jc w:val="center"/>
        <w:rPr>
          <w:b/>
          <w:color w:val="000000" w:themeColor="text1"/>
          <w:sz w:val="28"/>
        </w:rPr>
      </w:pPr>
    </w:p>
    <w:p w14:paraId="5A23CBA1" w14:textId="03D116EB" w:rsidR="00B03556" w:rsidRDefault="00B03556" w:rsidP="00FC579F">
      <w:pPr>
        <w:jc w:val="center"/>
        <w:rPr>
          <w:b/>
          <w:color w:val="000000" w:themeColor="text1"/>
          <w:sz w:val="28"/>
        </w:rPr>
      </w:pPr>
    </w:p>
    <w:p w14:paraId="0768EBFF" w14:textId="69B4FCA4" w:rsidR="00D6286C" w:rsidRDefault="00D6286C" w:rsidP="00FC579F">
      <w:pPr>
        <w:jc w:val="center"/>
        <w:rPr>
          <w:b/>
          <w:color w:val="000000" w:themeColor="text1"/>
          <w:sz w:val="28"/>
        </w:rPr>
      </w:pPr>
    </w:p>
    <w:p w14:paraId="5F4D1F41" w14:textId="3B558E75" w:rsidR="00436F61" w:rsidRDefault="00436F61" w:rsidP="00FC579F">
      <w:pPr>
        <w:jc w:val="center"/>
        <w:rPr>
          <w:b/>
          <w:color w:val="000000" w:themeColor="text1"/>
          <w:sz w:val="28"/>
        </w:rPr>
      </w:pPr>
    </w:p>
    <w:p w14:paraId="5C47047B" w14:textId="2EFE082D" w:rsidR="00436F61" w:rsidRDefault="00436F61" w:rsidP="00FC579F">
      <w:pPr>
        <w:jc w:val="center"/>
        <w:rPr>
          <w:b/>
          <w:color w:val="000000" w:themeColor="text1"/>
          <w:sz w:val="28"/>
        </w:rPr>
      </w:pPr>
    </w:p>
    <w:p w14:paraId="628C734C" w14:textId="6317F4ED" w:rsidR="00436F61" w:rsidRDefault="00436F61" w:rsidP="00FC579F">
      <w:pPr>
        <w:jc w:val="center"/>
        <w:rPr>
          <w:b/>
          <w:color w:val="000000" w:themeColor="text1"/>
          <w:sz w:val="28"/>
        </w:rPr>
      </w:pPr>
    </w:p>
    <w:p w14:paraId="291C10A0" w14:textId="77777777" w:rsidR="00436F61" w:rsidRDefault="00436F61" w:rsidP="00FC579F">
      <w:pPr>
        <w:jc w:val="center"/>
        <w:rPr>
          <w:b/>
          <w:color w:val="000000" w:themeColor="text1"/>
          <w:sz w:val="28"/>
        </w:rPr>
      </w:pPr>
    </w:p>
    <w:p w14:paraId="7406AA24" w14:textId="511CE330" w:rsidR="00D6286C" w:rsidRDefault="00D6286C" w:rsidP="00FC579F">
      <w:pPr>
        <w:jc w:val="center"/>
        <w:rPr>
          <w:b/>
          <w:color w:val="000000" w:themeColor="text1"/>
          <w:sz w:val="28"/>
        </w:rPr>
      </w:pPr>
    </w:p>
    <w:p w14:paraId="69B21AF3" w14:textId="7E3B98F9" w:rsidR="00146FC0" w:rsidRDefault="00992B21" w:rsidP="00FC579F">
      <w:pPr>
        <w:jc w:val="center"/>
        <w:rPr>
          <w:b/>
          <w:color w:val="000000" w:themeColor="text1"/>
          <w:sz w:val="28"/>
        </w:rPr>
      </w:pPr>
      <w:r>
        <w:rPr>
          <w:b/>
          <w:color w:val="000000" w:themeColor="text1"/>
          <w:sz w:val="28"/>
        </w:rPr>
        <w:lastRenderedPageBreak/>
        <w:t>Tabla 3</w:t>
      </w:r>
      <w:r w:rsidR="00FC579F" w:rsidRPr="00FC579F">
        <w:rPr>
          <w:b/>
          <w:color w:val="000000" w:themeColor="text1"/>
          <w:sz w:val="28"/>
        </w:rPr>
        <w:t>. Dirección administrativa Financiera</w:t>
      </w:r>
    </w:p>
    <w:p w14:paraId="28B065CB" w14:textId="77777777" w:rsidR="00436F61" w:rsidRDefault="00436F61" w:rsidP="00FC579F">
      <w:pPr>
        <w:jc w:val="center"/>
        <w:rPr>
          <w:b/>
          <w:color w:val="000000" w:themeColor="text1"/>
          <w:sz w:val="28"/>
        </w:rPr>
      </w:pPr>
    </w:p>
    <w:tbl>
      <w:tblPr>
        <w:tblStyle w:val="Tablaconcuadrcula"/>
        <w:tblW w:w="13080"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B0D87A"/>
        <w:tblLook w:val="04A0" w:firstRow="1" w:lastRow="0" w:firstColumn="1" w:lastColumn="0" w:noHBand="0" w:noVBand="1"/>
      </w:tblPr>
      <w:tblGrid>
        <w:gridCol w:w="719"/>
        <w:gridCol w:w="2967"/>
        <w:gridCol w:w="5226"/>
        <w:gridCol w:w="2995"/>
        <w:gridCol w:w="1173"/>
      </w:tblGrid>
      <w:tr w:rsidR="00E74C2B" w:rsidRPr="006D1DAA" w14:paraId="58344D18" w14:textId="77777777" w:rsidTr="00A76BC0">
        <w:trPr>
          <w:trHeight w:val="94"/>
          <w:tblHeader/>
        </w:trPr>
        <w:tc>
          <w:tcPr>
            <w:tcW w:w="719" w:type="dxa"/>
            <w:shd w:val="clear" w:color="auto" w:fill="808080"/>
            <w:vAlign w:val="center"/>
          </w:tcPr>
          <w:p w14:paraId="130A0A0C" w14:textId="03B060BE" w:rsidR="00ED4B03" w:rsidRPr="00E74C2B" w:rsidRDefault="00ED4B03" w:rsidP="00A76BC0">
            <w:pPr>
              <w:spacing w:line="360" w:lineRule="auto"/>
              <w:jc w:val="center"/>
              <w:rPr>
                <w:rFonts w:eastAsia="MS Mincho"/>
                <w:b/>
                <w:color w:val="FFFFFF"/>
              </w:rPr>
            </w:pPr>
            <w:r w:rsidRPr="00E74C2B">
              <w:rPr>
                <w:rFonts w:eastAsia="MS Mincho"/>
                <w:b/>
                <w:color w:val="FFFFFF"/>
              </w:rPr>
              <w:t>N°</w:t>
            </w:r>
          </w:p>
        </w:tc>
        <w:tc>
          <w:tcPr>
            <w:tcW w:w="2967" w:type="dxa"/>
            <w:shd w:val="clear" w:color="auto" w:fill="808080"/>
            <w:vAlign w:val="center"/>
          </w:tcPr>
          <w:p w14:paraId="03303911" w14:textId="23F765E2" w:rsidR="00ED4B03" w:rsidRPr="00E74C2B" w:rsidRDefault="00ED4B03" w:rsidP="00E74C2B">
            <w:pPr>
              <w:spacing w:line="360" w:lineRule="auto"/>
              <w:jc w:val="center"/>
              <w:rPr>
                <w:rFonts w:ascii="Cambria" w:eastAsia="MS Mincho" w:hAnsi="Cambria"/>
                <w:b/>
              </w:rPr>
            </w:pPr>
            <w:r w:rsidRPr="00E74C2B">
              <w:rPr>
                <w:rFonts w:eastAsia="MS Mincho"/>
                <w:b/>
                <w:color w:val="FFFFFF"/>
              </w:rPr>
              <w:t>Riesgo</w:t>
            </w:r>
            <w:r w:rsidR="00E74C2B" w:rsidRPr="00E74C2B">
              <w:rPr>
                <w:rFonts w:eastAsia="MS Mincho"/>
                <w:b/>
                <w:color w:val="FFFFFF"/>
              </w:rPr>
              <w:t>s</w:t>
            </w:r>
            <w:r w:rsidRPr="00E74C2B">
              <w:rPr>
                <w:rFonts w:eastAsia="MS Mincho"/>
                <w:b/>
                <w:color w:val="FFFFFF"/>
              </w:rPr>
              <w:t xml:space="preserve"> estratégicos relevantes</w:t>
            </w:r>
          </w:p>
        </w:tc>
        <w:tc>
          <w:tcPr>
            <w:tcW w:w="5226" w:type="dxa"/>
            <w:shd w:val="clear" w:color="auto" w:fill="808080"/>
            <w:vAlign w:val="center"/>
          </w:tcPr>
          <w:p w14:paraId="6C09F852" w14:textId="77777777" w:rsidR="00ED4B03" w:rsidRPr="00E74C2B" w:rsidRDefault="00ED4B03" w:rsidP="00E74C2B">
            <w:pPr>
              <w:spacing w:line="360" w:lineRule="auto"/>
              <w:jc w:val="center"/>
              <w:rPr>
                <w:rFonts w:ascii="Cambria" w:eastAsia="MS Mincho" w:hAnsi="Cambria"/>
              </w:rPr>
            </w:pPr>
            <w:r w:rsidRPr="00E74C2B">
              <w:rPr>
                <w:rFonts w:eastAsia="MS Mincho"/>
                <w:b/>
                <w:color w:val="FFFFFF"/>
              </w:rPr>
              <w:t>Principales causas</w:t>
            </w:r>
          </w:p>
        </w:tc>
        <w:tc>
          <w:tcPr>
            <w:tcW w:w="2995" w:type="dxa"/>
            <w:shd w:val="clear" w:color="auto" w:fill="808080"/>
            <w:vAlign w:val="center"/>
          </w:tcPr>
          <w:p w14:paraId="55885601" w14:textId="77777777" w:rsidR="00ED4B03" w:rsidRPr="00E74C2B" w:rsidRDefault="00ED4B03" w:rsidP="00E74C2B">
            <w:pPr>
              <w:spacing w:line="360" w:lineRule="auto"/>
              <w:jc w:val="center"/>
              <w:rPr>
                <w:rFonts w:ascii="Cambria" w:eastAsia="MS Mincho" w:hAnsi="Cambria"/>
              </w:rPr>
            </w:pPr>
            <w:r w:rsidRPr="00E74C2B">
              <w:rPr>
                <w:rFonts w:eastAsia="MS Mincho"/>
                <w:b/>
                <w:color w:val="FFFFFF"/>
              </w:rPr>
              <w:t>Principales consecuencias</w:t>
            </w:r>
          </w:p>
        </w:tc>
        <w:tc>
          <w:tcPr>
            <w:tcW w:w="1173" w:type="dxa"/>
            <w:shd w:val="clear" w:color="auto" w:fill="808080"/>
            <w:vAlign w:val="center"/>
          </w:tcPr>
          <w:p w14:paraId="6A584AA3" w14:textId="77777777" w:rsidR="00ED4B03" w:rsidRPr="00E74C2B" w:rsidRDefault="00ED4B03" w:rsidP="00E74C2B">
            <w:pPr>
              <w:spacing w:line="360" w:lineRule="auto"/>
              <w:jc w:val="center"/>
              <w:rPr>
                <w:rFonts w:eastAsia="MS Mincho"/>
                <w:b/>
              </w:rPr>
            </w:pPr>
            <w:r w:rsidRPr="00E74C2B">
              <w:rPr>
                <w:rFonts w:eastAsia="MS Mincho"/>
                <w:b/>
                <w:color w:val="FFFFFF"/>
              </w:rPr>
              <w:t>Nivel</w:t>
            </w:r>
          </w:p>
        </w:tc>
      </w:tr>
      <w:tr w:rsidR="00E74C2B" w:rsidRPr="006D1DAA" w14:paraId="7E7E50B9" w14:textId="77777777" w:rsidTr="00BB083B">
        <w:trPr>
          <w:cantSplit/>
          <w:trHeight w:val="1258"/>
        </w:trPr>
        <w:tc>
          <w:tcPr>
            <w:tcW w:w="719" w:type="dxa"/>
            <w:shd w:val="clear" w:color="auto" w:fill="FFFFFF"/>
            <w:textDirection w:val="btLr"/>
          </w:tcPr>
          <w:p w14:paraId="697E718D" w14:textId="603DB2D7" w:rsidR="00ED4B03" w:rsidRPr="006D1DAA" w:rsidRDefault="00ED4B03" w:rsidP="00FB0D41">
            <w:pPr>
              <w:spacing w:line="360" w:lineRule="auto"/>
              <w:ind w:right="113" w:hanging="48"/>
              <w:jc w:val="center"/>
              <w:rPr>
                <w:rFonts w:ascii="Cambria" w:eastAsia="MS Mincho" w:hAnsi="Cambria"/>
                <w:b/>
              </w:rPr>
            </w:pPr>
            <w:r w:rsidRPr="00ED4B03">
              <w:rPr>
                <w:rFonts w:ascii="Cambria" w:eastAsia="MS Mincho" w:hAnsi="Cambria"/>
                <w:b/>
              </w:rPr>
              <w:t>R-DAF-05</w:t>
            </w:r>
          </w:p>
        </w:tc>
        <w:tc>
          <w:tcPr>
            <w:tcW w:w="2967" w:type="dxa"/>
            <w:shd w:val="clear" w:color="auto" w:fill="FFFFFF"/>
            <w:vAlign w:val="center"/>
          </w:tcPr>
          <w:p w14:paraId="32D71447" w14:textId="2C0E895C" w:rsidR="00ED4B03" w:rsidRPr="006D1DAA" w:rsidRDefault="00ED4B03" w:rsidP="008A6F8F">
            <w:pPr>
              <w:spacing w:line="360" w:lineRule="auto"/>
              <w:ind w:hanging="48"/>
              <w:jc w:val="both"/>
              <w:rPr>
                <w:rFonts w:ascii="Cambria" w:eastAsia="MS Mincho" w:hAnsi="Cambria"/>
                <w:b/>
              </w:rPr>
            </w:pPr>
            <w:r w:rsidRPr="006D1DAA">
              <w:rPr>
                <w:rFonts w:ascii="Cambria" w:eastAsia="MS Mincho" w:hAnsi="Cambria"/>
                <w:b/>
              </w:rPr>
              <w:t>Disminución de la capacidad financiera para cumplir con lo</w:t>
            </w:r>
            <w:r w:rsidR="00A44CE6">
              <w:rPr>
                <w:rFonts w:ascii="Cambria" w:eastAsia="MS Mincho" w:hAnsi="Cambria"/>
                <w:b/>
              </w:rPr>
              <w:t xml:space="preserve">s </w:t>
            </w:r>
            <w:r w:rsidR="008A6F8F">
              <w:rPr>
                <w:rFonts w:ascii="Cambria" w:eastAsia="MS Mincho" w:hAnsi="Cambria"/>
                <w:b/>
              </w:rPr>
              <w:t xml:space="preserve">compromisos institucionales. </w:t>
            </w:r>
          </w:p>
        </w:tc>
        <w:tc>
          <w:tcPr>
            <w:tcW w:w="5226" w:type="dxa"/>
            <w:shd w:val="clear" w:color="auto" w:fill="FFFFFF"/>
            <w:vAlign w:val="center"/>
          </w:tcPr>
          <w:p w14:paraId="5E8F0069" w14:textId="77777777" w:rsidR="001617A5" w:rsidRPr="00F32E20" w:rsidRDefault="001617A5" w:rsidP="00FB0D41">
            <w:pPr>
              <w:spacing w:line="360" w:lineRule="auto"/>
              <w:jc w:val="both"/>
              <w:rPr>
                <w:rFonts w:eastAsia="MS Mincho"/>
              </w:rPr>
            </w:pPr>
          </w:p>
          <w:p w14:paraId="5DE2DB81" w14:textId="2ED5E3C0" w:rsidR="00F405BC" w:rsidRPr="00F32E20" w:rsidRDefault="00ED4B03" w:rsidP="00FB0D41">
            <w:pPr>
              <w:spacing w:line="360" w:lineRule="auto"/>
              <w:jc w:val="both"/>
              <w:rPr>
                <w:rFonts w:eastAsia="MS Mincho"/>
              </w:rPr>
            </w:pPr>
            <w:r w:rsidRPr="00F32E20">
              <w:rPr>
                <w:rFonts w:eastAsia="MS Mincho"/>
              </w:rPr>
              <w:t xml:space="preserve">Las causas externas incluyen </w:t>
            </w:r>
            <w:r w:rsidR="00A44CE6" w:rsidRPr="00F32E20">
              <w:rPr>
                <w:rFonts w:eastAsia="MS Mincho"/>
              </w:rPr>
              <w:t xml:space="preserve">posibles </w:t>
            </w:r>
            <w:r w:rsidRPr="00F32E20">
              <w:rPr>
                <w:rFonts w:eastAsia="MS Mincho"/>
              </w:rPr>
              <w:t>situaciones como crisis fina</w:t>
            </w:r>
            <w:r w:rsidR="00F405BC" w:rsidRPr="00F32E20">
              <w:rPr>
                <w:rFonts w:eastAsia="MS Mincho"/>
              </w:rPr>
              <w:t>ncieras o recesiones económicas;</w:t>
            </w:r>
            <w:r w:rsidRPr="00F32E20">
              <w:rPr>
                <w:rFonts w:eastAsia="MS Mincho"/>
              </w:rPr>
              <w:t xml:space="preserve"> asignaciones presupuestarias insuficientes por par</w:t>
            </w:r>
            <w:r w:rsidR="00F405BC" w:rsidRPr="00F32E20">
              <w:rPr>
                <w:rFonts w:eastAsia="MS Mincho"/>
              </w:rPr>
              <w:t>te del Ministerio de Hacienda;</w:t>
            </w:r>
            <w:r w:rsidRPr="00F32E20">
              <w:rPr>
                <w:rFonts w:eastAsia="MS Mincho"/>
              </w:rPr>
              <w:t xml:space="preserve"> cambios en leyes o políticas que limiten la gestión de recursos mediante el fideicomiso o afecten la comercialización de servicios ambientales y los mercados de créditos de carbono. </w:t>
            </w:r>
          </w:p>
          <w:p w14:paraId="5A425651" w14:textId="77777777" w:rsidR="00F405BC" w:rsidRPr="00F32E20" w:rsidRDefault="00F405BC" w:rsidP="00FB0D41">
            <w:pPr>
              <w:spacing w:line="360" w:lineRule="auto"/>
              <w:jc w:val="both"/>
              <w:rPr>
                <w:rFonts w:eastAsia="MS Mincho"/>
              </w:rPr>
            </w:pPr>
          </w:p>
          <w:p w14:paraId="314CE49A" w14:textId="77777777" w:rsidR="00ED4B03" w:rsidRPr="00F32E20" w:rsidRDefault="00ED4B03" w:rsidP="00FB0D41">
            <w:pPr>
              <w:spacing w:line="360" w:lineRule="auto"/>
              <w:jc w:val="both"/>
              <w:rPr>
                <w:rFonts w:eastAsia="MS Mincho"/>
              </w:rPr>
            </w:pPr>
            <w:r w:rsidRPr="00F32E20">
              <w:rPr>
                <w:rFonts w:eastAsia="MS Mincho"/>
              </w:rPr>
              <w:t xml:space="preserve">Como causa interna, la </w:t>
            </w:r>
            <w:r w:rsidR="0062413A" w:rsidRPr="00F32E20">
              <w:rPr>
                <w:rFonts w:eastAsia="MS Mincho"/>
              </w:rPr>
              <w:t>disminución</w:t>
            </w:r>
            <w:r w:rsidRPr="00F32E20">
              <w:rPr>
                <w:rFonts w:eastAsia="MS Mincho"/>
              </w:rPr>
              <w:t xml:space="preserve"> en l</w:t>
            </w:r>
            <w:r w:rsidR="0062413A" w:rsidRPr="00F32E20">
              <w:rPr>
                <w:rFonts w:eastAsia="MS Mincho"/>
              </w:rPr>
              <w:t xml:space="preserve">a ejecución presupuestaria y la atracción de recursos adicionales por medio de </w:t>
            </w:r>
            <w:r w:rsidRPr="00F32E20">
              <w:rPr>
                <w:rFonts w:eastAsia="MS Mincho"/>
              </w:rPr>
              <w:t xml:space="preserve">las actividades de comercialización de servicios ambientales, créditos de </w:t>
            </w:r>
            <w:r w:rsidR="0062413A" w:rsidRPr="00F32E20">
              <w:rPr>
                <w:rFonts w:eastAsia="MS Mincho"/>
              </w:rPr>
              <w:t>carbono, entre otros.</w:t>
            </w:r>
            <w:r w:rsidRPr="00F32E20">
              <w:rPr>
                <w:rFonts w:eastAsia="MS Mincho"/>
              </w:rPr>
              <w:t xml:space="preserve"> </w:t>
            </w:r>
          </w:p>
          <w:p w14:paraId="0C631D9E" w14:textId="26DAC1E3" w:rsidR="001617A5" w:rsidRPr="00F32E20" w:rsidRDefault="001617A5" w:rsidP="00FB0D41">
            <w:pPr>
              <w:spacing w:line="360" w:lineRule="auto"/>
              <w:jc w:val="both"/>
              <w:rPr>
                <w:rFonts w:eastAsia="MS Mincho"/>
              </w:rPr>
            </w:pPr>
          </w:p>
        </w:tc>
        <w:tc>
          <w:tcPr>
            <w:tcW w:w="2995" w:type="dxa"/>
            <w:shd w:val="clear" w:color="auto" w:fill="FFFFFF"/>
            <w:vAlign w:val="center"/>
          </w:tcPr>
          <w:p w14:paraId="5173F4F7" w14:textId="51C5ADBF" w:rsidR="00ED4B03" w:rsidRPr="00F32E20" w:rsidRDefault="00ED4B03" w:rsidP="00FB0D41">
            <w:pPr>
              <w:spacing w:line="360" w:lineRule="auto"/>
              <w:jc w:val="both"/>
              <w:rPr>
                <w:rFonts w:eastAsia="MS Mincho"/>
              </w:rPr>
            </w:pPr>
            <w:r w:rsidRPr="00F32E20">
              <w:rPr>
                <w:rFonts w:eastAsia="MS Mincho"/>
              </w:rPr>
              <w:t>Incumplimiento de obligaciones financieras, metas institucionales y compromisos intern</w:t>
            </w:r>
            <w:r w:rsidR="0062413A" w:rsidRPr="00F32E20">
              <w:rPr>
                <w:rFonts w:eastAsia="MS Mincho"/>
              </w:rPr>
              <w:t>acionales, pérdida de confianza y</w:t>
            </w:r>
            <w:r w:rsidRPr="00F32E20">
              <w:rPr>
                <w:rFonts w:eastAsia="MS Mincho"/>
              </w:rPr>
              <w:t xml:space="preserve"> daño reputacional</w:t>
            </w:r>
            <w:r w:rsidR="0062413A" w:rsidRPr="00F32E20">
              <w:rPr>
                <w:rFonts w:eastAsia="MS Mincho"/>
              </w:rPr>
              <w:t xml:space="preserve"> de la institución</w:t>
            </w:r>
            <w:r w:rsidRPr="00F32E20">
              <w:rPr>
                <w:rFonts w:eastAsia="MS Mincho"/>
              </w:rPr>
              <w:t>, posibles consecuencias legales y dificultades para ejecutar proyectos y captar recursos complementarios.</w:t>
            </w:r>
          </w:p>
        </w:tc>
        <w:tc>
          <w:tcPr>
            <w:tcW w:w="1173" w:type="dxa"/>
            <w:shd w:val="clear" w:color="auto" w:fill="FFFFCD"/>
            <w:vAlign w:val="center"/>
          </w:tcPr>
          <w:p w14:paraId="68898348" w14:textId="327D920F" w:rsidR="00ED4B03" w:rsidRPr="000B3AAF" w:rsidRDefault="00E74C2B" w:rsidP="00BB083B">
            <w:pPr>
              <w:spacing w:line="360" w:lineRule="auto"/>
              <w:jc w:val="center"/>
              <w:rPr>
                <w:rFonts w:eastAsia="MS Mincho"/>
                <w:b/>
              </w:rPr>
            </w:pPr>
            <w:r>
              <w:rPr>
                <w:rFonts w:eastAsia="MS Mincho"/>
                <w:b/>
              </w:rPr>
              <w:t>Nivel de Riesgo</w:t>
            </w:r>
            <w:r w:rsidR="00ED4B03" w:rsidRPr="000B3AAF">
              <w:rPr>
                <w:rFonts w:eastAsia="MS Mincho"/>
                <w:b/>
              </w:rPr>
              <w:t xml:space="preserve"> </w:t>
            </w:r>
            <w:r w:rsidR="00BB083B">
              <w:rPr>
                <w:rFonts w:eastAsia="MS Mincho"/>
                <w:b/>
              </w:rPr>
              <w:t xml:space="preserve">medio </w:t>
            </w:r>
          </w:p>
        </w:tc>
      </w:tr>
      <w:tr w:rsidR="00E74C2B" w:rsidRPr="006D1DAA" w14:paraId="49EA1047" w14:textId="77777777" w:rsidTr="001617A5">
        <w:trPr>
          <w:cantSplit/>
          <w:trHeight w:val="1258"/>
        </w:trPr>
        <w:tc>
          <w:tcPr>
            <w:tcW w:w="719" w:type="dxa"/>
            <w:shd w:val="clear" w:color="auto" w:fill="FFFFFF"/>
            <w:textDirection w:val="btLr"/>
          </w:tcPr>
          <w:p w14:paraId="0CC19907" w14:textId="581CF223" w:rsidR="00ED4B03" w:rsidRPr="006D1DAA" w:rsidRDefault="001C7DB0" w:rsidP="00FB0D41">
            <w:pPr>
              <w:spacing w:line="360" w:lineRule="auto"/>
              <w:ind w:left="113" w:right="113"/>
              <w:jc w:val="center"/>
              <w:rPr>
                <w:rFonts w:ascii="Cambria" w:eastAsia="MS Mincho" w:hAnsi="Cambria"/>
                <w:b/>
              </w:rPr>
            </w:pPr>
            <w:r w:rsidRPr="001C7DB0">
              <w:rPr>
                <w:rFonts w:ascii="Cambria" w:eastAsia="MS Mincho" w:hAnsi="Cambria"/>
                <w:b/>
              </w:rPr>
              <w:lastRenderedPageBreak/>
              <w:t>R-DAF-06</w:t>
            </w:r>
          </w:p>
        </w:tc>
        <w:tc>
          <w:tcPr>
            <w:tcW w:w="2967" w:type="dxa"/>
            <w:shd w:val="clear" w:color="auto" w:fill="FFFFFF"/>
            <w:vAlign w:val="center"/>
          </w:tcPr>
          <w:p w14:paraId="7A18582A" w14:textId="36C9557B" w:rsidR="00ED4B03" w:rsidRPr="006D1DAA" w:rsidRDefault="008A6F8F" w:rsidP="003D53AB">
            <w:pPr>
              <w:spacing w:line="360" w:lineRule="auto"/>
              <w:jc w:val="both"/>
              <w:rPr>
                <w:rFonts w:ascii="Cambria" w:eastAsia="MS Mincho" w:hAnsi="Cambria"/>
                <w:b/>
              </w:rPr>
            </w:pPr>
            <w:r w:rsidRPr="001C7DB0">
              <w:rPr>
                <w:rFonts w:ascii="Cambria" w:eastAsia="MS Mincho" w:hAnsi="Cambria"/>
                <w:b/>
              </w:rPr>
              <w:t>No disponer del personal experto adecuado para cumplir oportunamente con los objetivos institucionales</w:t>
            </w:r>
            <w:r w:rsidR="001C7DB0">
              <w:rPr>
                <w:rFonts w:ascii="Cambria" w:eastAsia="MS Mincho" w:hAnsi="Cambria"/>
                <w:b/>
              </w:rPr>
              <w:t>.</w:t>
            </w:r>
          </w:p>
        </w:tc>
        <w:tc>
          <w:tcPr>
            <w:tcW w:w="5226" w:type="dxa"/>
            <w:shd w:val="clear" w:color="auto" w:fill="FFFFFF"/>
            <w:vAlign w:val="center"/>
          </w:tcPr>
          <w:p w14:paraId="5B214BFF" w14:textId="77777777" w:rsidR="001617A5" w:rsidRPr="00F32E20" w:rsidRDefault="001617A5" w:rsidP="00F405BC">
            <w:pPr>
              <w:spacing w:line="360" w:lineRule="auto"/>
              <w:jc w:val="both"/>
              <w:rPr>
                <w:rFonts w:eastAsia="MS Mincho"/>
              </w:rPr>
            </w:pPr>
          </w:p>
          <w:p w14:paraId="739BC760" w14:textId="1BFCA775" w:rsidR="00F405BC" w:rsidRPr="00F32E20" w:rsidRDefault="000A1E91" w:rsidP="00F405BC">
            <w:pPr>
              <w:spacing w:line="360" w:lineRule="auto"/>
              <w:jc w:val="both"/>
            </w:pPr>
            <w:r w:rsidRPr="00F32E20">
              <w:rPr>
                <w:rFonts w:eastAsia="MS Mincho"/>
              </w:rPr>
              <w:t xml:space="preserve">Como causas externas posibles </w:t>
            </w:r>
            <w:r w:rsidR="00F405BC" w:rsidRPr="00F32E20">
              <w:rPr>
                <w:rFonts w:eastAsia="MS Mincho"/>
              </w:rPr>
              <w:t>son restricciones gubernamentales que limitan al Servicio Civil abrir nuevas plazas o cerrar las existentes cuando estas quedan vacantes por traslado, pensión o fallecimiento del funcionario titular; limitaciones presupuestarias que impiden la contratación de nuevo personal o la reposición de plazas vacantes; restricciones normativas para la contratación o renovación del personal de Fideicomiso y reducción o variabilidad en las fuentes de financiamiento.</w:t>
            </w:r>
            <w:r w:rsidR="00F405BC" w:rsidRPr="00F32E20">
              <w:t xml:space="preserve"> </w:t>
            </w:r>
          </w:p>
          <w:p w14:paraId="46B0FAB0" w14:textId="77777777" w:rsidR="00BB083B" w:rsidRPr="00F32E20" w:rsidRDefault="00BB083B" w:rsidP="00F405BC">
            <w:pPr>
              <w:spacing w:line="360" w:lineRule="auto"/>
              <w:jc w:val="both"/>
            </w:pPr>
          </w:p>
          <w:p w14:paraId="6A29FA09" w14:textId="39121720" w:rsidR="00ED4B03" w:rsidRPr="00F32E20" w:rsidRDefault="00F405BC" w:rsidP="00F405BC">
            <w:pPr>
              <w:spacing w:line="360" w:lineRule="auto"/>
              <w:jc w:val="both"/>
              <w:rPr>
                <w:rFonts w:eastAsia="MS Mincho"/>
              </w:rPr>
            </w:pPr>
            <w:r w:rsidRPr="00F32E20">
              <w:t xml:space="preserve">Los </w:t>
            </w:r>
            <w:r w:rsidR="001617A5" w:rsidRPr="00F32E20">
              <w:t>factores internos</w:t>
            </w:r>
            <w:r w:rsidRPr="00F32E20">
              <w:t xml:space="preserve"> se encuentra la </w:t>
            </w:r>
            <w:r w:rsidR="00F32E20">
              <w:rPr>
                <w:rFonts w:eastAsia="MS Mincho"/>
              </w:rPr>
              <w:t>r</w:t>
            </w:r>
            <w:r w:rsidRPr="00F32E20">
              <w:rPr>
                <w:rFonts w:eastAsia="MS Mincho"/>
              </w:rPr>
              <w:t>otación de personal sin reemplazo en el tiempo requerido y deficiencias en la gestión del conocimiento y transferencia de experiencia.</w:t>
            </w:r>
          </w:p>
          <w:p w14:paraId="12FB2D0F" w14:textId="5393DA49" w:rsidR="001617A5" w:rsidRPr="00F32E20" w:rsidRDefault="001617A5" w:rsidP="00F405BC">
            <w:pPr>
              <w:spacing w:line="360" w:lineRule="auto"/>
              <w:jc w:val="both"/>
              <w:rPr>
                <w:rFonts w:eastAsia="MS Mincho"/>
              </w:rPr>
            </w:pPr>
          </w:p>
        </w:tc>
        <w:tc>
          <w:tcPr>
            <w:tcW w:w="2995" w:type="dxa"/>
            <w:shd w:val="clear" w:color="auto" w:fill="FFFFFF"/>
            <w:vAlign w:val="center"/>
          </w:tcPr>
          <w:p w14:paraId="48FC5E35" w14:textId="77777777" w:rsidR="00ED4B03" w:rsidRPr="00F32E20" w:rsidRDefault="00ED4B03" w:rsidP="00FB0D41">
            <w:pPr>
              <w:spacing w:line="360" w:lineRule="auto"/>
              <w:jc w:val="both"/>
              <w:rPr>
                <w:rFonts w:eastAsia="MS Mincho"/>
              </w:rPr>
            </w:pPr>
            <w:r w:rsidRPr="00F32E20">
              <w:rPr>
                <w:rFonts w:eastAsia="MS Mincho"/>
              </w:rPr>
              <w:t>Interrupciones en la ejecución de actividades y proyectos clave e incumplimiento de obligaciones contractuales, convenios interinstitucionales o compromisos adquiridos.</w:t>
            </w:r>
          </w:p>
        </w:tc>
        <w:tc>
          <w:tcPr>
            <w:tcW w:w="1173" w:type="dxa"/>
            <w:shd w:val="clear" w:color="auto" w:fill="FFFFCD"/>
            <w:vAlign w:val="center"/>
          </w:tcPr>
          <w:p w14:paraId="14B6F538" w14:textId="2ECA9D09" w:rsidR="00ED4B03" w:rsidRPr="001617A5" w:rsidRDefault="00E74C2B" w:rsidP="00E74C2B">
            <w:pPr>
              <w:spacing w:line="360" w:lineRule="auto"/>
              <w:jc w:val="center"/>
              <w:rPr>
                <w:rFonts w:eastAsia="MS Mincho"/>
                <w:b/>
              </w:rPr>
            </w:pPr>
            <w:r w:rsidRPr="001617A5">
              <w:rPr>
                <w:rFonts w:eastAsia="MS Mincho"/>
                <w:b/>
              </w:rPr>
              <w:t xml:space="preserve">Nivel de </w:t>
            </w:r>
            <w:r w:rsidR="00ED4395" w:rsidRPr="001617A5">
              <w:rPr>
                <w:rFonts w:eastAsia="MS Mincho"/>
                <w:b/>
              </w:rPr>
              <w:t xml:space="preserve">Riesgo </w:t>
            </w:r>
            <w:r w:rsidR="001617A5" w:rsidRPr="001617A5">
              <w:rPr>
                <w:rFonts w:eastAsia="MS Mincho"/>
                <w:b/>
              </w:rPr>
              <w:t>Medio</w:t>
            </w:r>
            <w:r w:rsidR="00ED4B03" w:rsidRPr="001617A5">
              <w:rPr>
                <w:rFonts w:eastAsia="MS Mincho"/>
                <w:b/>
              </w:rPr>
              <w:t xml:space="preserve"> </w:t>
            </w:r>
          </w:p>
        </w:tc>
      </w:tr>
    </w:tbl>
    <w:p w14:paraId="587DEDEA" w14:textId="59FF3303" w:rsidR="009E486D" w:rsidRDefault="009E486D"/>
    <w:p w14:paraId="7D7D17CF" w14:textId="168DFDF6" w:rsidR="00FC579F" w:rsidRDefault="00FC579F" w:rsidP="001617A5">
      <w:pPr>
        <w:jc w:val="center"/>
        <w:rPr>
          <w:b/>
          <w:color w:val="000000" w:themeColor="text1"/>
          <w:sz w:val="28"/>
        </w:rPr>
      </w:pPr>
      <w:r>
        <w:rPr>
          <w:b/>
          <w:color w:val="000000" w:themeColor="text1"/>
          <w:sz w:val="28"/>
        </w:rPr>
        <w:br w:type="page"/>
      </w:r>
      <w:r w:rsidR="00992B21">
        <w:rPr>
          <w:b/>
          <w:color w:val="000000" w:themeColor="text1"/>
          <w:sz w:val="28"/>
        </w:rPr>
        <w:lastRenderedPageBreak/>
        <w:t>Tabla 4</w:t>
      </w:r>
      <w:r w:rsidRPr="00FC579F">
        <w:rPr>
          <w:b/>
          <w:color w:val="000000" w:themeColor="text1"/>
          <w:sz w:val="28"/>
        </w:rPr>
        <w:t>. Dirección de Servicios Ambientales</w:t>
      </w:r>
    </w:p>
    <w:p w14:paraId="0F7BED6B" w14:textId="77777777" w:rsidR="00436F61" w:rsidRPr="00FC579F" w:rsidRDefault="00436F61" w:rsidP="001617A5">
      <w:pPr>
        <w:jc w:val="center"/>
        <w:rPr>
          <w:b/>
          <w:color w:val="000000" w:themeColor="text1"/>
          <w:sz w:val="28"/>
        </w:rPr>
      </w:pPr>
    </w:p>
    <w:tbl>
      <w:tblPr>
        <w:tblStyle w:val="Tablaconcuadrcula"/>
        <w:tblW w:w="1317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B0D87A"/>
        <w:tblLook w:val="04A0" w:firstRow="1" w:lastRow="0" w:firstColumn="1" w:lastColumn="0" w:noHBand="0" w:noVBand="1"/>
      </w:tblPr>
      <w:tblGrid>
        <w:gridCol w:w="719"/>
        <w:gridCol w:w="3186"/>
        <w:gridCol w:w="4198"/>
        <w:gridCol w:w="3765"/>
        <w:gridCol w:w="1303"/>
      </w:tblGrid>
      <w:tr w:rsidR="00E74C2B" w:rsidRPr="00FB0D41" w14:paraId="2F85B89A" w14:textId="77777777" w:rsidTr="00A76BC0">
        <w:trPr>
          <w:trHeight w:val="530"/>
          <w:tblHeader/>
        </w:trPr>
        <w:tc>
          <w:tcPr>
            <w:tcW w:w="719" w:type="dxa"/>
            <w:shd w:val="clear" w:color="auto" w:fill="777777"/>
            <w:vAlign w:val="center"/>
          </w:tcPr>
          <w:p w14:paraId="44664E29" w14:textId="14018D38" w:rsidR="00ED4B03" w:rsidRPr="00FB0D41" w:rsidRDefault="00ED4B03" w:rsidP="00A76BC0">
            <w:pPr>
              <w:spacing w:line="360" w:lineRule="auto"/>
              <w:jc w:val="center"/>
              <w:rPr>
                <w:b/>
                <w:color w:val="FFFFFF" w:themeColor="background1"/>
              </w:rPr>
            </w:pPr>
            <w:r w:rsidRPr="00FB0D41">
              <w:rPr>
                <w:b/>
                <w:color w:val="FFFFFF" w:themeColor="background1"/>
              </w:rPr>
              <w:t>N°</w:t>
            </w:r>
          </w:p>
        </w:tc>
        <w:tc>
          <w:tcPr>
            <w:tcW w:w="3186" w:type="dxa"/>
            <w:shd w:val="clear" w:color="auto" w:fill="777777"/>
            <w:vAlign w:val="center"/>
          </w:tcPr>
          <w:p w14:paraId="6F9DC4D7" w14:textId="1A5469B5" w:rsidR="00ED4B03" w:rsidRPr="00FB0D41" w:rsidRDefault="00ED4B03" w:rsidP="00FB0D41">
            <w:pPr>
              <w:spacing w:line="360" w:lineRule="auto"/>
              <w:jc w:val="center"/>
              <w:rPr>
                <w:b/>
              </w:rPr>
            </w:pPr>
            <w:r w:rsidRPr="00FB0D41">
              <w:rPr>
                <w:b/>
                <w:color w:val="FFFFFF" w:themeColor="background1"/>
              </w:rPr>
              <w:t>Riesgo</w:t>
            </w:r>
            <w:r w:rsidR="00E74C2B">
              <w:rPr>
                <w:b/>
                <w:color w:val="FFFFFF" w:themeColor="background1"/>
              </w:rPr>
              <w:t>s</w:t>
            </w:r>
            <w:r w:rsidRPr="00FB0D41">
              <w:rPr>
                <w:b/>
                <w:color w:val="FFFFFF" w:themeColor="background1"/>
              </w:rPr>
              <w:t xml:space="preserve"> estratégicos relevantes</w:t>
            </w:r>
          </w:p>
        </w:tc>
        <w:tc>
          <w:tcPr>
            <w:tcW w:w="4198" w:type="dxa"/>
            <w:shd w:val="clear" w:color="auto" w:fill="777777"/>
            <w:vAlign w:val="center"/>
          </w:tcPr>
          <w:p w14:paraId="12956B69" w14:textId="6C11E87C" w:rsidR="00ED4B03" w:rsidRPr="00FB0D41" w:rsidRDefault="00ED4B03" w:rsidP="008D43A6">
            <w:pPr>
              <w:spacing w:line="360" w:lineRule="auto"/>
              <w:jc w:val="center"/>
            </w:pPr>
            <w:r w:rsidRPr="00FB0D41">
              <w:rPr>
                <w:b/>
                <w:color w:val="FFFFFF" w:themeColor="background1"/>
              </w:rPr>
              <w:t>Principales causas</w:t>
            </w:r>
          </w:p>
        </w:tc>
        <w:tc>
          <w:tcPr>
            <w:tcW w:w="3765" w:type="dxa"/>
            <w:shd w:val="clear" w:color="auto" w:fill="777777"/>
            <w:vAlign w:val="center"/>
          </w:tcPr>
          <w:p w14:paraId="09466600" w14:textId="0610DD07" w:rsidR="00ED4B03" w:rsidRPr="00FB0D41" w:rsidRDefault="00ED4B03" w:rsidP="00FB0D41">
            <w:pPr>
              <w:spacing w:line="360" w:lineRule="auto"/>
              <w:jc w:val="both"/>
            </w:pPr>
            <w:r w:rsidRPr="00FB0D41">
              <w:rPr>
                <w:b/>
                <w:color w:val="FFFFFF" w:themeColor="background1"/>
              </w:rPr>
              <w:t>Principales consecuencias</w:t>
            </w:r>
          </w:p>
        </w:tc>
        <w:tc>
          <w:tcPr>
            <w:tcW w:w="1303" w:type="dxa"/>
            <w:shd w:val="clear" w:color="auto" w:fill="777777"/>
            <w:vAlign w:val="center"/>
          </w:tcPr>
          <w:p w14:paraId="6CC3D315" w14:textId="4FFC124F" w:rsidR="00ED4B03" w:rsidRPr="00FB0D41" w:rsidRDefault="00ED4B03" w:rsidP="00FB0D41">
            <w:pPr>
              <w:spacing w:line="360" w:lineRule="auto"/>
              <w:jc w:val="center"/>
              <w:rPr>
                <w:b/>
              </w:rPr>
            </w:pPr>
            <w:r w:rsidRPr="00FB0D41">
              <w:rPr>
                <w:b/>
                <w:color w:val="FFFFFF" w:themeColor="background1"/>
              </w:rPr>
              <w:t>Nivel</w:t>
            </w:r>
          </w:p>
        </w:tc>
      </w:tr>
      <w:tr w:rsidR="00E74C2B" w:rsidRPr="00FB0D41" w14:paraId="6C4D5849" w14:textId="77777777" w:rsidTr="00BB083B">
        <w:trPr>
          <w:cantSplit/>
          <w:trHeight w:val="1120"/>
        </w:trPr>
        <w:tc>
          <w:tcPr>
            <w:tcW w:w="719" w:type="dxa"/>
            <w:shd w:val="clear" w:color="auto" w:fill="FFFFFF" w:themeFill="background1"/>
            <w:textDirection w:val="btLr"/>
          </w:tcPr>
          <w:p w14:paraId="6870AD6F" w14:textId="6611137A" w:rsidR="00ED4B03" w:rsidRPr="00FB0D41" w:rsidRDefault="001C7DB0" w:rsidP="00FB0D41">
            <w:pPr>
              <w:spacing w:line="360" w:lineRule="auto"/>
              <w:ind w:left="113" w:right="113"/>
              <w:jc w:val="center"/>
              <w:rPr>
                <w:b/>
              </w:rPr>
            </w:pPr>
            <w:r>
              <w:rPr>
                <w:b/>
              </w:rPr>
              <w:t>R-DSA-07</w:t>
            </w:r>
          </w:p>
        </w:tc>
        <w:tc>
          <w:tcPr>
            <w:tcW w:w="3186" w:type="dxa"/>
            <w:shd w:val="clear" w:color="auto" w:fill="FFFFFF" w:themeFill="background1"/>
            <w:vAlign w:val="center"/>
          </w:tcPr>
          <w:p w14:paraId="3B72E80D" w14:textId="16DA31B3" w:rsidR="00ED4B03" w:rsidRPr="00855565" w:rsidRDefault="001C7DB0" w:rsidP="003D53AB">
            <w:pPr>
              <w:spacing w:line="360" w:lineRule="auto"/>
              <w:jc w:val="both"/>
              <w:rPr>
                <w:rFonts w:asciiTheme="minorHAnsi" w:hAnsiTheme="minorHAnsi" w:cstheme="majorHAnsi"/>
                <w:b/>
              </w:rPr>
            </w:pPr>
            <w:r w:rsidRPr="00855565">
              <w:rPr>
                <w:rFonts w:ascii="Cambria" w:eastAsia="MS Mincho" w:hAnsi="Cambria"/>
                <w:b/>
              </w:rPr>
              <w:t>Rezago institucional en la innovación tecnológica para la gestión de los servicios ecosistémicos.</w:t>
            </w:r>
          </w:p>
        </w:tc>
        <w:tc>
          <w:tcPr>
            <w:tcW w:w="4198" w:type="dxa"/>
            <w:shd w:val="clear" w:color="auto" w:fill="FFFFFF" w:themeFill="background1"/>
            <w:vAlign w:val="center"/>
          </w:tcPr>
          <w:p w14:paraId="57DF8B1A" w14:textId="77777777" w:rsidR="00BB083B" w:rsidRDefault="00BB083B" w:rsidP="00FB0D41">
            <w:pPr>
              <w:spacing w:line="360" w:lineRule="auto"/>
              <w:jc w:val="both"/>
            </w:pPr>
          </w:p>
          <w:p w14:paraId="423CFCCF" w14:textId="28C2E533" w:rsidR="00ED4B03" w:rsidRDefault="008D43A6" w:rsidP="00FB0D41">
            <w:pPr>
              <w:spacing w:line="360" w:lineRule="auto"/>
              <w:jc w:val="both"/>
            </w:pPr>
            <w:r>
              <w:t>La causa externa está orienta a</w:t>
            </w:r>
            <w:r w:rsidR="00ED4B03" w:rsidRPr="00FB0D41">
              <w:t xml:space="preserve"> la falta de financiamiento y </w:t>
            </w:r>
            <w:r>
              <w:t>alianzas estratégicas que impidan la creación de</w:t>
            </w:r>
            <w:r w:rsidR="00ED4B03" w:rsidRPr="00FB0D41">
              <w:t xml:space="preserve"> plataformas necesaria</w:t>
            </w:r>
            <w:r>
              <w:t>s</w:t>
            </w:r>
            <w:r w:rsidR="00ED4B03" w:rsidRPr="00FB0D41">
              <w:t xml:space="preserve"> para avanzar en los proyectos.</w:t>
            </w:r>
          </w:p>
          <w:p w14:paraId="37D5C94E" w14:textId="77777777" w:rsidR="00BB083B" w:rsidRPr="00FB0D41" w:rsidRDefault="00BB083B" w:rsidP="00FB0D41">
            <w:pPr>
              <w:spacing w:line="360" w:lineRule="auto"/>
              <w:jc w:val="both"/>
            </w:pPr>
          </w:p>
          <w:p w14:paraId="5D858D74" w14:textId="77777777" w:rsidR="00ED4B03" w:rsidRDefault="008D43A6" w:rsidP="00FB0D41">
            <w:pPr>
              <w:spacing w:line="360" w:lineRule="auto"/>
              <w:jc w:val="both"/>
            </w:pPr>
            <w:r>
              <w:t>Un f</w:t>
            </w:r>
            <w:r w:rsidR="00ED4B03" w:rsidRPr="00FB0D41">
              <w:t>actor interno es la falta de creación de competencias en los funcionarios del Fonafifo limitando su capacidad para cumplir con los objetivos y tareas institucionales de manera efectiva.</w:t>
            </w:r>
          </w:p>
          <w:p w14:paraId="38BB72FB" w14:textId="19CCB697" w:rsidR="00BB083B" w:rsidRPr="00FB0D41" w:rsidRDefault="00BB083B" w:rsidP="00FB0D41">
            <w:pPr>
              <w:spacing w:line="360" w:lineRule="auto"/>
              <w:jc w:val="both"/>
              <w:rPr>
                <w:b/>
              </w:rPr>
            </w:pPr>
          </w:p>
        </w:tc>
        <w:tc>
          <w:tcPr>
            <w:tcW w:w="3765" w:type="dxa"/>
            <w:shd w:val="clear" w:color="auto" w:fill="FFFFFF" w:themeFill="background1"/>
            <w:vAlign w:val="center"/>
          </w:tcPr>
          <w:p w14:paraId="0A36E29A" w14:textId="77777777" w:rsidR="00ED4B03" w:rsidRPr="00FB0D41" w:rsidRDefault="00ED4B03" w:rsidP="00FB0D41">
            <w:pPr>
              <w:spacing w:line="360" w:lineRule="auto"/>
              <w:jc w:val="both"/>
              <w:rPr>
                <w:b/>
              </w:rPr>
            </w:pPr>
            <w:r w:rsidRPr="00FB0D41">
              <w:t>La incapacidad para realizar de manera eficiente la recolección estandarizada de información sobre avistamientos a favor de la biodiversidad en los contratos bajo PSA limita su procesamiento adecuado, lo que conlleva a la pérdida de oportunidades para la comercialización de servicios ambientales verificables.</w:t>
            </w:r>
          </w:p>
        </w:tc>
        <w:tc>
          <w:tcPr>
            <w:tcW w:w="1303" w:type="dxa"/>
            <w:shd w:val="clear" w:color="auto" w:fill="FFFFCD"/>
            <w:vAlign w:val="center"/>
          </w:tcPr>
          <w:p w14:paraId="769FD222" w14:textId="614352CB" w:rsidR="00ED4B03" w:rsidRPr="000B3AAF" w:rsidRDefault="00E74C2B" w:rsidP="00FB0D41">
            <w:pPr>
              <w:spacing w:line="360" w:lineRule="auto"/>
              <w:jc w:val="center"/>
              <w:rPr>
                <w:b/>
              </w:rPr>
            </w:pPr>
            <w:r>
              <w:rPr>
                <w:b/>
              </w:rPr>
              <w:t xml:space="preserve">Nivel de </w:t>
            </w:r>
            <w:r w:rsidRPr="000B3AAF">
              <w:rPr>
                <w:b/>
              </w:rPr>
              <w:t>Riesgo medio</w:t>
            </w:r>
          </w:p>
        </w:tc>
      </w:tr>
    </w:tbl>
    <w:p w14:paraId="2E35B1A6" w14:textId="77777777" w:rsidR="00076C85" w:rsidRDefault="00076C85">
      <w:pPr>
        <w:rPr>
          <w:b/>
          <w:color w:val="000000" w:themeColor="text1"/>
          <w:sz w:val="28"/>
        </w:rPr>
      </w:pPr>
    </w:p>
    <w:p w14:paraId="3C0D025C" w14:textId="77777777" w:rsidR="00076C85" w:rsidRDefault="00076C85">
      <w:pPr>
        <w:rPr>
          <w:b/>
          <w:color w:val="000000" w:themeColor="text1"/>
          <w:sz w:val="28"/>
        </w:rPr>
      </w:pPr>
    </w:p>
    <w:p w14:paraId="5418BF3E" w14:textId="77777777" w:rsidR="00076C85" w:rsidRDefault="00076C85">
      <w:pPr>
        <w:rPr>
          <w:b/>
          <w:color w:val="000000" w:themeColor="text1"/>
          <w:sz w:val="28"/>
        </w:rPr>
      </w:pPr>
    </w:p>
    <w:p w14:paraId="27CD3AB0" w14:textId="77777777" w:rsidR="00076C85" w:rsidRDefault="00076C85">
      <w:pPr>
        <w:rPr>
          <w:b/>
          <w:color w:val="000000" w:themeColor="text1"/>
          <w:sz w:val="28"/>
        </w:rPr>
      </w:pPr>
    </w:p>
    <w:p w14:paraId="6E1B42B6" w14:textId="77777777" w:rsidR="00076C85" w:rsidRDefault="00076C85">
      <w:pPr>
        <w:rPr>
          <w:b/>
          <w:color w:val="000000" w:themeColor="text1"/>
          <w:sz w:val="28"/>
        </w:rPr>
      </w:pPr>
    </w:p>
    <w:p w14:paraId="3775510A" w14:textId="27A74A2B" w:rsidR="00076C85" w:rsidRDefault="00076C85">
      <w:pPr>
        <w:rPr>
          <w:b/>
          <w:color w:val="000000" w:themeColor="text1"/>
          <w:sz w:val="28"/>
        </w:rPr>
      </w:pPr>
    </w:p>
    <w:p w14:paraId="57D50C57" w14:textId="5DF6298C" w:rsidR="00436F61" w:rsidRDefault="00436F61">
      <w:pPr>
        <w:rPr>
          <w:b/>
          <w:color w:val="000000" w:themeColor="text1"/>
          <w:sz w:val="28"/>
        </w:rPr>
      </w:pPr>
    </w:p>
    <w:p w14:paraId="47A4CA8F" w14:textId="4D8DFB85" w:rsidR="00436F61" w:rsidRDefault="00436F61">
      <w:pPr>
        <w:rPr>
          <w:b/>
          <w:color w:val="000000" w:themeColor="text1"/>
          <w:sz w:val="28"/>
        </w:rPr>
      </w:pPr>
    </w:p>
    <w:p w14:paraId="5AF6FBBA" w14:textId="76B8F4D5" w:rsidR="00436F61" w:rsidRDefault="00436F61">
      <w:pPr>
        <w:rPr>
          <w:b/>
          <w:color w:val="000000" w:themeColor="text1"/>
          <w:sz w:val="28"/>
        </w:rPr>
      </w:pPr>
    </w:p>
    <w:p w14:paraId="3095931B" w14:textId="19362A69" w:rsidR="00436F61" w:rsidRDefault="00436F61">
      <w:pPr>
        <w:rPr>
          <w:b/>
          <w:color w:val="000000" w:themeColor="text1"/>
          <w:sz w:val="28"/>
        </w:rPr>
      </w:pPr>
    </w:p>
    <w:p w14:paraId="4E05AD33" w14:textId="77777777" w:rsidR="00436F61" w:rsidRDefault="00436F61">
      <w:pPr>
        <w:rPr>
          <w:b/>
          <w:color w:val="000000" w:themeColor="text1"/>
          <w:sz w:val="28"/>
        </w:rPr>
      </w:pPr>
    </w:p>
    <w:p w14:paraId="13A5C787" w14:textId="05C0005D" w:rsidR="00076C85" w:rsidRDefault="00992B21" w:rsidP="00B641D2">
      <w:pPr>
        <w:jc w:val="center"/>
        <w:rPr>
          <w:b/>
          <w:color w:val="000000" w:themeColor="text1"/>
          <w:sz w:val="28"/>
        </w:rPr>
      </w:pPr>
      <w:r>
        <w:rPr>
          <w:b/>
          <w:color w:val="000000" w:themeColor="text1"/>
          <w:sz w:val="28"/>
        </w:rPr>
        <w:t>Tabla 5</w:t>
      </w:r>
      <w:r w:rsidR="00076C85" w:rsidRPr="00FC579F">
        <w:rPr>
          <w:b/>
          <w:color w:val="000000" w:themeColor="text1"/>
          <w:sz w:val="28"/>
        </w:rPr>
        <w:t>.</w:t>
      </w:r>
      <w:r w:rsidR="00076C85">
        <w:rPr>
          <w:b/>
          <w:color w:val="000000" w:themeColor="text1"/>
          <w:sz w:val="28"/>
        </w:rPr>
        <w:t xml:space="preserve"> </w:t>
      </w:r>
      <w:r w:rsidR="00076C85" w:rsidRPr="00FC579F">
        <w:rPr>
          <w:b/>
          <w:color w:val="000000" w:themeColor="text1"/>
          <w:sz w:val="28"/>
        </w:rPr>
        <w:t>Dirección de Fomento Forestal</w:t>
      </w:r>
    </w:p>
    <w:tbl>
      <w:tblPr>
        <w:tblStyle w:val="Tablaconcuadrcula"/>
        <w:tblpPr w:leftFromText="141" w:rightFromText="141" w:vertAnchor="text" w:horzAnchor="margin" w:tblpX="-289" w:tblpY="248"/>
        <w:tblW w:w="1374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B0D87A"/>
        <w:tblLook w:val="04A0" w:firstRow="1" w:lastRow="0" w:firstColumn="1" w:lastColumn="0" w:noHBand="0" w:noVBand="1"/>
      </w:tblPr>
      <w:tblGrid>
        <w:gridCol w:w="828"/>
        <w:gridCol w:w="2861"/>
        <w:gridCol w:w="5095"/>
        <w:gridCol w:w="3711"/>
        <w:gridCol w:w="1251"/>
      </w:tblGrid>
      <w:tr w:rsidR="00076C85" w:rsidRPr="0014394D" w14:paraId="01AD0CF3" w14:textId="77777777" w:rsidTr="00A76BC0">
        <w:trPr>
          <w:trHeight w:val="37"/>
          <w:tblHeader/>
        </w:trPr>
        <w:tc>
          <w:tcPr>
            <w:tcW w:w="828" w:type="dxa"/>
            <w:shd w:val="clear" w:color="auto" w:fill="BFBFBF" w:themeFill="background1" w:themeFillShade="BF"/>
            <w:vAlign w:val="center"/>
          </w:tcPr>
          <w:p w14:paraId="0C9408B8" w14:textId="77777777" w:rsidR="00076C85" w:rsidRPr="005E4900" w:rsidRDefault="00076C85" w:rsidP="00A76BC0">
            <w:pPr>
              <w:jc w:val="center"/>
              <w:rPr>
                <w:b/>
                <w:color w:val="404040" w:themeColor="text1" w:themeTint="BF"/>
              </w:rPr>
            </w:pPr>
            <w:r w:rsidRPr="005E4900">
              <w:rPr>
                <w:b/>
                <w:color w:val="404040" w:themeColor="text1" w:themeTint="BF"/>
              </w:rPr>
              <w:t>N°</w:t>
            </w:r>
          </w:p>
        </w:tc>
        <w:tc>
          <w:tcPr>
            <w:tcW w:w="2861" w:type="dxa"/>
            <w:shd w:val="clear" w:color="auto" w:fill="BFBFBF" w:themeFill="background1" w:themeFillShade="BF"/>
            <w:vAlign w:val="center"/>
          </w:tcPr>
          <w:p w14:paraId="261F25DB" w14:textId="7AF8D819" w:rsidR="00076C85" w:rsidRPr="005E4900" w:rsidRDefault="00076C85" w:rsidP="005E4900">
            <w:pPr>
              <w:jc w:val="center"/>
              <w:rPr>
                <w:b/>
                <w:color w:val="404040" w:themeColor="text1" w:themeTint="BF"/>
              </w:rPr>
            </w:pPr>
            <w:r w:rsidRPr="005E4900">
              <w:rPr>
                <w:b/>
                <w:color w:val="404040" w:themeColor="text1" w:themeTint="BF"/>
              </w:rPr>
              <w:t>Riesgo estratégicos relevantes</w:t>
            </w:r>
          </w:p>
        </w:tc>
        <w:tc>
          <w:tcPr>
            <w:tcW w:w="5095" w:type="dxa"/>
            <w:shd w:val="clear" w:color="auto" w:fill="BFBFBF" w:themeFill="background1" w:themeFillShade="BF"/>
            <w:vAlign w:val="center"/>
          </w:tcPr>
          <w:p w14:paraId="13FC0014" w14:textId="77777777" w:rsidR="00076C85" w:rsidRPr="005E4900" w:rsidRDefault="00076C85" w:rsidP="005E4900">
            <w:pPr>
              <w:jc w:val="center"/>
              <w:rPr>
                <w:color w:val="404040" w:themeColor="text1" w:themeTint="BF"/>
              </w:rPr>
            </w:pPr>
            <w:r w:rsidRPr="005E4900">
              <w:rPr>
                <w:b/>
                <w:color w:val="404040" w:themeColor="text1" w:themeTint="BF"/>
              </w:rPr>
              <w:t>Principales causas</w:t>
            </w:r>
          </w:p>
        </w:tc>
        <w:tc>
          <w:tcPr>
            <w:tcW w:w="3711" w:type="dxa"/>
            <w:shd w:val="clear" w:color="auto" w:fill="BFBFBF" w:themeFill="background1" w:themeFillShade="BF"/>
            <w:vAlign w:val="center"/>
          </w:tcPr>
          <w:p w14:paraId="459BB79D" w14:textId="15150282" w:rsidR="00076C85" w:rsidRPr="005E4900" w:rsidRDefault="00076C85" w:rsidP="005E4900">
            <w:pPr>
              <w:jc w:val="center"/>
              <w:rPr>
                <w:color w:val="404040" w:themeColor="text1" w:themeTint="BF"/>
              </w:rPr>
            </w:pPr>
            <w:r w:rsidRPr="005E4900">
              <w:rPr>
                <w:b/>
                <w:color w:val="404040" w:themeColor="text1" w:themeTint="BF"/>
              </w:rPr>
              <w:t>Principales consecuencias</w:t>
            </w:r>
          </w:p>
        </w:tc>
        <w:tc>
          <w:tcPr>
            <w:tcW w:w="1251" w:type="dxa"/>
            <w:shd w:val="clear" w:color="auto" w:fill="BFBFBF" w:themeFill="background1" w:themeFillShade="BF"/>
            <w:vAlign w:val="center"/>
          </w:tcPr>
          <w:p w14:paraId="01DFCC4B" w14:textId="77777777" w:rsidR="00076C85" w:rsidRPr="005E4900" w:rsidRDefault="00076C85" w:rsidP="005E4900">
            <w:pPr>
              <w:jc w:val="center"/>
              <w:rPr>
                <w:color w:val="404040" w:themeColor="text1" w:themeTint="BF"/>
              </w:rPr>
            </w:pPr>
            <w:r w:rsidRPr="005E4900">
              <w:rPr>
                <w:b/>
                <w:color w:val="404040" w:themeColor="text1" w:themeTint="BF"/>
              </w:rPr>
              <w:t>Nivel</w:t>
            </w:r>
          </w:p>
        </w:tc>
      </w:tr>
      <w:tr w:rsidR="00076C85" w:rsidRPr="0014394D" w14:paraId="0592BEB3" w14:textId="77777777" w:rsidTr="00BB083B">
        <w:trPr>
          <w:cantSplit/>
          <w:trHeight w:val="6914"/>
        </w:trPr>
        <w:tc>
          <w:tcPr>
            <w:tcW w:w="828" w:type="dxa"/>
            <w:shd w:val="clear" w:color="auto" w:fill="FFFFFF" w:themeFill="background1"/>
            <w:textDirection w:val="btLr"/>
            <w:vAlign w:val="center"/>
          </w:tcPr>
          <w:p w14:paraId="66D6867E" w14:textId="1FA70D9A" w:rsidR="00076C85" w:rsidRPr="00465139" w:rsidRDefault="00076C85" w:rsidP="005E4900">
            <w:pPr>
              <w:ind w:left="113" w:right="113"/>
              <w:jc w:val="center"/>
              <w:rPr>
                <w:b/>
              </w:rPr>
            </w:pPr>
            <w:r>
              <w:rPr>
                <w:b/>
              </w:rPr>
              <w:t>R-DFF</w:t>
            </w:r>
            <w:r w:rsidR="001C7DB0">
              <w:rPr>
                <w:b/>
              </w:rPr>
              <w:t>-08</w:t>
            </w:r>
          </w:p>
        </w:tc>
        <w:tc>
          <w:tcPr>
            <w:tcW w:w="2861" w:type="dxa"/>
            <w:shd w:val="clear" w:color="auto" w:fill="FFFFFF" w:themeFill="background1"/>
            <w:vAlign w:val="center"/>
          </w:tcPr>
          <w:p w14:paraId="46513E1D" w14:textId="77EBADC3" w:rsidR="00076C85" w:rsidRPr="00855565" w:rsidRDefault="001C7DB0" w:rsidP="00855565">
            <w:pPr>
              <w:spacing w:line="360" w:lineRule="auto"/>
              <w:jc w:val="both"/>
              <w:rPr>
                <w:rFonts w:asciiTheme="minorHAnsi" w:hAnsiTheme="minorHAnsi"/>
                <w:b/>
              </w:rPr>
            </w:pPr>
            <w:r w:rsidRPr="00855565">
              <w:rPr>
                <w:rFonts w:asciiTheme="minorHAnsi" w:hAnsiTheme="minorHAnsi"/>
                <w:b/>
              </w:rPr>
              <w:t>Incumplimiento de pago por parte de los deudores de la cartera de crédito forestal.</w:t>
            </w:r>
          </w:p>
        </w:tc>
        <w:tc>
          <w:tcPr>
            <w:tcW w:w="5095" w:type="dxa"/>
            <w:shd w:val="clear" w:color="auto" w:fill="FFFFFF" w:themeFill="background1"/>
            <w:vAlign w:val="center"/>
          </w:tcPr>
          <w:p w14:paraId="1AE9C80C" w14:textId="63BEBF40" w:rsidR="00F405BC" w:rsidRDefault="00076C85" w:rsidP="00F405BC">
            <w:pPr>
              <w:spacing w:line="360" w:lineRule="auto"/>
              <w:jc w:val="both"/>
            </w:pPr>
            <w:r w:rsidRPr="00D6286C">
              <w:t>Las causas externa</w:t>
            </w:r>
            <w:r w:rsidR="007F4632">
              <w:t xml:space="preserve">s podrían ser la inflación y </w:t>
            </w:r>
            <w:r w:rsidRPr="00D6286C">
              <w:t xml:space="preserve">crisis en </w:t>
            </w:r>
            <w:r w:rsidR="007F4632">
              <w:t xml:space="preserve">el </w:t>
            </w:r>
            <w:r w:rsidRPr="00D6286C">
              <w:t>secto</w:t>
            </w:r>
            <w:r w:rsidR="007F4632">
              <w:t>r forestal</w:t>
            </w:r>
            <w:r w:rsidRPr="00D6286C">
              <w:t xml:space="preserve">. Asimismo, </w:t>
            </w:r>
            <w:r w:rsidR="00F405BC">
              <w:t>un d</w:t>
            </w:r>
            <w:r w:rsidR="00F405BC" w:rsidRPr="00F405BC">
              <w:t>eterioro de la situación económica nacional o sector forestal que afecta la ca</w:t>
            </w:r>
            <w:r w:rsidR="00F405BC">
              <w:t>pacidad de pago de los deudores, f</w:t>
            </w:r>
            <w:r w:rsidR="00F405BC" w:rsidRPr="00F405BC">
              <w:t xml:space="preserve">enómenos climáticos que impacten los </w:t>
            </w:r>
            <w:r w:rsidR="00F405BC">
              <w:t>proyectos de los beneficiarios y f</w:t>
            </w:r>
            <w:r w:rsidR="00F405BC" w:rsidRPr="00F405BC">
              <w:t>luctuaciones en precios de mercado de insumos forestales o agrícolas.</w:t>
            </w:r>
          </w:p>
          <w:p w14:paraId="24D624CD" w14:textId="77777777" w:rsidR="00F405BC" w:rsidRDefault="00F405BC" w:rsidP="00F405BC">
            <w:pPr>
              <w:spacing w:line="360" w:lineRule="auto"/>
              <w:jc w:val="both"/>
            </w:pPr>
          </w:p>
          <w:p w14:paraId="7344C08E" w14:textId="5F85A34A" w:rsidR="00076C85" w:rsidRPr="00D6286C" w:rsidRDefault="005E4900" w:rsidP="00F405BC">
            <w:pPr>
              <w:spacing w:line="360" w:lineRule="auto"/>
              <w:jc w:val="both"/>
            </w:pPr>
            <w:r w:rsidRPr="005E4900">
              <w:t>Las causas interna</w:t>
            </w:r>
            <w:r w:rsidR="00F405BC">
              <w:t>s se asocian principalmente al</w:t>
            </w:r>
            <w:r w:rsidR="00F405BC" w:rsidRPr="005E4900">
              <w:t xml:space="preserve"> </w:t>
            </w:r>
            <w:r w:rsidR="00F405BC">
              <w:t>limitado</w:t>
            </w:r>
            <w:r w:rsidR="00F405BC" w:rsidRPr="00F405BC">
              <w:t xml:space="preserve"> seguimiento y monitoreo de la evolución de los proyectos financiados y corre</w:t>
            </w:r>
            <w:r w:rsidR="00F405BC">
              <w:t>cta utilización de los recursos y un  d</w:t>
            </w:r>
            <w:r w:rsidR="00F405BC" w:rsidRPr="00F405BC">
              <w:t>eficiente comunicación con los deudores ante retrasos o incumplimientos.</w:t>
            </w:r>
          </w:p>
        </w:tc>
        <w:tc>
          <w:tcPr>
            <w:tcW w:w="3711" w:type="dxa"/>
            <w:shd w:val="clear" w:color="auto" w:fill="FFFFFF" w:themeFill="background1"/>
            <w:vAlign w:val="center"/>
          </w:tcPr>
          <w:p w14:paraId="30C292C1" w14:textId="27AAA4B5" w:rsidR="00076C85" w:rsidRPr="005E4900" w:rsidRDefault="00076C85" w:rsidP="005E4900">
            <w:pPr>
              <w:shd w:val="clear" w:color="auto" w:fill="FFFFFF" w:themeFill="background1"/>
              <w:spacing w:line="360" w:lineRule="auto"/>
              <w:jc w:val="both"/>
            </w:pPr>
            <w:r w:rsidRPr="00D6286C">
              <w:t>Aumento de cartera vencida y menores ingresos por la recuperación de la inversión de la cartera de crédito; afectación de la estabilidad operativa y financiera, así como pérdida de la rentabilidad o incluso en la inviabilidad operativa y financiera de la cartera de crédito forestal. Por último, afectación en la capacidad de otorgar nuevos créditos o financiar proyectos futuros.</w:t>
            </w:r>
          </w:p>
        </w:tc>
        <w:tc>
          <w:tcPr>
            <w:tcW w:w="1251" w:type="dxa"/>
            <w:shd w:val="clear" w:color="auto" w:fill="FFC000"/>
            <w:vAlign w:val="center"/>
          </w:tcPr>
          <w:p w14:paraId="3384B7FA" w14:textId="31F8B04C" w:rsidR="00076C85" w:rsidRPr="000B3AAF" w:rsidRDefault="00E74C2B" w:rsidP="00E74C2B">
            <w:pPr>
              <w:spacing w:line="360" w:lineRule="auto"/>
              <w:jc w:val="center"/>
              <w:rPr>
                <w:b/>
              </w:rPr>
            </w:pPr>
            <w:r>
              <w:rPr>
                <w:b/>
              </w:rPr>
              <w:t xml:space="preserve">Nivel de </w:t>
            </w:r>
            <w:r w:rsidR="000B3AAF" w:rsidRPr="00D6286C">
              <w:rPr>
                <w:b/>
              </w:rPr>
              <w:t>Riesgo</w:t>
            </w:r>
            <w:r w:rsidR="00076C85" w:rsidRPr="00D6286C">
              <w:rPr>
                <w:b/>
              </w:rPr>
              <w:t xml:space="preserve"> alto</w:t>
            </w:r>
          </w:p>
        </w:tc>
      </w:tr>
    </w:tbl>
    <w:p w14:paraId="0868C5D2" w14:textId="334B1AAC" w:rsidR="005E4900" w:rsidRDefault="005E4900" w:rsidP="00FC579F">
      <w:pPr>
        <w:jc w:val="center"/>
        <w:rPr>
          <w:b/>
          <w:color w:val="000000" w:themeColor="text1"/>
          <w:sz w:val="28"/>
        </w:rPr>
      </w:pPr>
    </w:p>
    <w:p w14:paraId="591FAE53" w14:textId="77777777" w:rsidR="00436F61" w:rsidRDefault="00436F61" w:rsidP="005E4900">
      <w:pPr>
        <w:spacing w:before="240"/>
        <w:jc w:val="center"/>
        <w:rPr>
          <w:b/>
          <w:color w:val="000000" w:themeColor="text1"/>
          <w:sz w:val="28"/>
        </w:rPr>
      </w:pPr>
    </w:p>
    <w:p w14:paraId="74A4C762" w14:textId="7B2DF96F" w:rsidR="00FC579F" w:rsidRDefault="00992B21" w:rsidP="005E4900">
      <w:pPr>
        <w:spacing w:before="240"/>
        <w:jc w:val="center"/>
        <w:rPr>
          <w:b/>
          <w:color w:val="000000" w:themeColor="text1"/>
          <w:sz w:val="28"/>
        </w:rPr>
      </w:pPr>
      <w:r>
        <w:rPr>
          <w:b/>
          <w:color w:val="000000" w:themeColor="text1"/>
          <w:sz w:val="28"/>
        </w:rPr>
        <w:lastRenderedPageBreak/>
        <w:t>Tabla 6</w:t>
      </w:r>
      <w:r w:rsidR="00FC579F" w:rsidRPr="00FC579F">
        <w:rPr>
          <w:b/>
          <w:color w:val="000000" w:themeColor="text1"/>
          <w:sz w:val="28"/>
        </w:rPr>
        <w:t>.</w:t>
      </w:r>
      <w:r w:rsidR="00FC579F">
        <w:rPr>
          <w:b/>
          <w:color w:val="000000" w:themeColor="text1"/>
          <w:sz w:val="28"/>
        </w:rPr>
        <w:t xml:space="preserve"> </w:t>
      </w:r>
      <w:r w:rsidR="00FC579F" w:rsidRPr="00FC579F">
        <w:rPr>
          <w:b/>
          <w:color w:val="000000" w:themeColor="text1"/>
          <w:sz w:val="28"/>
        </w:rPr>
        <w:t>Dirección de Desarrollo y Comercialización de Servicios Ambientales</w:t>
      </w:r>
    </w:p>
    <w:tbl>
      <w:tblPr>
        <w:tblStyle w:val="Tablaconcuadrcula"/>
        <w:tblpPr w:leftFromText="141" w:rightFromText="141" w:vertAnchor="text" w:horzAnchor="margin" w:tblpX="-289" w:tblpY="248"/>
        <w:tblW w:w="1374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B0D87A"/>
        <w:tblLook w:val="04A0" w:firstRow="1" w:lastRow="0" w:firstColumn="1" w:lastColumn="0" w:noHBand="0" w:noVBand="1"/>
      </w:tblPr>
      <w:tblGrid>
        <w:gridCol w:w="828"/>
        <w:gridCol w:w="2569"/>
        <w:gridCol w:w="6663"/>
        <w:gridCol w:w="2435"/>
        <w:gridCol w:w="1251"/>
      </w:tblGrid>
      <w:tr w:rsidR="001C7DB0" w:rsidRPr="0014394D" w14:paraId="057A7948" w14:textId="77777777" w:rsidTr="00F32E20">
        <w:trPr>
          <w:trHeight w:val="37"/>
          <w:tblHeader/>
        </w:trPr>
        <w:tc>
          <w:tcPr>
            <w:tcW w:w="828" w:type="dxa"/>
            <w:shd w:val="clear" w:color="auto" w:fill="BFBFBF" w:themeFill="background1" w:themeFillShade="BF"/>
            <w:vAlign w:val="center"/>
          </w:tcPr>
          <w:p w14:paraId="7833198A" w14:textId="77777777" w:rsidR="001C7DB0" w:rsidRPr="005E4900" w:rsidRDefault="001C7DB0" w:rsidP="00A76BC0">
            <w:pPr>
              <w:jc w:val="center"/>
              <w:rPr>
                <w:b/>
                <w:color w:val="404040" w:themeColor="text1" w:themeTint="BF"/>
              </w:rPr>
            </w:pPr>
            <w:r w:rsidRPr="005E4900">
              <w:rPr>
                <w:b/>
                <w:color w:val="404040" w:themeColor="text1" w:themeTint="BF"/>
              </w:rPr>
              <w:t>N°</w:t>
            </w:r>
          </w:p>
        </w:tc>
        <w:tc>
          <w:tcPr>
            <w:tcW w:w="2569" w:type="dxa"/>
            <w:shd w:val="clear" w:color="auto" w:fill="BFBFBF" w:themeFill="background1" w:themeFillShade="BF"/>
            <w:vAlign w:val="center"/>
          </w:tcPr>
          <w:p w14:paraId="5B67C462" w14:textId="77777777" w:rsidR="001C7DB0" w:rsidRPr="005E4900" w:rsidRDefault="001C7DB0" w:rsidP="001617A5">
            <w:pPr>
              <w:jc w:val="center"/>
              <w:rPr>
                <w:b/>
                <w:color w:val="404040" w:themeColor="text1" w:themeTint="BF"/>
              </w:rPr>
            </w:pPr>
            <w:r w:rsidRPr="005E4900">
              <w:rPr>
                <w:b/>
                <w:color w:val="404040" w:themeColor="text1" w:themeTint="BF"/>
              </w:rPr>
              <w:t>Riesgo estratégicos relevantes</w:t>
            </w:r>
          </w:p>
        </w:tc>
        <w:tc>
          <w:tcPr>
            <w:tcW w:w="6663" w:type="dxa"/>
            <w:shd w:val="clear" w:color="auto" w:fill="BFBFBF" w:themeFill="background1" w:themeFillShade="BF"/>
            <w:vAlign w:val="center"/>
          </w:tcPr>
          <w:p w14:paraId="36E5CA2E" w14:textId="77777777" w:rsidR="001C7DB0" w:rsidRPr="005E4900" w:rsidRDefault="001C7DB0" w:rsidP="001617A5">
            <w:pPr>
              <w:jc w:val="center"/>
              <w:rPr>
                <w:color w:val="404040" w:themeColor="text1" w:themeTint="BF"/>
              </w:rPr>
            </w:pPr>
            <w:r w:rsidRPr="005E4900">
              <w:rPr>
                <w:b/>
                <w:color w:val="404040" w:themeColor="text1" w:themeTint="BF"/>
              </w:rPr>
              <w:t>Principales causas</w:t>
            </w:r>
          </w:p>
        </w:tc>
        <w:tc>
          <w:tcPr>
            <w:tcW w:w="2435" w:type="dxa"/>
            <w:shd w:val="clear" w:color="auto" w:fill="BFBFBF" w:themeFill="background1" w:themeFillShade="BF"/>
            <w:vAlign w:val="center"/>
          </w:tcPr>
          <w:p w14:paraId="288A13BD" w14:textId="77777777" w:rsidR="001C7DB0" w:rsidRPr="005E4900" w:rsidRDefault="001C7DB0" w:rsidP="001617A5">
            <w:pPr>
              <w:jc w:val="center"/>
              <w:rPr>
                <w:color w:val="404040" w:themeColor="text1" w:themeTint="BF"/>
              </w:rPr>
            </w:pPr>
            <w:r w:rsidRPr="005E4900">
              <w:rPr>
                <w:b/>
                <w:color w:val="404040" w:themeColor="text1" w:themeTint="BF"/>
              </w:rPr>
              <w:t>Principales consecuencias</w:t>
            </w:r>
          </w:p>
        </w:tc>
        <w:tc>
          <w:tcPr>
            <w:tcW w:w="1251" w:type="dxa"/>
            <w:shd w:val="clear" w:color="auto" w:fill="BFBFBF" w:themeFill="background1" w:themeFillShade="BF"/>
            <w:vAlign w:val="center"/>
          </w:tcPr>
          <w:p w14:paraId="54240902" w14:textId="77777777" w:rsidR="001C7DB0" w:rsidRPr="005E4900" w:rsidRDefault="001C7DB0" w:rsidP="001617A5">
            <w:pPr>
              <w:jc w:val="center"/>
              <w:rPr>
                <w:color w:val="404040" w:themeColor="text1" w:themeTint="BF"/>
              </w:rPr>
            </w:pPr>
            <w:r w:rsidRPr="005E4900">
              <w:rPr>
                <w:b/>
                <w:color w:val="404040" w:themeColor="text1" w:themeTint="BF"/>
              </w:rPr>
              <w:t>Nivel</w:t>
            </w:r>
          </w:p>
        </w:tc>
      </w:tr>
      <w:tr w:rsidR="001C7DB0" w:rsidRPr="0014394D" w14:paraId="412DAC6E" w14:textId="77777777" w:rsidTr="00F32E20">
        <w:trPr>
          <w:cantSplit/>
          <w:trHeight w:val="6914"/>
        </w:trPr>
        <w:tc>
          <w:tcPr>
            <w:tcW w:w="828" w:type="dxa"/>
            <w:shd w:val="clear" w:color="auto" w:fill="FFFFFF" w:themeFill="background1"/>
            <w:textDirection w:val="btLr"/>
          </w:tcPr>
          <w:p w14:paraId="468B73AE" w14:textId="1A4362AF" w:rsidR="001C7DB0" w:rsidRPr="00465139" w:rsidRDefault="001C7DB0" w:rsidP="001C7DB0">
            <w:pPr>
              <w:ind w:left="113" w:right="113"/>
              <w:jc w:val="center"/>
              <w:rPr>
                <w:b/>
              </w:rPr>
            </w:pPr>
            <w:r>
              <w:rPr>
                <w:rFonts w:ascii="Arial Narrow" w:hAnsi="Arial Narrow" w:cstheme="majorHAnsi"/>
                <w:b/>
              </w:rPr>
              <w:t>R-DDCSA-09</w:t>
            </w:r>
          </w:p>
        </w:tc>
        <w:tc>
          <w:tcPr>
            <w:tcW w:w="2569" w:type="dxa"/>
            <w:shd w:val="clear" w:color="auto" w:fill="FFFFFF" w:themeFill="background1"/>
            <w:vAlign w:val="center"/>
          </w:tcPr>
          <w:p w14:paraId="6EE1C0B6" w14:textId="4F3BADB4" w:rsidR="001C7DB0" w:rsidRPr="00855565" w:rsidRDefault="001C7DB0" w:rsidP="00855565">
            <w:pPr>
              <w:spacing w:line="360" w:lineRule="auto"/>
              <w:jc w:val="both"/>
              <w:rPr>
                <w:rFonts w:asciiTheme="minorHAnsi" w:hAnsiTheme="minorHAnsi"/>
                <w:b/>
              </w:rPr>
            </w:pPr>
            <w:r w:rsidRPr="00855565">
              <w:rPr>
                <w:rFonts w:asciiTheme="minorHAnsi" w:hAnsiTheme="minorHAnsi" w:cstheme="majorHAnsi"/>
                <w:b/>
              </w:rPr>
              <w:t>Pérdida del posicionamiento del Fonafifo para captar recursos adicionales</w:t>
            </w:r>
          </w:p>
        </w:tc>
        <w:tc>
          <w:tcPr>
            <w:tcW w:w="6663" w:type="dxa"/>
            <w:shd w:val="clear" w:color="auto" w:fill="FFFFFF" w:themeFill="background1"/>
          </w:tcPr>
          <w:p w14:paraId="2561C6BF" w14:textId="77777777" w:rsidR="001617A5" w:rsidRDefault="001617A5" w:rsidP="001C7DB0">
            <w:pPr>
              <w:spacing w:line="360" w:lineRule="auto"/>
              <w:jc w:val="both"/>
            </w:pPr>
          </w:p>
          <w:p w14:paraId="08B75955" w14:textId="1187E4D0" w:rsidR="001617A5" w:rsidRDefault="001C7DB0" w:rsidP="001C7DB0">
            <w:pPr>
              <w:spacing w:line="360" w:lineRule="auto"/>
              <w:jc w:val="both"/>
            </w:pPr>
            <w:r w:rsidRPr="001C7DB0">
              <w:t xml:space="preserve">Causas externas son la creciente presión de los mercados hacia productos con requisitos ambientales específicos, el incremento de la competencia, y las estrategias de desarrollo e innovación adoptadas por empresas que avanzan en nuevos nichos. </w:t>
            </w:r>
          </w:p>
          <w:p w14:paraId="7CE4DF98" w14:textId="77777777" w:rsidR="001617A5" w:rsidRDefault="001617A5" w:rsidP="001C7DB0">
            <w:pPr>
              <w:spacing w:line="360" w:lineRule="auto"/>
              <w:jc w:val="both"/>
            </w:pPr>
          </w:p>
          <w:p w14:paraId="6A276BAD" w14:textId="25C475B8" w:rsidR="001C7DB0" w:rsidRPr="00D6286C" w:rsidRDefault="001C7DB0" w:rsidP="001C7DB0">
            <w:pPr>
              <w:spacing w:line="360" w:lineRule="auto"/>
              <w:jc w:val="both"/>
            </w:pPr>
            <w:r w:rsidRPr="001C7DB0">
              <w:t xml:space="preserve">Entre las causas internas se encuentran </w:t>
            </w:r>
            <w:r w:rsidRPr="00F405BC">
              <w:t xml:space="preserve">la limitada la exploración de proyectos en recursos naturales que generen nuevos servicios y bienes mediante mecanismos financieros innovadores. </w:t>
            </w:r>
            <w:r w:rsidR="00F405BC" w:rsidRPr="001C7DB0">
              <w:t>L</w:t>
            </w:r>
            <w:r w:rsidRPr="001C7DB0">
              <w:t>a ausencia de una oficina de comunicación y divulgación que incremente el alcance en organizaciones y la articulación de alianzas estratégicas, la falta de datos estadísticos sistematizados que evidencie el impacto de las negociaciones, la inexistencia de un sistema de seguimiento de convenios, una plataforma institucional enfocada exclusivamente en la ejecución de programas y no en la captación de recursos, y una limitada interacción con comunidades locales y grupos clave, lo que restringe el posicionamiento de Fonafifo y la efectividad de su gestión de alianzas.</w:t>
            </w:r>
          </w:p>
        </w:tc>
        <w:tc>
          <w:tcPr>
            <w:tcW w:w="2435" w:type="dxa"/>
            <w:shd w:val="clear" w:color="auto" w:fill="FFFFFF" w:themeFill="background1"/>
            <w:vAlign w:val="center"/>
          </w:tcPr>
          <w:p w14:paraId="055AB9FF" w14:textId="65B90830" w:rsidR="001C7DB0" w:rsidRPr="005E4900" w:rsidRDefault="001C7DB0" w:rsidP="001C7DB0">
            <w:pPr>
              <w:shd w:val="clear" w:color="auto" w:fill="FFFFFF" w:themeFill="background1"/>
              <w:spacing w:line="360" w:lineRule="auto"/>
              <w:jc w:val="both"/>
            </w:pPr>
            <w:r w:rsidRPr="00D6286C">
              <w:t>Reducción en el número de convenios firmados que generen ingresos adicionales para apoyar en el impacto social, ambiental y económico que tiene el programa de PSA.</w:t>
            </w:r>
          </w:p>
        </w:tc>
        <w:tc>
          <w:tcPr>
            <w:tcW w:w="1251" w:type="dxa"/>
            <w:shd w:val="clear" w:color="auto" w:fill="FFC000"/>
            <w:vAlign w:val="center"/>
          </w:tcPr>
          <w:p w14:paraId="067C05DD" w14:textId="77777777" w:rsidR="001C7DB0" w:rsidRDefault="001C7DB0" w:rsidP="001C7DB0">
            <w:pPr>
              <w:spacing w:line="360" w:lineRule="auto"/>
              <w:jc w:val="center"/>
              <w:rPr>
                <w:b/>
              </w:rPr>
            </w:pPr>
            <w:r>
              <w:rPr>
                <w:b/>
              </w:rPr>
              <w:t xml:space="preserve">Nivel de </w:t>
            </w:r>
            <w:r w:rsidRPr="00D6286C">
              <w:rPr>
                <w:b/>
              </w:rPr>
              <w:t>Riesgo</w:t>
            </w:r>
          </w:p>
          <w:p w14:paraId="049E1F91" w14:textId="5EF99C64" w:rsidR="001C7DB0" w:rsidRPr="000B3AAF" w:rsidRDefault="001C7DB0" w:rsidP="001C7DB0">
            <w:pPr>
              <w:spacing w:line="360" w:lineRule="auto"/>
              <w:jc w:val="center"/>
              <w:rPr>
                <w:b/>
              </w:rPr>
            </w:pPr>
            <w:r w:rsidRPr="00D6286C">
              <w:rPr>
                <w:b/>
              </w:rPr>
              <w:t>alto</w:t>
            </w:r>
          </w:p>
        </w:tc>
      </w:tr>
    </w:tbl>
    <w:p w14:paraId="5407B169" w14:textId="77777777" w:rsidR="00F32E20" w:rsidRDefault="00F32E20" w:rsidP="00F32E20">
      <w:pPr>
        <w:pStyle w:val="Sinespaciado"/>
      </w:pPr>
      <w:bookmarkStart w:id="7" w:name="_Toc210994801"/>
    </w:p>
    <w:p w14:paraId="23728BBE" w14:textId="3F665640" w:rsidR="001A4F89" w:rsidRDefault="00DD785B" w:rsidP="0014394D">
      <w:pPr>
        <w:pStyle w:val="Ttulo1"/>
      </w:pPr>
      <w:r>
        <w:lastRenderedPageBreak/>
        <w:t>III</w:t>
      </w:r>
      <w:r w:rsidR="0014394D">
        <w:t>. Nivel de Riesgo Institucional</w:t>
      </w:r>
      <w:bookmarkEnd w:id="7"/>
      <w:r w:rsidR="0014394D">
        <w:t xml:space="preserve"> </w:t>
      </w:r>
    </w:p>
    <w:p w14:paraId="646DCB48" w14:textId="77777777" w:rsidR="004A4522" w:rsidRDefault="004A4522" w:rsidP="006C4111">
      <w:pPr>
        <w:pStyle w:val="Sinespaciado"/>
        <w:spacing w:line="360" w:lineRule="auto"/>
        <w:jc w:val="both"/>
        <w:rPr>
          <w:rFonts w:ascii="Times New Roman" w:hAnsi="Times New Roman" w:cs="Times New Roman"/>
          <w:sz w:val="24"/>
          <w:lang w:val="es-CR"/>
        </w:rPr>
      </w:pPr>
    </w:p>
    <w:p w14:paraId="646E360B" w14:textId="4EAFFC5D" w:rsidR="006E3CC9" w:rsidRPr="006E3CC9" w:rsidRDefault="006E3CC9" w:rsidP="006E3CC9">
      <w:pPr>
        <w:pStyle w:val="Sinespaciado"/>
        <w:spacing w:line="360" w:lineRule="auto"/>
        <w:jc w:val="both"/>
        <w:rPr>
          <w:rFonts w:ascii="Arial" w:hAnsi="Arial" w:cs="Arial"/>
          <w:sz w:val="24"/>
          <w:lang w:val="es-CR"/>
        </w:rPr>
      </w:pPr>
      <w:r w:rsidRPr="006E3CC9">
        <w:rPr>
          <w:rFonts w:ascii="Arial" w:hAnsi="Arial" w:cs="Arial"/>
          <w:sz w:val="24"/>
          <w:lang w:val="es-CR"/>
        </w:rPr>
        <w:t>El nivel de riesgo institucional se determina a partir del análisis integral de los riesgos identificados en la organización, considerando tanto su probabilidad de ocurrencia como su impacto en los objetivos institucionales, el cual se representa en el siguiente mapa de calor. Cada riesgo se evalúa en una escala del 1 al 5 para ambos criterios, y su nivel se calcula multiplicando estos valores. Posteriormente, los riesgos se agrupan según su nivel (bajo, medio, alto, muy alto o extremo) y se analiza su distribución y aceptabilidad, considerando que los riesgos a partir del nivel alto se clasifican como inaceptables</w:t>
      </w:r>
      <w:r>
        <w:rPr>
          <w:rFonts w:ascii="Arial" w:hAnsi="Arial" w:cs="Arial"/>
          <w:sz w:val="24"/>
          <w:lang w:val="es-CR"/>
        </w:rPr>
        <w:t>.</w:t>
      </w:r>
    </w:p>
    <w:p w14:paraId="068F200A" w14:textId="77777777" w:rsidR="006E3CC9" w:rsidRPr="006E3CC9" w:rsidRDefault="006E3CC9" w:rsidP="006E3CC9">
      <w:pPr>
        <w:pStyle w:val="Sinespaciado"/>
        <w:spacing w:line="360" w:lineRule="auto"/>
        <w:jc w:val="both"/>
        <w:rPr>
          <w:rFonts w:ascii="Arial" w:hAnsi="Arial" w:cs="Arial"/>
          <w:sz w:val="24"/>
          <w:lang w:val="es-CR"/>
        </w:rPr>
      </w:pPr>
    </w:p>
    <w:p w14:paraId="33139DAD" w14:textId="30E02D45" w:rsidR="001A4F89" w:rsidRPr="006E3CC9" w:rsidRDefault="003D53AB" w:rsidP="006E3CC9">
      <w:pPr>
        <w:pStyle w:val="Sinespaciado"/>
        <w:spacing w:line="360" w:lineRule="auto"/>
        <w:jc w:val="both"/>
        <w:rPr>
          <w:rFonts w:ascii="Arial" w:hAnsi="Arial" w:cs="Arial"/>
          <w:sz w:val="24"/>
          <w:lang w:val="es-CR"/>
        </w:rPr>
      </w:pPr>
      <w:r w:rsidRPr="001A4F89">
        <w:rPr>
          <w:noProof/>
          <w:lang w:val="es-CR" w:eastAsia="es-CR"/>
        </w:rPr>
        <w:drawing>
          <wp:anchor distT="0" distB="0" distL="114300" distR="114300" simplePos="0" relativeHeight="251672064" behindDoc="0" locked="0" layoutInCell="1" allowOverlap="1" wp14:anchorId="1D4A6A8A" wp14:editId="2D2366E0">
            <wp:simplePos x="0" y="0"/>
            <wp:positionH relativeFrom="column">
              <wp:posOffset>5815965</wp:posOffset>
            </wp:positionH>
            <wp:positionV relativeFrom="paragraph">
              <wp:posOffset>749300</wp:posOffset>
            </wp:positionV>
            <wp:extent cx="903605" cy="3039110"/>
            <wp:effectExtent l="0" t="0" r="0" b="889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3605" cy="303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4F89">
        <w:rPr>
          <w:noProof/>
          <w:lang w:val="es-CR" w:eastAsia="es-CR"/>
        </w:rPr>
        <w:drawing>
          <wp:anchor distT="0" distB="0" distL="114300" distR="114300" simplePos="0" relativeHeight="251673088" behindDoc="0" locked="0" layoutInCell="1" allowOverlap="1" wp14:anchorId="74339CFB" wp14:editId="4C03A14B">
            <wp:simplePos x="0" y="0"/>
            <wp:positionH relativeFrom="column">
              <wp:posOffset>1924050</wp:posOffset>
            </wp:positionH>
            <wp:positionV relativeFrom="paragraph">
              <wp:posOffset>751840</wp:posOffset>
            </wp:positionV>
            <wp:extent cx="3842385" cy="3039110"/>
            <wp:effectExtent l="0" t="0" r="5715" b="889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r="10033" b="5712"/>
                    <a:stretch/>
                  </pic:blipFill>
                  <pic:spPr bwMode="auto">
                    <a:xfrm>
                      <a:off x="0" y="0"/>
                      <a:ext cx="3842385" cy="3039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4111" w:rsidRPr="006E3CC9">
        <w:rPr>
          <w:rFonts w:ascii="Arial" w:hAnsi="Arial" w:cs="Arial"/>
          <w:sz w:val="24"/>
          <w:lang w:val="es-CR"/>
        </w:rPr>
        <w:t xml:space="preserve">Para establecer el nivel de riesgo institucional, se utilizó el enfoque cuantitativo, el cual consiste en obtener un promedio del puntaje de los niveles de riesgo individuales, lo que permite </w:t>
      </w:r>
      <w:r w:rsidR="006E3CC9" w:rsidRPr="006E3CC9">
        <w:rPr>
          <w:rFonts w:ascii="Arial" w:hAnsi="Arial" w:cs="Arial"/>
          <w:sz w:val="24"/>
          <w:lang w:val="es-CR"/>
        </w:rPr>
        <w:t xml:space="preserve">asignar </w:t>
      </w:r>
      <w:r w:rsidR="006C4111" w:rsidRPr="006E3CC9">
        <w:rPr>
          <w:rFonts w:ascii="Arial" w:hAnsi="Arial" w:cs="Arial"/>
          <w:sz w:val="24"/>
          <w:lang w:val="es-CR"/>
        </w:rPr>
        <w:t>un valor numérico representativo del riesgo global</w:t>
      </w:r>
      <w:r w:rsidR="002A3A20">
        <w:rPr>
          <w:rFonts w:ascii="Arial" w:hAnsi="Arial" w:cs="Arial"/>
          <w:sz w:val="24"/>
          <w:lang w:val="es-CR"/>
        </w:rPr>
        <w:t xml:space="preserve"> de la institución</w:t>
      </w:r>
      <w:r w:rsidR="006C4111" w:rsidRPr="006E3CC9">
        <w:rPr>
          <w:rFonts w:ascii="Arial" w:hAnsi="Arial" w:cs="Arial"/>
          <w:sz w:val="24"/>
          <w:lang w:val="es-CR"/>
        </w:rPr>
        <w:t xml:space="preserve">. </w:t>
      </w:r>
      <w:r w:rsidR="001A4F89" w:rsidRPr="006E3CC9">
        <w:rPr>
          <w:rFonts w:ascii="Arial" w:hAnsi="Arial" w:cs="Arial"/>
          <w:sz w:val="24"/>
          <w:lang w:val="es-CR"/>
        </w:rPr>
        <w:t xml:space="preserve">  </w:t>
      </w:r>
    </w:p>
    <w:p w14:paraId="1294D622" w14:textId="4E47DC64" w:rsidR="001A4F89" w:rsidRDefault="001A4F89" w:rsidP="00F52B43">
      <w:pPr>
        <w:jc w:val="center"/>
      </w:pPr>
      <w:r>
        <w:br w:type="page"/>
      </w:r>
    </w:p>
    <w:p w14:paraId="59431BA8" w14:textId="48BA68E0" w:rsidR="008B1E99" w:rsidRPr="008B1E99" w:rsidRDefault="008B1E99" w:rsidP="008B1E99">
      <w:pPr>
        <w:spacing w:before="100" w:beforeAutospacing="1" w:after="100" w:afterAutospacing="1" w:line="360" w:lineRule="auto"/>
        <w:jc w:val="both"/>
        <w:rPr>
          <w:rFonts w:ascii="Arial" w:hAnsi="Arial" w:cs="Arial"/>
        </w:rPr>
      </w:pPr>
      <w:r w:rsidRPr="008B1E99">
        <w:rPr>
          <w:rFonts w:ascii="Arial" w:hAnsi="Arial" w:cs="Arial"/>
        </w:rPr>
        <w:lastRenderedPageBreak/>
        <w:t xml:space="preserve">De acuerdo con la valoración individual de los riesgos, cuyos resultados se presentan en la siguiente tabla, se observa que el promedio obtenido ubica a la institución en un nivel de </w:t>
      </w:r>
      <w:r w:rsidRPr="008B1E99">
        <w:rPr>
          <w:rFonts w:ascii="Arial" w:hAnsi="Arial" w:cs="Arial"/>
          <w:shd w:val="clear" w:color="auto" w:fill="FFFF00"/>
        </w:rPr>
        <w:t>riesgo medio</w:t>
      </w:r>
      <w:r w:rsidRPr="008B1E99">
        <w:rPr>
          <w:rFonts w:ascii="Arial" w:hAnsi="Arial" w:cs="Arial"/>
        </w:rPr>
        <w:t xml:space="preserve">. No obstante, se identifican riesgos inaceptables que requieren atención </w:t>
      </w:r>
      <w:r w:rsidR="006E3CC9">
        <w:rPr>
          <w:rFonts w:ascii="Arial" w:hAnsi="Arial" w:cs="Arial"/>
        </w:rPr>
        <w:t>y seguimiento</w:t>
      </w:r>
      <w:r w:rsidRPr="008B1E99">
        <w:rPr>
          <w:rFonts w:ascii="Arial" w:hAnsi="Arial" w:cs="Arial"/>
        </w:rPr>
        <w:t>, dado que representan una amenaza al cumplimiento de los objetivos estratégicos.</w:t>
      </w:r>
    </w:p>
    <w:p w14:paraId="661715CF" w14:textId="5C968230" w:rsidR="00F52B43" w:rsidRDefault="00992B21" w:rsidP="00F52B43">
      <w:pPr>
        <w:jc w:val="center"/>
        <w:rPr>
          <w:rFonts w:ascii="Arial" w:hAnsi="Arial" w:cs="Arial"/>
          <w:b/>
        </w:rPr>
      </w:pPr>
      <w:r>
        <w:rPr>
          <w:rFonts w:ascii="Arial" w:hAnsi="Arial" w:cs="Arial"/>
          <w:b/>
        </w:rPr>
        <w:t>Tabla 7</w:t>
      </w:r>
      <w:r w:rsidR="00F52B43" w:rsidRPr="00931906">
        <w:rPr>
          <w:rFonts w:ascii="Arial" w:hAnsi="Arial" w:cs="Arial"/>
          <w:b/>
        </w:rPr>
        <w:t xml:space="preserve">. Nivel de Riesgo Institucional </w:t>
      </w:r>
    </w:p>
    <w:p w14:paraId="2947CA34" w14:textId="77777777" w:rsidR="00436F61" w:rsidRPr="00931906" w:rsidRDefault="00436F61" w:rsidP="00F52B43">
      <w:pPr>
        <w:jc w:val="center"/>
        <w:rPr>
          <w:rFonts w:ascii="Arial" w:hAnsi="Arial" w:cs="Arial"/>
          <w:b/>
        </w:rPr>
      </w:pPr>
    </w:p>
    <w:tbl>
      <w:tblPr>
        <w:tblW w:w="7690"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3585"/>
        <w:gridCol w:w="4105"/>
      </w:tblGrid>
      <w:tr w:rsidR="006C4111" w:rsidRPr="008B1E99" w14:paraId="7F09BB8C" w14:textId="77777777" w:rsidTr="009B50F7">
        <w:trPr>
          <w:trHeight w:val="707"/>
          <w:jc w:val="center"/>
        </w:trPr>
        <w:tc>
          <w:tcPr>
            <w:tcW w:w="3585" w:type="dxa"/>
            <w:shd w:val="clear" w:color="auto" w:fill="D2843E"/>
            <w:vAlign w:val="center"/>
            <w:hideMark/>
          </w:tcPr>
          <w:p w14:paraId="72E7997C" w14:textId="5B2C5CBE" w:rsidR="003D53AB" w:rsidRPr="00921A4B" w:rsidRDefault="006C4111" w:rsidP="00655218">
            <w:pPr>
              <w:jc w:val="center"/>
              <w:rPr>
                <w:rFonts w:ascii="Arial" w:hAnsi="Arial" w:cs="Arial"/>
                <w:b/>
                <w:bCs/>
                <w:color w:val="FFFFFF" w:themeColor="background1"/>
              </w:rPr>
            </w:pPr>
            <w:r w:rsidRPr="00921A4B">
              <w:rPr>
                <w:rFonts w:ascii="Arial" w:hAnsi="Arial" w:cs="Arial"/>
                <w:b/>
                <w:bCs/>
                <w:color w:val="FFFFFF" w:themeColor="background1"/>
              </w:rPr>
              <w:t>Nivel de Riesgo</w:t>
            </w:r>
          </w:p>
        </w:tc>
        <w:tc>
          <w:tcPr>
            <w:tcW w:w="4105" w:type="dxa"/>
            <w:shd w:val="clear" w:color="auto" w:fill="D2843E"/>
            <w:vAlign w:val="center"/>
            <w:hideMark/>
          </w:tcPr>
          <w:p w14:paraId="39F820A9" w14:textId="164D64F3" w:rsidR="003D53AB" w:rsidRPr="00921A4B" w:rsidRDefault="006C4111" w:rsidP="00655218">
            <w:pPr>
              <w:jc w:val="center"/>
              <w:rPr>
                <w:rFonts w:ascii="Arial" w:hAnsi="Arial" w:cs="Arial"/>
                <w:b/>
                <w:bCs/>
                <w:color w:val="FFFFFF" w:themeColor="background1"/>
              </w:rPr>
            </w:pPr>
            <w:r w:rsidRPr="00921A4B">
              <w:rPr>
                <w:rFonts w:ascii="Arial" w:hAnsi="Arial" w:cs="Arial"/>
                <w:b/>
                <w:bCs/>
                <w:color w:val="FFFFFF" w:themeColor="background1"/>
              </w:rPr>
              <w:t>Cantidad de Riesgos</w:t>
            </w:r>
          </w:p>
        </w:tc>
      </w:tr>
      <w:tr w:rsidR="006C4111" w:rsidRPr="008B1E99" w14:paraId="67D4EDA9" w14:textId="77777777" w:rsidTr="009B50F7">
        <w:trPr>
          <w:trHeight w:val="602"/>
          <w:jc w:val="center"/>
        </w:trPr>
        <w:tc>
          <w:tcPr>
            <w:tcW w:w="3585" w:type="dxa"/>
            <w:shd w:val="clear" w:color="auto" w:fill="auto"/>
            <w:vAlign w:val="center"/>
            <w:hideMark/>
          </w:tcPr>
          <w:p w14:paraId="336CE6FE" w14:textId="77777777" w:rsidR="006C4111" w:rsidRPr="008B1E99" w:rsidRDefault="006C4111" w:rsidP="006C4111">
            <w:pPr>
              <w:rPr>
                <w:rFonts w:ascii="Arial" w:hAnsi="Arial" w:cs="Arial"/>
                <w:color w:val="000000"/>
              </w:rPr>
            </w:pPr>
            <w:r w:rsidRPr="008B1E99">
              <w:rPr>
                <w:rFonts w:ascii="Arial" w:hAnsi="Arial" w:cs="Arial"/>
                <w:color w:val="000000"/>
              </w:rPr>
              <w:t>Bajo</w:t>
            </w:r>
          </w:p>
        </w:tc>
        <w:tc>
          <w:tcPr>
            <w:tcW w:w="4105" w:type="dxa"/>
            <w:shd w:val="clear" w:color="auto" w:fill="auto"/>
            <w:vAlign w:val="center"/>
          </w:tcPr>
          <w:p w14:paraId="73E65EEF" w14:textId="14503E20" w:rsidR="006C4111" w:rsidRPr="008B1E99" w:rsidRDefault="004C4205" w:rsidP="006C4111">
            <w:pPr>
              <w:jc w:val="right"/>
              <w:rPr>
                <w:rFonts w:ascii="Arial" w:hAnsi="Arial" w:cs="Arial"/>
              </w:rPr>
            </w:pPr>
            <w:r>
              <w:rPr>
                <w:rFonts w:ascii="Arial" w:hAnsi="Arial" w:cs="Arial"/>
              </w:rPr>
              <w:t>1</w:t>
            </w:r>
          </w:p>
        </w:tc>
      </w:tr>
      <w:tr w:rsidR="006C4111" w:rsidRPr="008B1E99" w14:paraId="6D623152" w14:textId="77777777" w:rsidTr="009B50F7">
        <w:trPr>
          <w:trHeight w:val="936"/>
          <w:jc w:val="center"/>
        </w:trPr>
        <w:tc>
          <w:tcPr>
            <w:tcW w:w="3585" w:type="dxa"/>
            <w:shd w:val="clear" w:color="auto" w:fill="auto"/>
            <w:vAlign w:val="center"/>
            <w:hideMark/>
          </w:tcPr>
          <w:p w14:paraId="6EAE4987" w14:textId="77777777" w:rsidR="006C4111" w:rsidRPr="008B1E99" w:rsidRDefault="006C4111" w:rsidP="006C4111">
            <w:pPr>
              <w:rPr>
                <w:rFonts w:ascii="Arial" w:hAnsi="Arial" w:cs="Arial"/>
                <w:color w:val="000000"/>
              </w:rPr>
            </w:pPr>
            <w:r w:rsidRPr="008B1E99">
              <w:rPr>
                <w:rFonts w:ascii="Arial" w:hAnsi="Arial" w:cs="Arial"/>
                <w:color w:val="000000"/>
              </w:rPr>
              <w:t>Medio</w:t>
            </w:r>
          </w:p>
        </w:tc>
        <w:tc>
          <w:tcPr>
            <w:tcW w:w="4105" w:type="dxa"/>
            <w:shd w:val="clear" w:color="auto" w:fill="auto"/>
            <w:vAlign w:val="center"/>
          </w:tcPr>
          <w:p w14:paraId="2F47B7C8" w14:textId="6D47A6DE" w:rsidR="006C4111" w:rsidRPr="008B1E99" w:rsidRDefault="004C4205" w:rsidP="006C4111">
            <w:pPr>
              <w:jc w:val="right"/>
              <w:rPr>
                <w:rFonts w:ascii="Arial" w:hAnsi="Arial" w:cs="Arial"/>
              </w:rPr>
            </w:pPr>
            <w:r>
              <w:rPr>
                <w:rFonts w:ascii="Arial" w:hAnsi="Arial" w:cs="Arial"/>
              </w:rPr>
              <w:t>5</w:t>
            </w:r>
          </w:p>
        </w:tc>
      </w:tr>
      <w:tr w:rsidR="006C4111" w:rsidRPr="008B1E99" w14:paraId="4140EAA8" w14:textId="77777777" w:rsidTr="009B50F7">
        <w:trPr>
          <w:trHeight w:val="606"/>
          <w:jc w:val="center"/>
        </w:trPr>
        <w:tc>
          <w:tcPr>
            <w:tcW w:w="3585" w:type="dxa"/>
            <w:shd w:val="clear" w:color="auto" w:fill="auto"/>
            <w:vAlign w:val="center"/>
            <w:hideMark/>
          </w:tcPr>
          <w:p w14:paraId="6B0B036F" w14:textId="77777777" w:rsidR="006C4111" w:rsidRPr="008B1E99" w:rsidRDefault="006C4111" w:rsidP="006C4111">
            <w:pPr>
              <w:rPr>
                <w:rFonts w:ascii="Arial" w:hAnsi="Arial" w:cs="Arial"/>
                <w:color w:val="000000"/>
              </w:rPr>
            </w:pPr>
            <w:r w:rsidRPr="008B1E99">
              <w:rPr>
                <w:rFonts w:ascii="Arial" w:hAnsi="Arial" w:cs="Arial"/>
                <w:color w:val="000000"/>
              </w:rPr>
              <w:t>Alto</w:t>
            </w:r>
          </w:p>
        </w:tc>
        <w:tc>
          <w:tcPr>
            <w:tcW w:w="4105" w:type="dxa"/>
            <w:shd w:val="clear" w:color="auto" w:fill="auto"/>
            <w:vAlign w:val="center"/>
          </w:tcPr>
          <w:p w14:paraId="208FA1DA" w14:textId="1C8420C4" w:rsidR="006C4111" w:rsidRPr="008B1E99" w:rsidRDefault="00076C85" w:rsidP="006C4111">
            <w:pPr>
              <w:jc w:val="right"/>
              <w:rPr>
                <w:rFonts w:ascii="Arial" w:hAnsi="Arial" w:cs="Arial"/>
              </w:rPr>
            </w:pPr>
            <w:r w:rsidRPr="008B1E99">
              <w:rPr>
                <w:rFonts w:ascii="Arial" w:hAnsi="Arial" w:cs="Arial"/>
              </w:rPr>
              <w:t>3</w:t>
            </w:r>
          </w:p>
        </w:tc>
      </w:tr>
      <w:tr w:rsidR="006C4111" w:rsidRPr="008B1E99" w14:paraId="096836E6" w14:textId="77777777" w:rsidTr="009B50F7">
        <w:trPr>
          <w:trHeight w:val="605"/>
          <w:jc w:val="center"/>
        </w:trPr>
        <w:tc>
          <w:tcPr>
            <w:tcW w:w="3585" w:type="dxa"/>
            <w:shd w:val="clear" w:color="auto" w:fill="FFFFA3"/>
            <w:vAlign w:val="center"/>
          </w:tcPr>
          <w:p w14:paraId="44EC3681" w14:textId="77777777" w:rsidR="006C4111" w:rsidRPr="008B1E99" w:rsidRDefault="006C4111" w:rsidP="006C4111">
            <w:pPr>
              <w:rPr>
                <w:rFonts w:ascii="Arial" w:hAnsi="Arial" w:cs="Arial"/>
                <w:b/>
                <w:color w:val="000000"/>
              </w:rPr>
            </w:pPr>
            <w:r w:rsidRPr="008B1E99">
              <w:rPr>
                <w:rFonts w:ascii="Arial" w:hAnsi="Arial" w:cs="Arial"/>
                <w:b/>
                <w:color w:val="000000"/>
              </w:rPr>
              <w:t xml:space="preserve">Promedio </w:t>
            </w:r>
          </w:p>
        </w:tc>
        <w:tc>
          <w:tcPr>
            <w:tcW w:w="4105" w:type="dxa"/>
            <w:shd w:val="clear" w:color="auto" w:fill="FFFFA3"/>
            <w:vAlign w:val="center"/>
          </w:tcPr>
          <w:p w14:paraId="34F3D612" w14:textId="75A1ECD8" w:rsidR="006C4111" w:rsidRPr="008B1E99" w:rsidRDefault="004C4205" w:rsidP="006C4111">
            <w:pPr>
              <w:jc w:val="right"/>
              <w:rPr>
                <w:rFonts w:ascii="Arial" w:hAnsi="Arial" w:cs="Arial"/>
              </w:rPr>
            </w:pPr>
            <w:r>
              <w:rPr>
                <w:rFonts w:ascii="Arial" w:hAnsi="Arial" w:cs="Arial"/>
              </w:rPr>
              <w:t>3</w:t>
            </w:r>
          </w:p>
        </w:tc>
      </w:tr>
    </w:tbl>
    <w:p w14:paraId="4EF33F59" w14:textId="5148B3D2" w:rsidR="008B1E99" w:rsidRPr="008B1E99" w:rsidRDefault="006E3CC9" w:rsidP="008B1E99">
      <w:pPr>
        <w:spacing w:before="100" w:beforeAutospacing="1" w:after="100" w:afterAutospacing="1" w:line="360" w:lineRule="auto"/>
        <w:jc w:val="both"/>
        <w:rPr>
          <w:rFonts w:ascii="Arial" w:hAnsi="Arial" w:cs="Arial"/>
        </w:rPr>
      </w:pPr>
      <w:r w:rsidRPr="006E3CC9">
        <w:rPr>
          <w:rFonts w:ascii="Arial" w:hAnsi="Arial" w:cs="Arial"/>
        </w:rPr>
        <w:t>Según el análisis realizado, el nivel de riesgo medio, junto con la presencia de riesgos inaceptables, evidencia que la institución mantiene un grado de vulnerabilidad que requiere gestión constante. Es recomendable priorizar los riesgos de mayor impacto y probabilidad, reforzando los controles internos y el seguimiento de las medidas de mitigación, con el objetivo de reducir su ocurrencia y fortalecer la cultura de control institucional.</w:t>
      </w:r>
    </w:p>
    <w:p w14:paraId="7E0EDE88" w14:textId="503CDD4C" w:rsidR="006C4111" w:rsidRDefault="006C4111" w:rsidP="001A4F89">
      <w:pPr>
        <w:rPr>
          <w:rFonts w:eastAsiaTheme="majorEastAsia" w:cstheme="majorBidi"/>
          <w:color w:val="365F91" w:themeColor="accent1" w:themeShade="BF"/>
          <w:sz w:val="28"/>
          <w:szCs w:val="28"/>
        </w:rPr>
      </w:pPr>
    </w:p>
    <w:p w14:paraId="4A027BCF" w14:textId="39EA74A7" w:rsidR="006E3CC9" w:rsidRDefault="006E3CC9" w:rsidP="001A4F89">
      <w:pPr>
        <w:rPr>
          <w:rFonts w:eastAsiaTheme="majorEastAsia" w:cstheme="majorBidi"/>
          <w:color w:val="365F91" w:themeColor="accent1" w:themeShade="BF"/>
          <w:sz w:val="28"/>
          <w:szCs w:val="28"/>
        </w:rPr>
      </w:pPr>
    </w:p>
    <w:p w14:paraId="7289F4EB" w14:textId="181D8389" w:rsidR="00BB083B" w:rsidRDefault="00BB083B" w:rsidP="001A4F89">
      <w:pPr>
        <w:rPr>
          <w:rFonts w:eastAsiaTheme="majorEastAsia" w:cstheme="majorBidi"/>
          <w:color w:val="365F91" w:themeColor="accent1" w:themeShade="BF"/>
          <w:sz w:val="28"/>
          <w:szCs w:val="28"/>
        </w:rPr>
      </w:pPr>
    </w:p>
    <w:p w14:paraId="3F4BD83D" w14:textId="0E9E4B79" w:rsidR="00436F61" w:rsidRDefault="00436F61" w:rsidP="001A4F89">
      <w:pPr>
        <w:rPr>
          <w:rFonts w:eastAsiaTheme="majorEastAsia" w:cstheme="majorBidi"/>
          <w:color w:val="365F91" w:themeColor="accent1" w:themeShade="BF"/>
          <w:sz w:val="28"/>
          <w:szCs w:val="28"/>
        </w:rPr>
      </w:pPr>
    </w:p>
    <w:p w14:paraId="69C2242A" w14:textId="57C8C3A7" w:rsidR="00436F61" w:rsidRDefault="00436F61" w:rsidP="001A4F89">
      <w:pPr>
        <w:rPr>
          <w:rFonts w:eastAsiaTheme="majorEastAsia" w:cstheme="majorBidi"/>
          <w:color w:val="365F91" w:themeColor="accent1" w:themeShade="BF"/>
          <w:sz w:val="28"/>
          <w:szCs w:val="28"/>
        </w:rPr>
      </w:pPr>
    </w:p>
    <w:p w14:paraId="4C06D088" w14:textId="77777777" w:rsidR="00436F61" w:rsidRDefault="00436F61" w:rsidP="001A4F89">
      <w:pPr>
        <w:rPr>
          <w:rFonts w:eastAsiaTheme="majorEastAsia" w:cstheme="majorBidi"/>
          <w:color w:val="365F91" w:themeColor="accent1" w:themeShade="BF"/>
          <w:sz w:val="28"/>
          <w:szCs w:val="28"/>
        </w:rPr>
      </w:pPr>
    </w:p>
    <w:p w14:paraId="1B7C0477" w14:textId="639D4FB5" w:rsidR="00065AF8" w:rsidRDefault="00DD785B" w:rsidP="00DD785B">
      <w:pPr>
        <w:pStyle w:val="Ttulo1"/>
      </w:pPr>
      <w:bookmarkStart w:id="8" w:name="_Toc210994802"/>
      <w:r>
        <w:lastRenderedPageBreak/>
        <w:t xml:space="preserve">IV. </w:t>
      </w:r>
      <w:r w:rsidR="0099512D">
        <w:t>Administración del Riesgo</w:t>
      </w:r>
      <w:bookmarkEnd w:id="8"/>
      <w:r w:rsidR="0099512D">
        <w:t xml:space="preserve"> </w:t>
      </w:r>
    </w:p>
    <w:p w14:paraId="527D5630" w14:textId="748704EE" w:rsidR="002A3A20" w:rsidRDefault="002A3A20" w:rsidP="00E158C0">
      <w:pPr>
        <w:spacing w:before="100" w:beforeAutospacing="1" w:after="100" w:afterAutospacing="1" w:line="360" w:lineRule="auto"/>
        <w:jc w:val="both"/>
        <w:rPr>
          <w:rFonts w:ascii="Arial" w:hAnsi="Arial" w:cs="Arial"/>
        </w:rPr>
      </w:pPr>
      <w:r w:rsidRPr="002A3A20">
        <w:rPr>
          <w:rFonts w:ascii="Arial" w:hAnsi="Arial" w:cs="Arial"/>
        </w:rPr>
        <w:t>De los riesgos inaceptables y algunos aceptables según su nivel prioridad y decisión adoptada, se definió la manera en que serían administrados. Para ello, se contemplaron las siguientes cuatro alternativas:</w:t>
      </w:r>
    </w:p>
    <w:p w14:paraId="672CBA16" w14:textId="12A802BA" w:rsidR="00CC3E66" w:rsidRPr="00CC3E66" w:rsidRDefault="00CC3E66" w:rsidP="00E158C0">
      <w:pPr>
        <w:numPr>
          <w:ilvl w:val="0"/>
          <w:numId w:val="28"/>
        </w:numPr>
        <w:spacing w:before="100" w:beforeAutospacing="1" w:after="100" w:afterAutospacing="1" w:line="360" w:lineRule="auto"/>
        <w:jc w:val="both"/>
        <w:rPr>
          <w:rFonts w:ascii="Arial" w:hAnsi="Arial" w:cs="Arial"/>
        </w:rPr>
      </w:pPr>
      <w:r w:rsidRPr="00CC3E66">
        <w:rPr>
          <w:rFonts w:ascii="Arial" w:hAnsi="Arial" w:cs="Arial"/>
          <w:b/>
          <w:bCs/>
        </w:rPr>
        <w:t>Gestionar:</w:t>
      </w:r>
      <w:r w:rsidR="00C618B4">
        <w:rPr>
          <w:rFonts w:ascii="Arial" w:hAnsi="Arial" w:cs="Arial"/>
        </w:rPr>
        <w:t xml:space="preserve"> A</w:t>
      </w:r>
      <w:r w:rsidRPr="00CC3E66">
        <w:rPr>
          <w:rFonts w:ascii="Arial" w:hAnsi="Arial" w:cs="Arial"/>
        </w:rPr>
        <w:t>plicar acciones de control y mitigación</w:t>
      </w:r>
      <w:r w:rsidR="00945CD0">
        <w:rPr>
          <w:rFonts w:ascii="Arial" w:hAnsi="Arial" w:cs="Arial"/>
        </w:rPr>
        <w:t xml:space="preserve"> para disminuir su probabilidad u/o impacto</w:t>
      </w:r>
      <w:r w:rsidRPr="00CC3E66">
        <w:rPr>
          <w:rFonts w:ascii="Arial" w:hAnsi="Arial" w:cs="Arial"/>
        </w:rPr>
        <w:t>.</w:t>
      </w:r>
    </w:p>
    <w:p w14:paraId="39EBD162" w14:textId="28C640ED" w:rsidR="00CC3E66" w:rsidRPr="00CC3E66" w:rsidRDefault="00CC3E66" w:rsidP="00E158C0">
      <w:pPr>
        <w:numPr>
          <w:ilvl w:val="0"/>
          <w:numId w:val="28"/>
        </w:numPr>
        <w:spacing w:before="100" w:beforeAutospacing="1" w:after="100" w:afterAutospacing="1" w:line="360" w:lineRule="auto"/>
        <w:jc w:val="both"/>
        <w:rPr>
          <w:rFonts w:ascii="Arial" w:hAnsi="Arial" w:cs="Arial"/>
        </w:rPr>
      </w:pPr>
      <w:r w:rsidRPr="00CC3E66">
        <w:rPr>
          <w:rFonts w:ascii="Arial" w:hAnsi="Arial" w:cs="Arial"/>
          <w:b/>
          <w:bCs/>
        </w:rPr>
        <w:t>Asumir:</w:t>
      </w:r>
      <w:r w:rsidR="00C618B4">
        <w:rPr>
          <w:rFonts w:ascii="Arial" w:hAnsi="Arial" w:cs="Arial"/>
        </w:rPr>
        <w:t xml:space="preserve"> A</w:t>
      </w:r>
      <w:r w:rsidRPr="00CC3E66">
        <w:rPr>
          <w:rFonts w:ascii="Arial" w:hAnsi="Arial" w:cs="Arial"/>
        </w:rPr>
        <w:t xml:space="preserve">ceptar el riesgo </w:t>
      </w:r>
      <w:r w:rsidR="00945CD0">
        <w:rPr>
          <w:rFonts w:ascii="Arial" w:hAnsi="Arial" w:cs="Arial"/>
        </w:rPr>
        <w:t>sin gestionar ninguna medida adicional.</w:t>
      </w:r>
    </w:p>
    <w:p w14:paraId="26CC6BF4" w14:textId="1983D7A5" w:rsidR="00CC3E66" w:rsidRPr="00CC3E66" w:rsidRDefault="00CC3E66" w:rsidP="00E158C0">
      <w:pPr>
        <w:numPr>
          <w:ilvl w:val="0"/>
          <w:numId w:val="28"/>
        </w:numPr>
        <w:spacing w:before="100" w:beforeAutospacing="1" w:after="100" w:afterAutospacing="1" w:line="360" w:lineRule="auto"/>
        <w:jc w:val="both"/>
        <w:rPr>
          <w:rFonts w:ascii="Arial" w:hAnsi="Arial" w:cs="Arial"/>
        </w:rPr>
      </w:pPr>
      <w:r w:rsidRPr="00CC3E66">
        <w:rPr>
          <w:rFonts w:ascii="Arial" w:hAnsi="Arial" w:cs="Arial"/>
          <w:b/>
          <w:bCs/>
        </w:rPr>
        <w:t>Atender las consecuencias:</w:t>
      </w:r>
      <w:r w:rsidRPr="00CC3E66">
        <w:rPr>
          <w:rFonts w:ascii="Arial" w:hAnsi="Arial" w:cs="Arial"/>
        </w:rPr>
        <w:t xml:space="preserve"> </w:t>
      </w:r>
      <w:r w:rsidR="00945CD0">
        <w:rPr>
          <w:rFonts w:ascii="Arial" w:hAnsi="Arial" w:cs="Arial"/>
        </w:rPr>
        <w:t xml:space="preserve">Gestionar planes de </w:t>
      </w:r>
      <w:r w:rsidRPr="00CC3E66">
        <w:rPr>
          <w:rFonts w:ascii="Arial" w:hAnsi="Arial" w:cs="Arial"/>
        </w:rPr>
        <w:t>respuestas ante su posible materialización.</w:t>
      </w:r>
    </w:p>
    <w:p w14:paraId="2746A07C" w14:textId="479B0D72" w:rsidR="00945CD0" w:rsidRDefault="00CC3E66" w:rsidP="00E158C0">
      <w:pPr>
        <w:numPr>
          <w:ilvl w:val="0"/>
          <w:numId w:val="28"/>
        </w:numPr>
        <w:spacing w:before="100" w:beforeAutospacing="1" w:after="100" w:afterAutospacing="1" w:line="360" w:lineRule="auto"/>
        <w:jc w:val="both"/>
        <w:rPr>
          <w:rFonts w:ascii="Arial" w:hAnsi="Arial" w:cs="Arial"/>
        </w:rPr>
      </w:pPr>
      <w:r w:rsidRPr="00945CD0">
        <w:rPr>
          <w:rFonts w:ascii="Arial" w:hAnsi="Arial" w:cs="Arial"/>
          <w:b/>
          <w:bCs/>
        </w:rPr>
        <w:t>Transferir:</w:t>
      </w:r>
      <w:r w:rsidR="00C618B4">
        <w:rPr>
          <w:rFonts w:ascii="Arial" w:hAnsi="Arial" w:cs="Arial"/>
        </w:rPr>
        <w:t xml:space="preserve"> T</w:t>
      </w:r>
      <w:r w:rsidRPr="00CC3E66">
        <w:rPr>
          <w:rFonts w:ascii="Arial" w:hAnsi="Arial" w:cs="Arial"/>
        </w:rPr>
        <w:t>rasladar el riesgo a un tercero</w:t>
      </w:r>
      <w:r w:rsidR="00945CD0">
        <w:rPr>
          <w:rFonts w:ascii="Arial" w:hAnsi="Arial" w:cs="Arial"/>
        </w:rPr>
        <w:t xml:space="preserve">. </w:t>
      </w:r>
    </w:p>
    <w:p w14:paraId="0B558EF9" w14:textId="57282255" w:rsidR="00945CD0" w:rsidRDefault="00945CD0" w:rsidP="00E158C0">
      <w:pPr>
        <w:spacing w:line="360" w:lineRule="auto"/>
        <w:jc w:val="both"/>
        <w:rPr>
          <w:rFonts w:ascii="Arial" w:hAnsi="Arial" w:cs="Arial"/>
        </w:rPr>
      </w:pPr>
      <w:r w:rsidRPr="00945CD0">
        <w:rPr>
          <w:rFonts w:ascii="Arial" w:hAnsi="Arial" w:cs="Arial"/>
        </w:rPr>
        <w:t>Con este enfoque, cada riesgo inaceptable dispone de una decisión definida para su administración, lo que garantiza su atención y control, tal como se presenta en la siguiente tabla:</w:t>
      </w:r>
    </w:p>
    <w:p w14:paraId="39B9F151" w14:textId="77777777" w:rsidR="00436F61" w:rsidRDefault="00436F61" w:rsidP="00E158C0">
      <w:pPr>
        <w:spacing w:line="360" w:lineRule="auto"/>
        <w:jc w:val="both"/>
        <w:rPr>
          <w:rFonts w:ascii="Arial" w:hAnsi="Arial" w:cs="Arial"/>
        </w:rPr>
      </w:pPr>
    </w:p>
    <w:p w14:paraId="70E4A99A" w14:textId="580BBE70" w:rsidR="00F52B43" w:rsidRDefault="00992B21" w:rsidP="00F52B43">
      <w:pPr>
        <w:jc w:val="center"/>
        <w:rPr>
          <w:rFonts w:ascii="Arial" w:hAnsi="Arial" w:cs="Arial"/>
          <w:b/>
        </w:rPr>
      </w:pPr>
      <w:r>
        <w:rPr>
          <w:rFonts w:ascii="Arial" w:hAnsi="Arial" w:cs="Arial"/>
          <w:b/>
        </w:rPr>
        <w:t>Tabla 8</w:t>
      </w:r>
      <w:r w:rsidR="00F52B43" w:rsidRPr="00931906">
        <w:rPr>
          <w:rFonts w:ascii="Arial" w:hAnsi="Arial" w:cs="Arial"/>
          <w:b/>
        </w:rPr>
        <w:t xml:space="preserve">. Administración de los riesgos </w:t>
      </w:r>
    </w:p>
    <w:p w14:paraId="18FACA76" w14:textId="77777777" w:rsidR="00436F61" w:rsidRPr="00931906" w:rsidRDefault="00436F61" w:rsidP="00F52B43">
      <w:pPr>
        <w:jc w:val="center"/>
        <w:rPr>
          <w:rFonts w:ascii="Arial" w:hAnsi="Arial" w:cs="Arial"/>
          <w:b/>
        </w:rPr>
      </w:pPr>
    </w:p>
    <w:tbl>
      <w:tblPr>
        <w:tblStyle w:val="Tablaconcuadrcula"/>
        <w:tblW w:w="12682" w:type="dxa"/>
        <w:tblInd w:w="56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694"/>
        <w:gridCol w:w="7852"/>
        <w:gridCol w:w="2136"/>
      </w:tblGrid>
      <w:tr w:rsidR="00BA62A0" w:rsidRPr="00A63844" w14:paraId="52A76DB9" w14:textId="77777777" w:rsidTr="009B50F7">
        <w:trPr>
          <w:trHeight w:val="1041"/>
          <w:tblHeader/>
        </w:trPr>
        <w:tc>
          <w:tcPr>
            <w:tcW w:w="2694" w:type="dxa"/>
            <w:shd w:val="clear" w:color="auto" w:fill="D2843E"/>
            <w:vAlign w:val="center"/>
          </w:tcPr>
          <w:p w14:paraId="1DAE32D3" w14:textId="1F89ECBC" w:rsidR="00BA62A0" w:rsidRPr="00A76BC0" w:rsidRDefault="00F52B43" w:rsidP="00A63844">
            <w:pPr>
              <w:spacing w:line="360" w:lineRule="auto"/>
              <w:jc w:val="center"/>
              <w:rPr>
                <w:rFonts w:ascii="Arial" w:hAnsi="Arial" w:cs="Arial"/>
                <w:b/>
                <w:color w:val="FFFFFF" w:themeColor="background1"/>
              </w:rPr>
            </w:pPr>
            <w:r w:rsidRPr="00A76BC0">
              <w:rPr>
                <w:rFonts w:ascii="Arial" w:hAnsi="Arial" w:cs="Arial"/>
                <w:b/>
                <w:color w:val="FFFFFF" w:themeColor="background1"/>
              </w:rPr>
              <w:t>Número de Riesgo</w:t>
            </w:r>
          </w:p>
        </w:tc>
        <w:tc>
          <w:tcPr>
            <w:tcW w:w="7852" w:type="dxa"/>
            <w:shd w:val="clear" w:color="auto" w:fill="D2843E"/>
            <w:vAlign w:val="center"/>
          </w:tcPr>
          <w:p w14:paraId="3EE08306" w14:textId="77777777" w:rsidR="00BA62A0" w:rsidRPr="00A76BC0" w:rsidRDefault="00BA62A0" w:rsidP="00A63844">
            <w:pPr>
              <w:spacing w:line="360" w:lineRule="auto"/>
              <w:jc w:val="center"/>
              <w:rPr>
                <w:rFonts w:ascii="Arial" w:hAnsi="Arial" w:cs="Arial"/>
                <w:b/>
                <w:color w:val="FFFFFF" w:themeColor="background1"/>
              </w:rPr>
            </w:pPr>
            <w:r w:rsidRPr="00A76BC0">
              <w:rPr>
                <w:rFonts w:ascii="Arial" w:hAnsi="Arial" w:cs="Arial"/>
                <w:b/>
                <w:color w:val="FFFFFF" w:themeColor="background1"/>
              </w:rPr>
              <w:t>Riesgo estratégicos relevantes</w:t>
            </w:r>
          </w:p>
        </w:tc>
        <w:tc>
          <w:tcPr>
            <w:tcW w:w="2136" w:type="dxa"/>
            <w:shd w:val="clear" w:color="auto" w:fill="D2843E"/>
            <w:vAlign w:val="center"/>
          </w:tcPr>
          <w:p w14:paraId="460F43C3" w14:textId="77777777" w:rsidR="00BA62A0" w:rsidRPr="00A76BC0" w:rsidRDefault="00BA62A0" w:rsidP="00A63844">
            <w:pPr>
              <w:spacing w:line="360" w:lineRule="auto"/>
              <w:jc w:val="center"/>
              <w:rPr>
                <w:rFonts w:ascii="Arial" w:hAnsi="Arial" w:cs="Arial"/>
                <w:color w:val="FFFFFF" w:themeColor="background1"/>
              </w:rPr>
            </w:pPr>
            <w:r w:rsidRPr="00A76BC0">
              <w:rPr>
                <w:rFonts w:ascii="Arial" w:hAnsi="Arial" w:cs="Arial"/>
                <w:b/>
                <w:color w:val="FFFFFF" w:themeColor="background1"/>
              </w:rPr>
              <w:t>Como se</w:t>
            </w:r>
            <w:r w:rsidR="009267BE" w:rsidRPr="00A76BC0">
              <w:rPr>
                <w:rFonts w:ascii="Arial" w:hAnsi="Arial" w:cs="Arial"/>
                <w:b/>
                <w:color w:val="FFFFFF" w:themeColor="background1"/>
              </w:rPr>
              <w:t xml:space="preserve"> va </w:t>
            </w:r>
            <w:r w:rsidRPr="00A76BC0">
              <w:rPr>
                <w:rFonts w:ascii="Arial" w:hAnsi="Arial" w:cs="Arial"/>
                <w:b/>
                <w:color w:val="FFFFFF" w:themeColor="background1"/>
              </w:rPr>
              <w:t>administra</w:t>
            </w:r>
          </w:p>
        </w:tc>
      </w:tr>
      <w:tr w:rsidR="00A63844" w:rsidRPr="00A63844" w14:paraId="6F45FC60" w14:textId="77777777" w:rsidTr="009B50F7">
        <w:trPr>
          <w:trHeight w:val="940"/>
        </w:trPr>
        <w:tc>
          <w:tcPr>
            <w:tcW w:w="2694" w:type="dxa"/>
            <w:vAlign w:val="center"/>
          </w:tcPr>
          <w:p w14:paraId="46976BD5" w14:textId="7C42B3E4" w:rsidR="00A63844" w:rsidRPr="00A63844" w:rsidRDefault="0049750B" w:rsidP="00A63844">
            <w:pPr>
              <w:jc w:val="center"/>
              <w:rPr>
                <w:rFonts w:ascii="Arial" w:hAnsi="Arial" w:cs="Arial"/>
              </w:rPr>
            </w:pPr>
            <w:r>
              <w:rPr>
                <w:rFonts w:ascii="Arial" w:hAnsi="Arial" w:cs="Arial"/>
              </w:rPr>
              <w:t>R-DFF-08</w:t>
            </w:r>
          </w:p>
        </w:tc>
        <w:tc>
          <w:tcPr>
            <w:tcW w:w="7852" w:type="dxa"/>
            <w:vAlign w:val="center"/>
          </w:tcPr>
          <w:p w14:paraId="3A10ACC3" w14:textId="37CFB6A0" w:rsidR="00A63844" w:rsidRPr="00A63844" w:rsidRDefault="0049750B" w:rsidP="0049750B">
            <w:pPr>
              <w:rPr>
                <w:rFonts w:ascii="Arial" w:hAnsi="Arial" w:cs="Arial"/>
              </w:rPr>
            </w:pPr>
            <w:r w:rsidRPr="00D457F6">
              <w:rPr>
                <w:rFonts w:ascii="Arial" w:hAnsi="Arial" w:cs="Arial"/>
                <w:bCs/>
                <w:lang w:val="es-ES"/>
              </w:rPr>
              <w:t>Incumplimiento de pago por parte de los deudores de la cartera de crédito forestal.</w:t>
            </w:r>
          </w:p>
        </w:tc>
        <w:tc>
          <w:tcPr>
            <w:tcW w:w="2136" w:type="dxa"/>
            <w:vAlign w:val="center"/>
          </w:tcPr>
          <w:p w14:paraId="2CC07B46" w14:textId="3292E99E" w:rsidR="00A63844" w:rsidRPr="00A63844" w:rsidRDefault="00A63844" w:rsidP="0049750B">
            <w:pPr>
              <w:rPr>
                <w:rFonts w:ascii="Arial" w:hAnsi="Arial" w:cs="Arial"/>
              </w:rPr>
            </w:pPr>
            <w:r w:rsidRPr="00A63844">
              <w:rPr>
                <w:rFonts w:ascii="Arial" w:hAnsi="Arial" w:cs="Arial"/>
              </w:rPr>
              <w:t>Gestionar Riesgo</w:t>
            </w:r>
          </w:p>
        </w:tc>
      </w:tr>
      <w:tr w:rsidR="00A63844" w:rsidRPr="00A63844" w14:paraId="0D6AF7E5" w14:textId="77777777" w:rsidTr="009B50F7">
        <w:trPr>
          <w:trHeight w:val="940"/>
        </w:trPr>
        <w:tc>
          <w:tcPr>
            <w:tcW w:w="2694" w:type="dxa"/>
            <w:vAlign w:val="center"/>
          </w:tcPr>
          <w:p w14:paraId="67D02087" w14:textId="70B32AA6" w:rsidR="00A63844" w:rsidRPr="00A63844" w:rsidRDefault="0049750B" w:rsidP="00A63844">
            <w:pPr>
              <w:jc w:val="center"/>
              <w:rPr>
                <w:rFonts w:ascii="Arial" w:hAnsi="Arial" w:cs="Arial"/>
              </w:rPr>
            </w:pPr>
            <w:r>
              <w:rPr>
                <w:rFonts w:ascii="Arial" w:hAnsi="Arial" w:cs="Arial"/>
              </w:rPr>
              <w:t>R-DDCSA-09</w:t>
            </w:r>
          </w:p>
        </w:tc>
        <w:tc>
          <w:tcPr>
            <w:tcW w:w="7852" w:type="dxa"/>
            <w:vAlign w:val="center"/>
          </w:tcPr>
          <w:p w14:paraId="367CC85D" w14:textId="41E4C8E5" w:rsidR="00A63844" w:rsidRPr="00A63844" w:rsidRDefault="0049750B" w:rsidP="0049750B">
            <w:pPr>
              <w:rPr>
                <w:rFonts w:ascii="Arial" w:hAnsi="Arial" w:cs="Arial"/>
              </w:rPr>
            </w:pPr>
            <w:r w:rsidRPr="00D457F6">
              <w:rPr>
                <w:rFonts w:ascii="Arial" w:hAnsi="Arial" w:cs="Arial"/>
                <w:bCs/>
                <w:lang w:val="es-ES"/>
              </w:rPr>
              <w:t>Pérdida del posicionamiento del Fonafifo para captar recursos adicionales</w:t>
            </w:r>
          </w:p>
        </w:tc>
        <w:tc>
          <w:tcPr>
            <w:tcW w:w="2136" w:type="dxa"/>
            <w:vAlign w:val="center"/>
          </w:tcPr>
          <w:p w14:paraId="6C1F7225" w14:textId="27FF44F2" w:rsidR="00A63844" w:rsidRPr="00A63844" w:rsidRDefault="00A63844" w:rsidP="0049750B">
            <w:pPr>
              <w:rPr>
                <w:rFonts w:ascii="Arial" w:hAnsi="Arial" w:cs="Arial"/>
              </w:rPr>
            </w:pPr>
            <w:r w:rsidRPr="00A63844">
              <w:rPr>
                <w:rFonts w:ascii="Arial" w:hAnsi="Arial" w:cs="Arial"/>
              </w:rPr>
              <w:t>Gestionar Riesgo</w:t>
            </w:r>
          </w:p>
        </w:tc>
      </w:tr>
    </w:tbl>
    <w:p w14:paraId="21B5ACD2" w14:textId="20794026" w:rsidR="00436F61" w:rsidRDefault="00436F61" w:rsidP="00DD785B"/>
    <w:p w14:paraId="669EC6C5" w14:textId="77777777" w:rsidR="00436F61" w:rsidRDefault="00436F61">
      <w:pPr>
        <w:spacing w:after="200" w:line="276" w:lineRule="auto"/>
      </w:pPr>
      <w:r>
        <w:br w:type="page"/>
      </w:r>
    </w:p>
    <w:p w14:paraId="419ADFC3" w14:textId="36F2B8C7" w:rsidR="00B914CC" w:rsidRPr="003D53AB" w:rsidRDefault="003D53AB" w:rsidP="003D53AB">
      <w:pPr>
        <w:pStyle w:val="Ttulo1"/>
      </w:pPr>
      <w:bookmarkStart w:id="9" w:name="_Toc210994803"/>
      <w:r>
        <w:lastRenderedPageBreak/>
        <w:t xml:space="preserve">V. </w:t>
      </w:r>
      <w:r w:rsidR="00DF0705">
        <w:t>Medidas de mitigación de riesgos</w:t>
      </w:r>
      <w:bookmarkEnd w:id="9"/>
    </w:p>
    <w:p w14:paraId="01204311" w14:textId="6F98E783" w:rsidR="00F52B43" w:rsidRDefault="00DF0705" w:rsidP="00E158C0">
      <w:pPr>
        <w:pStyle w:val="Prrafodelista"/>
        <w:spacing w:before="240" w:line="360" w:lineRule="auto"/>
        <w:ind w:left="0"/>
        <w:jc w:val="both"/>
        <w:rPr>
          <w:rFonts w:ascii="Arial" w:hAnsi="Arial" w:cs="Arial"/>
          <w:sz w:val="24"/>
        </w:rPr>
      </w:pPr>
      <w:r w:rsidRPr="002E4401">
        <w:rPr>
          <w:rFonts w:ascii="Arial" w:hAnsi="Arial" w:cs="Arial"/>
          <w:sz w:val="24"/>
        </w:rPr>
        <w:t>El presente apartado expone las medidas definidas para mitigar los riesgos seleccionados para su gestión, con el fin de reducir su impacto y probabilidad de ocurrencia.</w:t>
      </w:r>
    </w:p>
    <w:p w14:paraId="57F67856" w14:textId="77777777" w:rsidR="00931906" w:rsidRPr="002E4401" w:rsidRDefault="00931906" w:rsidP="00DF0705">
      <w:pPr>
        <w:pStyle w:val="Prrafodelista"/>
        <w:spacing w:before="240"/>
        <w:ind w:left="0"/>
        <w:jc w:val="both"/>
        <w:rPr>
          <w:rFonts w:ascii="Arial" w:hAnsi="Arial" w:cs="Arial"/>
          <w:sz w:val="24"/>
        </w:rPr>
      </w:pPr>
    </w:p>
    <w:p w14:paraId="1150D95A" w14:textId="5993849E" w:rsidR="00F52B43" w:rsidRDefault="00992B21" w:rsidP="00F52B43">
      <w:pPr>
        <w:jc w:val="center"/>
        <w:rPr>
          <w:rFonts w:ascii="Arial" w:hAnsi="Arial" w:cs="Arial"/>
          <w:b/>
        </w:rPr>
      </w:pPr>
      <w:r>
        <w:rPr>
          <w:rFonts w:ascii="Arial" w:hAnsi="Arial" w:cs="Arial"/>
          <w:b/>
        </w:rPr>
        <w:t>Tabla 9</w:t>
      </w:r>
      <w:r w:rsidR="00F52B43" w:rsidRPr="0049750B">
        <w:rPr>
          <w:rFonts w:ascii="Arial" w:hAnsi="Arial" w:cs="Arial"/>
          <w:b/>
        </w:rPr>
        <w:t>. Medidas de mitigación a implementar</w:t>
      </w:r>
    </w:p>
    <w:p w14:paraId="64914107" w14:textId="77777777" w:rsidR="00A76BC0" w:rsidRPr="0049750B" w:rsidRDefault="00A76BC0" w:rsidP="00F52B43">
      <w:pPr>
        <w:jc w:val="center"/>
        <w:rPr>
          <w:rFonts w:ascii="Arial" w:hAnsi="Arial" w:cs="Arial"/>
          <w:b/>
        </w:rPr>
      </w:pPr>
    </w:p>
    <w:tbl>
      <w:tblPr>
        <w:tblStyle w:val="Tablaconcuadrcula"/>
        <w:tblpPr w:leftFromText="141" w:rightFromText="141" w:vertAnchor="text" w:horzAnchor="margin" w:tblpXSpec="center" w:tblpY="56"/>
        <w:tblW w:w="4472"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083"/>
        <w:gridCol w:w="9699"/>
      </w:tblGrid>
      <w:tr w:rsidR="0049750B" w:rsidRPr="00A63844" w14:paraId="68EC9C4F" w14:textId="77777777" w:rsidTr="009B50F7">
        <w:trPr>
          <w:trHeight w:val="788"/>
          <w:tblHeader/>
        </w:trPr>
        <w:tc>
          <w:tcPr>
            <w:tcW w:w="884" w:type="pct"/>
            <w:shd w:val="clear" w:color="auto" w:fill="D2843E"/>
            <w:vAlign w:val="center"/>
          </w:tcPr>
          <w:p w14:paraId="4A3F8AF8" w14:textId="60F11866" w:rsidR="0049750B" w:rsidRPr="00A76BC0" w:rsidRDefault="0049750B" w:rsidP="00A63844">
            <w:pPr>
              <w:jc w:val="center"/>
              <w:rPr>
                <w:rFonts w:ascii="Arial" w:hAnsi="Arial" w:cs="Arial"/>
                <w:color w:val="FFFFFF" w:themeColor="background1"/>
              </w:rPr>
            </w:pPr>
            <w:r w:rsidRPr="00A76BC0">
              <w:rPr>
                <w:rFonts w:ascii="Arial" w:hAnsi="Arial" w:cs="Arial"/>
                <w:b/>
                <w:color w:val="FFFFFF" w:themeColor="background1"/>
              </w:rPr>
              <w:t>Número de Riesgo</w:t>
            </w:r>
          </w:p>
        </w:tc>
        <w:tc>
          <w:tcPr>
            <w:tcW w:w="4116" w:type="pct"/>
            <w:shd w:val="clear" w:color="auto" w:fill="D2843E"/>
            <w:vAlign w:val="center"/>
          </w:tcPr>
          <w:p w14:paraId="1398D33E" w14:textId="77777777" w:rsidR="0049750B" w:rsidRPr="00A76BC0" w:rsidRDefault="0049750B" w:rsidP="00A63844">
            <w:pPr>
              <w:jc w:val="center"/>
              <w:rPr>
                <w:rFonts w:ascii="Arial" w:hAnsi="Arial" w:cs="Arial"/>
                <w:b/>
                <w:color w:val="FFFFFF" w:themeColor="background1"/>
              </w:rPr>
            </w:pPr>
            <w:r w:rsidRPr="00A76BC0">
              <w:rPr>
                <w:rFonts w:ascii="Arial" w:hAnsi="Arial" w:cs="Arial"/>
                <w:b/>
                <w:color w:val="FFFFFF" w:themeColor="background1"/>
              </w:rPr>
              <w:t>Medida a implementar</w:t>
            </w:r>
          </w:p>
        </w:tc>
      </w:tr>
      <w:tr w:rsidR="0049750B" w:rsidRPr="00E158C0" w14:paraId="138C9B26" w14:textId="77777777" w:rsidTr="009B50F7">
        <w:trPr>
          <w:trHeight w:val="523"/>
        </w:trPr>
        <w:tc>
          <w:tcPr>
            <w:tcW w:w="884" w:type="pct"/>
            <w:vMerge w:val="restart"/>
            <w:vAlign w:val="center"/>
          </w:tcPr>
          <w:p w14:paraId="583568AD" w14:textId="51654F51" w:rsidR="0049750B" w:rsidRPr="00E158C0" w:rsidRDefault="0049750B" w:rsidP="00A63844">
            <w:pPr>
              <w:jc w:val="center"/>
              <w:rPr>
                <w:rFonts w:ascii="Arial" w:hAnsi="Arial" w:cs="Arial"/>
                <w:b/>
              </w:rPr>
            </w:pPr>
            <w:r>
              <w:rPr>
                <w:rFonts w:ascii="Arial" w:hAnsi="Arial" w:cs="Arial"/>
              </w:rPr>
              <w:t>R-DFF-08</w:t>
            </w:r>
          </w:p>
        </w:tc>
        <w:tc>
          <w:tcPr>
            <w:tcW w:w="4116" w:type="pct"/>
            <w:vAlign w:val="center"/>
          </w:tcPr>
          <w:p w14:paraId="02911984" w14:textId="08DD7A86" w:rsidR="0049750B" w:rsidRPr="00E158C0" w:rsidRDefault="0049750B" w:rsidP="000B3AAF">
            <w:pPr>
              <w:rPr>
                <w:rFonts w:ascii="Arial" w:hAnsi="Arial" w:cs="Arial"/>
              </w:rPr>
            </w:pPr>
            <w:r w:rsidRPr="00E158C0">
              <w:rPr>
                <w:rFonts w:ascii="Arial" w:hAnsi="Arial" w:cs="Arial"/>
              </w:rPr>
              <w:t>Diseño e implementación de entrevistas para conocer mejor al cliente.</w:t>
            </w:r>
          </w:p>
        </w:tc>
      </w:tr>
      <w:tr w:rsidR="0049750B" w:rsidRPr="00E158C0" w14:paraId="0EDC671E" w14:textId="77777777" w:rsidTr="009B50F7">
        <w:trPr>
          <w:trHeight w:val="410"/>
        </w:trPr>
        <w:tc>
          <w:tcPr>
            <w:tcW w:w="884" w:type="pct"/>
            <w:vMerge/>
            <w:vAlign w:val="center"/>
          </w:tcPr>
          <w:p w14:paraId="5A7D6677" w14:textId="77777777" w:rsidR="0049750B" w:rsidRPr="00E158C0" w:rsidRDefault="0049750B" w:rsidP="00A63844">
            <w:pPr>
              <w:jc w:val="center"/>
              <w:rPr>
                <w:rFonts w:ascii="Arial" w:hAnsi="Arial" w:cs="Arial"/>
              </w:rPr>
            </w:pPr>
          </w:p>
        </w:tc>
        <w:tc>
          <w:tcPr>
            <w:tcW w:w="4116" w:type="pct"/>
            <w:vAlign w:val="center"/>
          </w:tcPr>
          <w:p w14:paraId="3D37559E" w14:textId="63259AFC" w:rsidR="0049750B" w:rsidRPr="00E158C0" w:rsidRDefault="0049750B" w:rsidP="000B3AAF">
            <w:pPr>
              <w:rPr>
                <w:rFonts w:ascii="Arial" w:hAnsi="Arial" w:cs="Arial"/>
              </w:rPr>
            </w:pPr>
            <w:r w:rsidRPr="00E158C0">
              <w:rPr>
                <w:rFonts w:ascii="Arial" w:hAnsi="Arial" w:cs="Arial"/>
              </w:rPr>
              <w:t>Revisión periódica de la normativa.</w:t>
            </w:r>
          </w:p>
        </w:tc>
      </w:tr>
      <w:tr w:rsidR="0049750B" w:rsidRPr="00E158C0" w14:paraId="16B6E15E" w14:textId="77777777" w:rsidTr="009B50F7">
        <w:trPr>
          <w:trHeight w:val="794"/>
        </w:trPr>
        <w:tc>
          <w:tcPr>
            <w:tcW w:w="884" w:type="pct"/>
            <w:vMerge/>
            <w:vAlign w:val="center"/>
          </w:tcPr>
          <w:p w14:paraId="668EEC58" w14:textId="77777777" w:rsidR="0049750B" w:rsidRPr="00E158C0" w:rsidRDefault="0049750B" w:rsidP="00A63844">
            <w:pPr>
              <w:jc w:val="center"/>
              <w:rPr>
                <w:rFonts w:ascii="Arial" w:hAnsi="Arial" w:cs="Arial"/>
              </w:rPr>
            </w:pPr>
          </w:p>
        </w:tc>
        <w:tc>
          <w:tcPr>
            <w:tcW w:w="4116" w:type="pct"/>
            <w:vAlign w:val="center"/>
          </w:tcPr>
          <w:p w14:paraId="72B4A1FA" w14:textId="7AC8BC5F" w:rsidR="0049750B" w:rsidRPr="00E158C0" w:rsidRDefault="0049750B" w:rsidP="000B3AAF">
            <w:pPr>
              <w:rPr>
                <w:rFonts w:ascii="Arial" w:hAnsi="Arial" w:cs="Arial"/>
              </w:rPr>
            </w:pPr>
            <w:r w:rsidRPr="00E158C0">
              <w:rPr>
                <w:rFonts w:ascii="Arial" w:hAnsi="Arial" w:cs="Arial"/>
              </w:rPr>
              <w:t>Elaboración de una propuesta de seguimiento y verificación temprana de los créditos otorgados.</w:t>
            </w:r>
          </w:p>
        </w:tc>
      </w:tr>
      <w:tr w:rsidR="0049750B" w:rsidRPr="00E158C0" w14:paraId="2D2B751C" w14:textId="77777777" w:rsidTr="009B50F7">
        <w:trPr>
          <w:trHeight w:val="568"/>
        </w:trPr>
        <w:tc>
          <w:tcPr>
            <w:tcW w:w="884" w:type="pct"/>
            <w:vMerge/>
            <w:vAlign w:val="center"/>
          </w:tcPr>
          <w:p w14:paraId="1DDFBF28" w14:textId="77777777" w:rsidR="0049750B" w:rsidRPr="00E158C0" w:rsidRDefault="0049750B" w:rsidP="00A63844">
            <w:pPr>
              <w:jc w:val="center"/>
              <w:rPr>
                <w:rFonts w:ascii="Arial" w:hAnsi="Arial" w:cs="Arial"/>
              </w:rPr>
            </w:pPr>
          </w:p>
        </w:tc>
        <w:tc>
          <w:tcPr>
            <w:tcW w:w="4116" w:type="pct"/>
            <w:vAlign w:val="center"/>
          </w:tcPr>
          <w:p w14:paraId="5F0A6758" w14:textId="66001373" w:rsidR="0049750B" w:rsidRPr="00E158C0" w:rsidRDefault="0049750B" w:rsidP="000B3AAF">
            <w:pPr>
              <w:rPr>
                <w:rFonts w:ascii="Arial" w:hAnsi="Arial" w:cs="Arial"/>
              </w:rPr>
            </w:pPr>
            <w:r w:rsidRPr="00E158C0">
              <w:rPr>
                <w:rFonts w:ascii="Arial" w:hAnsi="Arial" w:cs="Arial"/>
              </w:rPr>
              <w:t>Fortalecimiento del acompañamiento técnico.</w:t>
            </w:r>
          </w:p>
        </w:tc>
      </w:tr>
      <w:tr w:rsidR="0049750B" w:rsidRPr="00E158C0" w14:paraId="6A897FC8" w14:textId="77777777" w:rsidTr="009B50F7">
        <w:trPr>
          <w:trHeight w:val="405"/>
        </w:trPr>
        <w:tc>
          <w:tcPr>
            <w:tcW w:w="884" w:type="pct"/>
            <w:vMerge/>
            <w:vAlign w:val="center"/>
          </w:tcPr>
          <w:p w14:paraId="4A4B2A36" w14:textId="77777777" w:rsidR="0049750B" w:rsidRPr="00E158C0" w:rsidRDefault="0049750B" w:rsidP="00A63844">
            <w:pPr>
              <w:jc w:val="center"/>
              <w:rPr>
                <w:rFonts w:ascii="Arial" w:hAnsi="Arial" w:cs="Arial"/>
              </w:rPr>
            </w:pPr>
          </w:p>
        </w:tc>
        <w:tc>
          <w:tcPr>
            <w:tcW w:w="4116" w:type="pct"/>
            <w:vAlign w:val="center"/>
          </w:tcPr>
          <w:p w14:paraId="36D37DAF" w14:textId="4EB182FA" w:rsidR="0049750B" w:rsidRPr="00E158C0" w:rsidRDefault="0049750B" w:rsidP="000B3AAF">
            <w:pPr>
              <w:rPr>
                <w:rFonts w:ascii="Arial" w:hAnsi="Arial" w:cs="Arial"/>
              </w:rPr>
            </w:pPr>
            <w:r w:rsidRPr="00E158C0">
              <w:rPr>
                <w:rFonts w:ascii="Arial" w:hAnsi="Arial" w:cs="Arial"/>
              </w:rPr>
              <w:t>Monitoreo mensual de indicadores financieros clave.</w:t>
            </w:r>
          </w:p>
        </w:tc>
      </w:tr>
      <w:tr w:rsidR="0049750B" w:rsidRPr="00E158C0" w14:paraId="2508EC45" w14:textId="77777777" w:rsidTr="009B50F7">
        <w:trPr>
          <w:trHeight w:val="510"/>
        </w:trPr>
        <w:tc>
          <w:tcPr>
            <w:tcW w:w="884" w:type="pct"/>
            <w:vMerge/>
            <w:vAlign w:val="center"/>
          </w:tcPr>
          <w:p w14:paraId="2F78149E" w14:textId="77777777" w:rsidR="0049750B" w:rsidRPr="00E158C0" w:rsidRDefault="0049750B" w:rsidP="00A63844">
            <w:pPr>
              <w:jc w:val="center"/>
              <w:rPr>
                <w:rFonts w:ascii="Arial" w:hAnsi="Arial" w:cs="Arial"/>
              </w:rPr>
            </w:pPr>
          </w:p>
        </w:tc>
        <w:tc>
          <w:tcPr>
            <w:tcW w:w="4116" w:type="pct"/>
            <w:vAlign w:val="center"/>
          </w:tcPr>
          <w:p w14:paraId="3B14B8F9" w14:textId="6F486B18" w:rsidR="0049750B" w:rsidRPr="00E158C0" w:rsidRDefault="0049750B" w:rsidP="000B3AAF">
            <w:pPr>
              <w:rPr>
                <w:rFonts w:ascii="Arial" w:hAnsi="Arial" w:cs="Arial"/>
              </w:rPr>
            </w:pPr>
            <w:r w:rsidRPr="00E158C0">
              <w:rPr>
                <w:rFonts w:ascii="Arial" w:hAnsi="Arial" w:cs="Arial"/>
              </w:rPr>
              <w:t>Análisis de viabilidad para el uso de otros burós de crédito.</w:t>
            </w:r>
          </w:p>
        </w:tc>
      </w:tr>
      <w:tr w:rsidR="0049750B" w:rsidRPr="00E158C0" w14:paraId="4A11732A" w14:textId="77777777" w:rsidTr="009B50F7">
        <w:trPr>
          <w:trHeight w:val="877"/>
        </w:trPr>
        <w:tc>
          <w:tcPr>
            <w:tcW w:w="884" w:type="pct"/>
            <w:vMerge w:val="restart"/>
            <w:vAlign w:val="center"/>
          </w:tcPr>
          <w:p w14:paraId="0CB1C265" w14:textId="5AFF003F" w:rsidR="0049750B" w:rsidRPr="00E158C0" w:rsidRDefault="0049750B" w:rsidP="00086471">
            <w:pPr>
              <w:jc w:val="center"/>
              <w:rPr>
                <w:rFonts w:ascii="Arial" w:hAnsi="Arial" w:cs="Arial"/>
              </w:rPr>
            </w:pPr>
            <w:r>
              <w:rPr>
                <w:rFonts w:ascii="Arial" w:hAnsi="Arial" w:cs="Arial"/>
              </w:rPr>
              <w:t>R-DDCSA-09</w:t>
            </w:r>
          </w:p>
        </w:tc>
        <w:tc>
          <w:tcPr>
            <w:tcW w:w="4116" w:type="pct"/>
            <w:vAlign w:val="center"/>
          </w:tcPr>
          <w:p w14:paraId="0797151B" w14:textId="7C9366B4" w:rsidR="0049750B" w:rsidRPr="00E158C0" w:rsidRDefault="0049750B" w:rsidP="00086471">
            <w:pPr>
              <w:rPr>
                <w:rFonts w:ascii="Arial" w:hAnsi="Arial" w:cs="Arial"/>
              </w:rPr>
            </w:pPr>
            <w:r w:rsidRPr="00E158C0">
              <w:rPr>
                <w:rFonts w:ascii="Arial" w:hAnsi="Arial" w:cs="Arial"/>
              </w:rPr>
              <w:t>Identificación de posibles opciones de interés de las empresas en el financiamiento de servicios ecosistémicos sean en turismo, agua, compensaciones.</w:t>
            </w:r>
          </w:p>
        </w:tc>
      </w:tr>
      <w:tr w:rsidR="0049750B" w:rsidRPr="00E158C0" w14:paraId="0D571A89" w14:textId="77777777" w:rsidTr="009B50F7">
        <w:trPr>
          <w:trHeight w:val="1168"/>
        </w:trPr>
        <w:tc>
          <w:tcPr>
            <w:tcW w:w="884" w:type="pct"/>
            <w:vMerge/>
            <w:vAlign w:val="center"/>
          </w:tcPr>
          <w:p w14:paraId="007ECEA2" w14:textId="77777777" w:rsidR="0049750B" w:rsidRPr="00E158C0" w:rsidRDefault="0049750B" w:rsidP="00086471">
            <w:pPr>
              <w:jc w:val="center"/>
              <w:rPr>
                <w:rFonts w:ascii="Arial" w:hAnsi="Arial" w:cs="Arial"/>
              </w:rPr>
            </w:pPr>
          </w:p>
        </w:tc>
        <w:tc>
          <w:tcPr>
            <w:tcW w:w="4116" w:type="pct"/>
            <w:vAlign w:val="center"/>
          </w:tcPr>
          <w:p w14:paraId="28E25156" w14:textId="61A1C422" w:rsidR="0049750B" w:rsidRPr="00E158C0" w:rsidRDefault="0049750B" w:rsidP="00086471">
            <w:pPr>
              <w:rPr>
                <w:rFonts w:ascii="Arial" w:hAnsi="Arial" w:cs="Arial"/>
              </w:rPr>
            </w:pPr>
            <w:r w:rsidRPr="00E158C0">
              <w:rPr>
                <w:rFonts w:ascii="Arial" w:hAnsi="Arial" w:cs="Arial"/>
              </w:rPr>
              <w:t>Trabajo con otras instancias del MINAE para desarrollar acciones de compensación bajo diferentes elementos que puedan ser integrados en su operación (eje: SETENA).</w:t>
            </w:r>
          </w:p>
        </w:tc>
      </w:tr>
    </w:tbl>
    <w:p w14:paraId="2EB5C3BC" w14:textId="77777777" w:rsidR="002E4401" w:rsidRPr="00E158C0" w:rsidRDefault="002E4401"/>
    <w:p w14:paraId="40C5AF00" w14:textId="77777777" w:rsidR="00E158C0" w:rsidRPr="00E74C2B" w:rsidRDefault="00E158C0" w:rsidP="00E158C0">
      <w:pPr>
        <w:pStyle w:val="Sinespaciado"/>
        <w:rPr>
          <w:lang w:val="es-CR"/>
        </w:rPr>
      </w:pPr>
    </w:p>
    <w:p w14:paraId="35E2B54D" w14:textId="77777777" w:rsidR="00496113" w:rsidRDefault="00496113">
      <w:r>
        <w:br w:type="page"/>
      </w:r>
    </w:p>
    <w:p w14:paraId="3505A21D" w14:textId="525838AD" w:rsidR="00496113" w:rsidRDefault="00496113" w:rsidP="00487040">
      <w:pPr>
        <w:pStyle w:val="Ttulo1"/>
      </w:pPr>
      <w:bookmarkStart w:id="10" w:name="_Toc210994804"/>
      <w:r>
        <w:lastRenderedPageBreak/>
        <w:t xml:space="preserve">VI. </w:t>
      </w:r>
      <w:r w:rsidRPr="00496113">
        <w:t xml:space="preserve">Monitoreo y </w:t>
      </w:r>
      <w:r w:rsidR="00E769C0">
        <w:t>seguimiento</w:t>
      </w:r>
      <w:bookmarkEnd w:id="10"/>
      <w:r w:rsidR="00E769C0">
        <w:t xml:space="preserve"> </w:t>
      </w:r>
      <w:r w:rsidRPr="00496113">
        <w:t xml:space="preserve"> </w:t>
      </w:r>
    </w:p>
    <w:p w14:paraId="1D8321FC" w14:textId="77777777" w:rsidR="00487040" w:rsidRPr="00487040" w:rsidRDefault="00487040" w:rsidP="00487040">
      <w:pPr>
        <w:rPr>
          <w:lang w:eastAsia="en-US"/>
        </w:rPr>
      </w:pPr>
    </w:p>
    <w:p w14:paraId="2DB6EB25" w14:textId="75AB6CF5" w:rsidR="00496113" w:rsidRDefault="00496113" w:rsidP="00496113">
      <w:pPr>
        <w:spacing w:line="360" w:lineRule="auto"/>
        <w:jc w:val="both"/>
        <w:rPr>
          <w:rFonts w:ascii="Arial" w:hAnsi="Arial" w:cs="Arial"/>
        </w:rPr>
      </w:pPr>
      <w:r w:rsidRPr="00496113">
        <w:rPr>
          <w:rFonts w:ascii="Arial" w:hAnsi="Arial" w:cs="Arial"/>
        </w:rPr>
        <w:t xml:space="preserve">El monitoreo y </w:t>
      </w:r>
      <w:r w:rsidR="00E769C0">
        <w:rPr>
          <w:rFonts w:ascii="Arial" w:hAnsi="Arial" w:cs="Arial"/>
        </w:rPr>
        <w:t>seguimiento</w:t>
      </w:r>
      <w:r w:rsidRPr="00496113">
        <w:rPr>
          <w:rFonts w:ascii="Arial" w:hAnsi="Arial" w:cs="Arial"/>
        </w:rPr>
        <w:t xml:space="preserve"> garantizan la eficacia y pertinencia de la gestión de riesgos, examinando los riesgos identificados y las medidas de mitigación para mantener su alineación con los objetivos organizacionales y adaptarse a cambios del entorno.</w:t>
      </w:r>
    </w:p>
    <w:p w14:paraId="4C7FEFFC" w14:textId="77777777" w:rsidR="00487040" w:rsidRDefault="00487040" w:rsidP="00496113">
      <w:pPr>
        <w:spacing w:line="360" w:lineRule="auto"/>
        <w:jc w:val="both"/>
        <w:rPr>
          <w:rFonts w:ascii="Arial" w:hAnsi="Arial" w:cs="Arial"/>
        </w:rPr>
      </w:pPr>
    </w:p>
    <w:p w14:paraId="19CAAA1B" w14:textId="2B7AB4CA" w:rsidR="00E769C0" w:rsidRDefault="00E769C0" w:rsidP="00496113">
      <w:pPr>
        <w:spacing w:line="360" w:lineRule="auto"/>
        <w:jc w:val="both"/>
        <w:rPr>
          <w:rFonts w:ascii="Arial" w:hAnsi="Arial" w:cs="Arial"/>
          <w:b/>
          <w:u w:val="single"/>
        </w:rPr>
      </w:pPr>
      <w:r w:rsidRPr="00E769C0">
        <w:rPr>
          <w:rFonts w:ascii="Arial" w:hAnsi="Arial" w:cs="Arial"/>
          <w:b/>
          <w:u w:val="single"/>
        </w:rPr>
        <w:t>Monitoreo</w:t>
      </w:r>
    </w:p>
    <w:p w14:paraId="1D767F07" w14:textId="77777777" w:rsidR="00487040" w:rsidRPr="00E769C0" w:rsidRDefault="00487040" w:rsidP="00496113">
      <w:pPr>
        <w:spacing w:line="360" w:lineRule="auto"/>
        <w:jc w:val="both"/>
        <w:rPr>
          <w:rFonts w:ascii="Arial" w:hAnsi="Arial" w:cs="Arial"/>
          <w:b/>
          <w:u w:val="single"/>
        </w:rPr>
      </w:pPr>
    </w:p>
    <w:p w14:paraId="764E294E" w14:textId="77777777" w:rsidR="00E769C0" w:rsidRDefault="00496113" w:rsidP="00496113">
      <w:pPr>
        <w:spacing w:line="360" w:lineRule="auto"/>
        <w:jc w:val="both"/>
        <w:rPr>
          <w:rFonts w:ascii="Arial" w:hAnsi="Arial" w:cs="Arial"/>
        </w:rPr>
      </w:pPr>
      <w:r>
        <w:rPr>
          <w:rFonts w:ascii="Arial" w:hAnsi="Arial" w:cs="Arial"/>
        </w:rPr>
        <w:t xml:space="preserve">El monitoreo se realizará por medio de </w:t>
      </w:r>
      <w:r w:rsidRPr="00496113">
        <w:rPr>
          <w:rFonts w:ascii="Arial" w:hAnsi="Arial" w:cs="Arial"/>
        </w:rPr>
        <w:t xml:space="preserve">revisiones </w:t>
      </w:r>
      <w:r>
        <w:rPr>
          <w:rFonts w:ascii="Arial" w:hAnsi="Arial" w:cs="Arial"/>
        </w:rPr>
        <w:t xml:space="preserve">a los </w:t>
      </w:r>
      <w:r w:rsidRPr="00496113">
        <w:rPr>
          <w:rFonts w:ascii="Arial" w:hAnsi="Arial" w:cs="Arial"/>
        </w:rPr>
        <w:t>riesgos</w:t>
      </w:r>
      <w:r>
        <w:rPr>
          <w:rFonts w:ascii="Arial" w:hAnsi="Arial" w:cs="Arial"/>
        </w:rPr>
        <w:t xml:space="preserve"> identificados como relevantes y estratégicos</w:t>
      </w:r>
      <w:r w:rsidRPr="00496113">
        <w:rPr>
          <w:rFonts w:ascii="Arial" w:hAnsi="Arial" w:cs="Arial"/>
        </w:rPr>
        <w:t xml:space="preserve"> y</w:t>
      </w:r>
      <w:r>
        <w:rPr>
          <w:rFonts w:ascii="Arial" w:hAnsi="Arial" w:cs="Arial"/>
        </w:rPr>
        <w:t xml:space="preserve"> a</w:t>
      </w:r>
      <w:r w:rsidRPr="00496113">
        <w:rPr>
          <w:rFonts w:ascii="Arial" w:hAnsi="Arial" w:cs="Arial"/>
        </w:rPr>
        <w:t xml:space="preserve"> las medidas de mitigación</w:t>
      </w:r>
      <w:r>
        <w:rPr>
          <w:rFonts w:ascii="Arial" w:hAnsi="Arial" w:cs="Arial"/>
        </w:rPr>
        <w:t xml:space="preserve">, de </w:t>
      </w:r>
      <w:r w:rsidRPr="00496113">
        <w:rPr>
          <w:rFonts w:ascii="Arial" w:hAnsi="Arial" w:cs="Arial"/>
        </w:rPr>
        <w:t>manera semestral. Estas revisiones incluirán la evaluación del estado actual de los riesgos, la efectividad de las medidas implementadas y cualquier cambio en el contexto que pueda afectar la gestión de riesgos.</w:t>
      </w:r>
    </w:p>
    <w:p w14:paraId="193C04DA" w14:textId="77777777" w:rsidR="00F32E20" w:rsidRDefault="00F32E20" w:rsidP="00496113">
      <w:pPr>
        <w:spacing w:line="360" w:lineRule="auto"/>
        <w:jc w:val="both"/>
        <w:rPr>
          <w:rFonts w:ascii="Arial" w:hAnsi="Arial" w:cs="Arial"/>
          <w:b/>
          <w:u w:val="single"/>
        </w:rPr>
      </w:pPr>
    </w:p>
    <w:p w14:paraId="4DB8721E" w14:textId="58DFB553" w:rsidR="00E769C0" w:rsidRDefault="00E769C0" w:rsidP="00496113">
      <w:pPr>
        <w:spacing w:line="360" w:lineRule="auto"/>
        <w:jc w:val="both"/>
        <w:rPr>
          <w:rFonts w:ascii="Arial" w:hAnsi="Arial" w:cs="Arial"/>
          <w:b/>
          <w:u w:val="single"/>
        </w:rPr>
      </w:pPr>
      <w:r w:rsidRPr="00E769C0">
        <w:rPr>
          <w:rFonts w:ascii="Arial" w:hAnsi="Arial" w:cs="Arial"/>
          <w:b/>
          <w:u w:val="single"/>
        </w:rPr>
        <w:t>Seguimiento</w:t>
      </w:r>
    </w:p>
    <w:p w14:paraId="12166A3E" w14:textId="77777777" w:rsidR="00487040" w:rsidRDefault="00487040" w:rsidP="00496113">
      <w:pPr>
        <w:spacing w:line="360" w:lineRule="auto"/>
        <w:jc w:val="both"/>
        <w:rPr>
          <w:rFonts w:ascii="Arial" w:hAnsi="Arial" w:cs="Arial"/>
          <w:b/>
          <w:u w:val="single"/>
        </w:rPr>
      </w:pPr>
    </w:p>
    <w:p w14:paraId="7FD4D3CA" w14:textId="3AC21C64" w:rsidR="00E158C0" w:rsidRPr="00E769C0" w:rsidRDefault="00E769C0" w:rsidP="00496113">
      <w:pPr>
        <w:spacing w:line="360" w:lineRule="auto"/>
        <w:jc w:val="both"/>
        <w:rPr>
          <w:rFonts w:ascii="Arial" w:eastAsiaTheme="majorEastAsia" w:hAnsi="Arial" w:cs="Arial"/>
          <w:b/>
          <w:bCs/>
          <w:color w:val="000000" w:themeColor="text1"/>
          <w:u w:val="single"/>
        </w:rPr>
      </w:pPr>
      <w:r>
        <w:rPr>
          <w:rFonts w:ascii="Arial" w:hAnsi="Arial" w:cs="Arial"/>
        </w:rPr>
        <w:t xml:space="preserve">Se realizará un reporte anual </w:t>
      </w:r>
      <w:r w:rsidR="00BB083B">
        <w:rPr>
          <w:rFonts w:ascii="Arial" w:hAnsi="Arial" w:cs="Arial"/>
        </w:rPr>
        <w:t>detallando</w:t>
      </w:r>
      <w:r w:rsidRPr="00E769C0">
        <w:rPr>
          <w:rFonts w:ascii="Arial" w:hAnsi="Arial" w:cs="Arial"/>
        </w:rPr>
        <w:t xml:space="preserve"> el estado de los riesgos, </w:t>
      </w:r>
      <w:r>
        <w:rPr>
          <w:rFonts w:ascii="Arial" w:hAnsi="Arial" w:cs="Arial"/>
        </w:rPr>
        <w:t xml:space="preserve">el nivel de riesgo institucional y </w:t>
      </w:r>
      <w:r w:rsidRPr="00E769C0">
        <w:rPr>
          <w:rFonts w:ascii="Arial" w:hAnsi="Arial" w:cs="Arial"/>
        </w:rPr>
        <w:t xml:space="preserve">el progreso en la implementación de las medidas de mitigación y cualquier </w:t>
      </w:r>
      <w:r>
        <w:rPr>
          <w:rFonts w:ascii="Arial" w:hAnsi="Arial" w:cs="Arial"/>
        </w:rPr>
        <w:t>evento</w:t>
      </w:r>
      <w:r w:rsidRPr="00E769C0">
        <w:rPr>
          <w:rFonts w:ascii="Arial" w:hAnsi="Arial" w:cs="Arial"/>
        </w:rPr>
        <w:t xml:space="preserve"> relevante.</w:t>
      </w:r>
      <w:r w:rsidR="00E158C0" w:rsidRPr="00E769C0">
        <w:rPr>
          <w:rFonts w:ascii="Arial" w:hAnsi="Arial" w:cs="Arial"/>
          <w:b/>
          <w:u w:val="single"/>
        </w:rPr>
        <w:br w:type="page"/>
      </w:r>
    </w:p>
    <w:p w14:paraId="6C997E9E" w14:textId="65B188DC" w:rsidR="00065AF8" w:rsidRDefault="00DD785B" w:rsidP="00DD785B">
      <w:pPr>
        <w:pStyle w:val="Ttulo1"/>
      </w:pPr>
      <w:bookmarkStart w:id="11" w:name="_Toc210994805"/>
      <w:r>
        <w:lastRenderedPageBreak/>
        <w:t>V</w:t>
      </w:r>
      <w:r w:rsidR="00487040">
        <w:t>II</w:t>
      </w:r>
      <w:r>
        <w:t>.</w:t>
      </w:r>
      <w:r w:rsidR="00276F3D" w:rsidRPr="00643CC2">
        <w:t xml:space="preserve"> </w:t>
      </w:r>
      <w:r w:rsidR="00A54EB9">
        <w:t>Conclusiones</w:t>
      </w:r>
      <w:bookmarkEnd w:id="11"/>
      <w:r w:rsidR="00A54EB9">
        <w:t xml:space="preserve"> </w:t>
      </w:r>
    </w:p>
    <w:p w14:paraId="579B5208" w14:textId="77777777" w:rsidR="006243C5" w:rsidRPr="001F31E9" w:rsidRDefault="006243C5" w:rsidP="00A54EB9">
      <w:pPr>
        <w:pStyle w:val="Sinespaciado"/>
        <w:rPr>
          <w:lang w:val="es-CR"/>
        </w:rPr>
      </w:pPr>
    </w:p>
    <w:p w14:paraId="04571992" w14:textId="6EFBF1CD" w:rsidR="00C1155B" w:rsidRDefault="00402185" w:rsidP="00C1155B">
      <w:pPr>
        <w:spacing w:line="360" w:lineRule="auto"/>
        <w:jc w:val="both"/>
        <w:rPr>
          <w:rFonts w:ascii="Arial" w:hAnsi="Arial" w:cs="Arial"/>
        </w:rPr>
      </w:pPr>
      <w:r w:rsidRPr="009620AA">
        <w:rPr>
          <w:rFonts w:ascii="Arial" w:hAnsi="Arial" w:cs="Arial"/>
        </w:rPr>
        <w:t xml:space="preserve">El análisis de los riesgos institucionales evidencia que la mayoría se ubica en </w:t>
      </w:r>
      <w:r w:rsidRPr="009620AA">
        <w:rPr>
          <w:rFonts w:ascii="Arial" w:hAnsi="Arial" w:cs="Arial"/>
          <w:bCs/>
        </w:rPr>
        <w:t>nivel medio</w:t>
      </w:r>
      <w:r w:rsidR="00BB083B">
        <w:rPr>
          <w:rFonts w:ascii="Arial" w:hAnsi="Arial" w:cs="Arial"/>
        </w:rPr>
        <w:t xml:space="preserve"> (5</w:t>
      </w:r>
      <w:r w:rsidR="00086471">
        <w:rPr>
          <w:rFonts w:ascii="Arial" w:hAnsi="Arial" w:cs="Arial"/>
        </w:rPr>
        <w:t xml:space="preserve"> eventos), seguido de nivel</w:t>
      </w:r>
      <w:r w:rsidRPr="009620AA">
        <w:rPr>
          <w:rFonts w:ascii="Arial" w:hAnsi="Arial" w:cs="Arial"/>
        </w:rPr>
        <w:t xml:space="preserve"> </w:t>
      </w:r>
      <w:r w:rsidRPr="009620AA">
        <w:rPr>
          <w:rFonts w:ascii="Arial" w:hAnsi="Arial" w:cs="Arial"/>
          <w:bCs/>
        </w:rPr>
        <w:t>alto</w:t>
      </w:r>
      <w:r w:rsidRPr="009620AA">
        <w:rPr>
          <w:rFonts w:ascii="Arial" w:hAnsi="Arial" w:cs="Arial"/>
        </w:rPr>
        <w:t xml:space="preserve"> (3 eventos) y </w:t>
      </w:r>
      <w:r w:rsidR="00BB083B">
        <w:rPr>
          <w:rFonts w:ascii="Arial" w:hAnsi="Arial" w:cs="Arial"/>
        </w:rPr>
        <w:t xml:space="preserve">uno </w:t>
      </w:r>
      <w:r w:rsidRPr="009620AA">
        <w:rPr>
          <w:rFonts w:ascii="Arial" w:hAnsi="Arial" w:cs="Arial"/>
          <w:bCs/>
        </w:rPr>
        <w:t>bajo</w:t>
      </w:r>
      <w:r w:rsidR="00BB083B">
        <w:rPr>
          <w:rFonts w:ascii="Arial" w:hAnsi="Arial" w:cs="Arial"/>
          <w:bCs/>
        </w:rPr>
        <w:t>,</w:t>
      </w:r>
      <w:r w:rsidR="00BB083B">
        <w:rPr>
          <w:rFonts w:ascii="Arial" w:hAnsi="Arial" w:cs="Arial"/>
        </w:rPr>
        <w:t xml:space="preserve"> </w:t>
      </w:r>
      <w:r w:rsidR="009620AA">
        <w:rPr>
          <w:rFonts w:ascii="Arial" w:hAnsi="Arial" w:cs="Arial"/>
        </w:rPr>
        <w:t>lo que da</w:t>
      </w:r>
      <w:r w:rsidRPr="009620AA">
        <w:rPr>
          <w:rFonts w:ascii="Arial" w:hAnsi="Arial" w:cs="Arial"/>
        </w:rPr>
        <w:t xml:space="preserve"> un </w:t>
      </w:r>
      <w:r w:rsidRPr="009620AA">
        <w:rPr>
          <w:rFonts w:ascii="Arial" w:hAnsi="Arial" w:cs="Arial"/>
          <w:bCs/>
        </w:rPr>
        <w:t>promedi</w:t>
      </w:r>
      <w:r w:rsidR="00BB083B">
        <w:rPr>
          <w:rFonts w:ascii="Arial" w:hAnsi="Arial" w:cs="Arial"/>
          <w:bCs/>
        </w:rPr>
        <w:t>o general de 3</w:t>
      </w:r>
      <w:r w:rsidR="002557B7">
        <w:rPr>
          <w:rFonts w:ascii="Arial" w:hAnsi="Arial" w:cs="Arial"/>
          <w:bCs/>
        </w:rPr>
        <w:t xml:space="preserve"> según el mapa de calor</w:t>
      </w:r>
      <w:r w:rsidR="00086471">
        <w:rPr>
          <w:rFonts w:ascii="Arial" w:hAnsi="Arial" w:cs="Arial"/>
          <w:bCs/>
        </w:rPr>
        <w:t xml:space="preserve"> utilizado</w:t>
      </w:r>
      <w:r w:rsidRPr="009620AA">
        <w:rPr>
          <w:rFonts w:ascii="Arial" w:hAnsi="Arial" w:cs="Arial"/>
        </w:rPr>
        <w:t xml:space="preserve">. Este panorama posiciona a la institución en un </w:t>
      </w:r>
      <w:r w:rsidRPr="009620AA">
        <w:rPr>
          <w:rFonts w:ascii="Arial" w:hAnsi="Arial" w:cs="Arial"/>
          <w:bCs/>
        </w:rPr>
        <w:t>grado de riesgo</w:t>
      </w:r>
      <w:r w:rsidR="009620AA">
        <w:rPr>
          <w:rFonts w:ascii="Arial" w:hAnsi="Arial" w:cs="Arial"/>
          <w:bCs/>
        </w:rPr>
        <w:t xml:space="preserve"> de </w:t>
      </w:r>
      <w:r w:rsidR="009620AA" w:rsidRPr="009620AA">
        <w:rPr>
          <w:rFonts w:ascii="Arial" w:hAnsi="Arial" w:cs="Arial"/>
          <w:b/>
          <w:bCs/>
        </w:rPr>
        <w:t>nivel</w:t>
      </w:r>
      <w:r w:rsidRPr="009620AA">
        <w:rPr>
          <w:rFonts w:ascii="Arial" w:hAnsi="Arial" w:cs="Arial"/>
          <w:b/>
          <w:bCs/>
        </w:rPr>
        <w:t xml:space="preserve"> medio</w:t>
      </w:r>
      <w:r w:rsidRPr="009620AA">
        <w:rPr>
          <w:rFonts w:ascii="Arial" w:hAnsi="Arial" w:cs="Arial"/>
        </w:rPr>
        <w:t xml:space="preserve">, </w:t>
      </w:r>
      <w:r w:rsidR="009620AA" w:rsidRPr="009620AA">
        <w:rPr>
          <w:rFonts w:ascii="Arial" w:hAnsi="Arial" w:cs="Arial"/>
        </w:rPr>
        <w:t>no obstante, es necesario reforzar los controles internos y el seguimiento de las medidas de mitigación, con el objetivo de reducir la ocurrencia de los riesgos y fortalecer la cultura de control institucional.</w:t>
      </w:r>
    </w:p>
    <w:p w14:paraId="69D4105C" w14:textId="77777777" w:rsidR="00C1155B" w:rsidRDefault="00C1155B" w:rsidP="00C1155B">
      <w:pPr>
        <w:spacing w:line="360" w:lineRule="auto"/>
        <w:jc w:val="both"/>
        <w:rPr>
          <w:rFonts w:ascii="Arial" w:hAnsi="Arial" w:cs="Arial"/>
        </w:rPr>
      </w:pPr>
    </w:p>
    <w:p w14:paraId="29000D78" w14:textId="7C13A77F" w:rsidR="00C1155B" w:rsidRDefault="001F31E9" w:rsidP="00C1155B">
      <w:pPr>
        <w:spacing w:line="360" w:lineRule="auto"/>
        <w:jc w:val="both"/>
        <w:rPr>
          <w:rFonts w:ascii="Arial" w:hAnsi="Arial" w:cs="Arial"/>
        </w:rPr>
      </w:pPr>
      <w:r w:rsidRPr="001F31E9">
        <w:rPr>
          <w:rFonts w:ascii="Arial" w:hAnsi="Arial" w:cs="Arial"/>
        </w:rPr>
        <w:t xml:space="preserve">Según la evaluación de riesgos estratégicos relevantes, se identificaron situaciones críticas como </w:t>
      </w:r>
      <w:r w:rsidR="00086471">
        <w:rPr>
          <w:rFonts w:ascii="Arial" w:hAnsi="Arial" w:cs="Arial"/>
          <w:bCs/>
          <w:lang w:val="es-ES"/>
        </w:rPr>
        <w:t>el i</w:t>
      </w:r>
      <w:r w:rsidR="00086471" w:rsidRPr="00D457F6">
        <w:rPr>
          <w:rFonts w:ascii="Arial" w:hAnsi="Arial" w:cs="Arial"/>
          <w:bCs/>
          <w:lang w:val="es-ES"/>
        </w:rPr>
        <w:t>ncumplimiento de pago por parte de los deudores de la cartera de crédito forestal</w:t>
      </w:r>
      <w:r w:rsidRPr="001F31E9">
        <w:rPr>
          <w:rFonts w:ascii="Arial" w:hAnsi="Arial" w:cs="Arial"/>
        </w:rPr>
        <w:t xml:space="preserve">, la posible disminución en el acceso a fondos de cooperación internacional y la </w:t>
      </w:r>
      <w:r w:rsidR="00086471">
        <w:rPr>
          <w:rFonts w:ascii="Arial" w:hAnsi="Arial" w:cs="Arial"/>
          <w:bCs/>
          <w:lang w:val="es-ES"/>
        </w:rPr>
        <w:t>p</w:t>
      </w:r>
      <w:r w:rsidR="00086471" w:rsidRPr="00D457F6">
        <w:rPr>
          <w:rFonts w:ascii="Arial" w:hAnsi="Arial" w:cs="Arial"/>
          <w:bCs/>
          <w:lang w:val="es-ES"/>
        </w:rPr>
        <w:t>érdida del posicionamiento del Fonafifo para captar recursos adicionales</w:t>
      </w:r>
      <w:r w:rsidR="00086471">
        <w:rPr>
          <w:rFonts w:ascii="Arial" w:hAnsi="Arial" w:cs="Arial"/>
          <w:bCs/>
          <w:lang w:val="es-ES"/>
        </w:rPr>
        <w:t xml:space="preserve">, y la probabilidad </w:t>
      </w:r>
      <w:r w:rsidR="00086471" w:rsidRPr="00D457F6">
        <w:rPr>
          <w:rFonts w:ascii="Arial" w:hAnsi="Arial" w:cs="Arial"/>
          <w:bCs/>
          <w:lang w:val="es-ES"/>
        </w:rPr>
        <w:t>de vulnerabilidades en la plataforma tecnológica institucional.</w:t>
      </w:r>
      <w:r w:rsidR="00086471" w:rsidRPr="009620AA">
        <w:rPr>
          <w:rFonts w:ascii="Arial" w:hAnsi="Arial" w:cs="Arial"/>
        </w:rPr>
        <w:t xml:space="preserve"> </w:t>
      </w:r>
      <w:r w:rsidR="009620AA" w:rsidRPr="009620AA">
        <w:rPr>
          <w:rFonts w:ascii="Arial" w:hAnsi="Arial" w:cs="Arial"/>
        </w:rPr>
        <w:t xml:space="preserve">La identificación de </w:t>
      </w:r>
      <w:r w:rsidR="0002545C">
        <w:rPr>
          <w:rFonts w:ascii="Arial" w:hAnsi="Arial" w:cs="Arial"/>
        </w:rPr>
        <w:t xml:space="preserve">estos </w:t>
      </w:r>
      <w:r w:rsidR="009620AA" w:rsidRPr="009620AA">
        <w:rPr>
          <w:rFonts w:ascii="Arial" w:hAnsi="Arial" w:cs="Arial"/>
        </w:rPr>
        <w:t>riesgos evidencia que ciertos eventos podrían generar impactos significativos sobre la operación y sostenibilidad institucional si no se aplican medidas de control oportunas</w:t>
      </w:r>
      <w:r w:rsidR="009620AA">
        <w:rPr>
          <w:rFonts w:ascii="Arial" w:hAnsi="Arial" w:cs="Arial"/>
        </w:rPr>
        <w:t xml:space="preserve">. </w:t>
      </w:r>
    </w:p>
    <w:p w14:paraId="1E915B6B" w14:textId="77777777" w:rsidR="002557B7" w:rsidRDefault="002557B7" w:rsidP="00C1155B">
      <w:pPr>
        <w:spacing w:line="360" w:lineRule="auto"/>
        <w:jc w:val="both"/>
        <w:rPr>
          <w:rFonts w:ascii="Arial" w:hAnsi="Arial" w:cs="Arial"/>
        </w:rPr>
      </w:pPr>
    </w:p>
    <w:p w14:paraId="29EA93A5" w14:textId="0EF15763" w:rsidR="00496113" w:rsidRDefault="002557B7" w:rsidP="00C1155B">
      <w:pPr>
        <w:spacing w:line="360" w:lineRule="auto"/>
        <w:jc w:val="both"/>
        <w:rPr>
          <w:rFonts w:ascii="Arial" w:hAnsi="Arial" w:cs="Arial"/>
        </w:rPr>
      </w:pPr>
      <w:r>
        <w:rPr>
          <w:rFonts w:ascii="Arial" w:hAnsi="Arial" w:cs="Arial"/>
        </w:rPr>
        <w:t>Por lo tanto,</w:t>
      </w:r>
      <w:r w:rsidR="009620AA" w:rsidRPr="009620AA">
        <w:rPr>
          <w:rFonts w:ascii="Arial" w:hAnsi="Arial" w:cs="Arial"/>
        </w:rPr>
        <w:t xml:space="preserve"> la</w:t>
      </w:r>
      <w:r>
        <w:rPr>
          <w:rFonts w:ascii="Arial" w:hAnsi="Arial" w:cs="Arial"/>
        </w:rPr>
        <w:t>s medidas de</w:t>
      </w:r>
      <w:r w:rsidR="009620AA" w:rsidRPr="009620AA">
        <w:rPr>
          <w:rFonts w:ascii="Arial" w:hAnsi="Arial" w:cs="Arial"/>
        </w:rPr>
        <w:t xml:space="preserve"> mitigación de estos riesgos se han definido acciones concretas, incluyendo seguimiento técnico y financiero, revisión periódica de normativa, fortalecimiento de alianzas estratégicas, evaluación continua de clientes y proyectos, y monitoreo de indicadores clave. La implementación efectiva de estas medidas permitirá reducir la probabilidad e impacto de los riesgos, mejorar la capacidad de respuesta institucional y fortalecer la cultura de control interno, consolidando la gestión de riesgos como un componente estratégico para la sostenibilidad y desempeño de la institución.</w:t>
      </w:r>
    </w:p>
    <w:p w14:paraId="32660598" w14:textId="3C581B30" w:rsidR="00065AF8" w:rsidRPr="00496113" w:rsidRDefault="00496113" w:rsidP="00496113">
      <w:pPr>
        <w:rPr>
          <w:rFonts w:ascii="Arial" w:hAnsi="Arial" w:cs="Arial"/>
        </w:rPr>
      </w:pPr>
      <w:r>
        <w:rPr>
          <w:rFonts w:ascii="Arial" w:hAnsi="Arial" w:cs="Arial"/>
        </w:rPr>
        <w:br w:type="page"/>
      </w:r>
    </w:p>
    <w:p w14:paraId="3D559DE6" w14:textId="77984F77" w:rsidR="006B75F7" w:rsidRDefault="00C1155B" w:rsidP="006B75F7">
      <w:pPr>
        <w:pStyle w:val="Ttulo1"/>
        <w:jc w:val="center"/>
      </w:pPr>
      <w:bookmarkStart w:id="12" w:name="_Toc210994806"/>
      <w:r w:rsidRPr="00C1155B">
        <w:lastRenderedPageBreak/>
        <w:t>Anexos</w:t>
      </w:r>
      <w:bookmarkEnd w:id="12"/>
    </w:p>
    <w:p w14:paraId="292D7DA5" w14:textId="77777777" w:rsidR="006B75F7" w:rsidRPr="006B75F7" w:rsidRDefault="006B75F7" w:rsidP="006B75F7"/>
    <w:p w14:paraId="3E73B1C9" w14:textId="0DC72F22" w:rsidR="0049750B" w:rsidRDefault="0087076D" w:rsidP="0049750B">
      <w:pPr>
        <w:jc w:val="center"/>
        <w:rPr>
          <w:rFonts w:ascii="Arial" w:hAnsi="Arial" w:cs="Arial"/>
        </w:rPr>
      </w:pPr>
      <w:r w:rsidRPr="006B75F7">
        <w:rPr>
          <w:rFonts w:ascii="Arial" w:hAnsi="Arial" w:cs="Arial"/>
        </w:rPr>
        <w:t xml:space="preserve">Anexo 1. </w:t>
      </w:r>
      <w:r w:rsidR="0049750B" w:rsidRPr="006B75F7">
        <w:rPr>
          <w:rFonts w:ascii="Arial" w:hAnsi="Arial" w:cs="Arial"/>
        </w:rPr>
        <w:t xml:space="preserve">Fase Identificación del SEVRI </w:t>
      </w:r>
    </w:p>
    <w:p w14:paraId="2D67EDAA" w14:textId="77777777" w:rsidR="001F181F" w:rsidRPr="006B75F7" w:rsidRDefault="001F181F" w:rsidP="0049750B">
      <w:pPr>
        <w:jc w:val="center"/>
        <w:rPr>
          <w:rFonts w:ascii="Arial" w:hAnsi="Arial" w:cs="Arial"/>
          <w:noProof/>
        </w:rPr>
      </w:pPr>
    </w:p>
    <w:tbl>
      <w:tblPr>
        <w:tblW w:w="5482" w:type="pct"/>
        <w:tblInd w:w="-709" w:type="dxa"/>
        <w:tblCellMar>
          <w:left w:w="70" w:type="dxa"/>
          <w:right w:w="70" w:type="dxa"/>
        </w:tblCellMar>
        <w:tblLook w:val="04A0" w:firstRow="1" w:lastRow="0" w:firstColumn="1" w:lastColumn="0" w:noHBand="0" w:noVBand="1"/>
      </w:tblPr>
      <w:tblGrid>
        <w:gridCol w:w="2834"/>
        <w:gridCol w:w="2972"/>
        <w:gridCol w:w="3969"/>
        <w:gridCol w:w="4668"/>
      </w:tblGrid>
      <w:tr w:rsidR="006B75F7" w:rsidRPr="0049750B" w14:paraId="3BA1470D" w14:textId="77777777" w:rsidTr="00600D7E">
        <w:trPr>
          <w:trHeight w:val="308"/>
          <w:tblHeader/>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548235"/>
            <w:vAlign w:val="center"/>
            <w:hideMark/>
          </w:tcPr>
          <w:p w14:paraId="7D65490A" w14:textId="12F97ACA" w:rsidR="0049750B" w:rsidRPr="0049750B" w:rsidRDefault="0049750B" w:rsidP="0049750B">
            <w:pPr>
              <w:jc w:val="center"/>
              <w:rPr>
                <w:rFonts w:ascii="Century Gothic" w:hAnsi="Century Gothic" w:cs="Calibri"/>
                <w:b/>
                <w:bCs/>
                <w:color w:val="FFFFFF"/>
                <w:sz w:val="20"/>
                <w:szCs w:val="20"/>
              </w:rPr>
            </w:pPr>
            <w:r>
              <w:rPr>
                <w:noProof/>
              </w:rPr>
              <w:br w:type="page"/>
            </w:r>
            <w:r w:rsidRPr="0049750B">
              <w:rPr>
                <w:rFonts w:ascii="Century Gothic" w:hAnsi="Century Gothic" w:cs="Calibri"/>
                <w:b/>
                <w:bCs/>
                <w:color w:val="FFFFFF"/>
                <w:sz w:val="20"/>
                <w:szCs w:val="20"/>
              </w:rPr>
              <w:t>Evento desencadenante de riesgos</w:t>
            </w:r>
          </w:p>
        </w:tc>
        <w:tc>
          <w:tcPr>
            <w:tcW w:w="2403"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548235"/>
            <w:vAlign w:val="center"/>
            <w:hideMark/>
          </w:tcPr>
          <w:p w14:paraId="31B00762" w14:textId="77777777" w:rsidR="0049750B" w:rsidRPr="0049750B" w:rsidRDefault="0049750B" w:rsidP="0049750B">
            <w:pPr>
              <w:jc w:val="center"/>
              <w:rPr>
                <w:rFonts w:ascii="Century Gothic" w:hAnsi="Century Gothic" w:cs="Calibri"/>
                <w:b/>
                <w:bCs/>
                <w:color w:val="FFFFFF"/>
                <w:sz w:val="28"/>
                <w:szCs w:val="28"/>
              </w:rPr>
            </w:pPr>
            <w:r w:rsidRPr="0049750B">
              <w:rPr>
                <w:rFonts w:ascii="Century Gothic" w:hAnsi="Century Gothic" w:cs="Calibri"/>
                <w:b/>
                <w:bCs/>
                <w:color w:val="FFFFFF"/>
                <w:sz w:val="28"/>
                <w:szCs w:val="28"/>
              </w:rPr>
              <w:t>Causas</w:t>
            </w:r>
          </w:p>
        </w:tc>
        <w:tc>
          <w:tcPr>
            <w:tcW w:w="1616"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375623"/>
            <w:vAlign w:val="center"/>
            <w:hideMark/>
          </w:tcPr>
          <w:p w14:paraId="49181317" w14:textId="77777777" w:rsidR="0049750B" w:rsidRPr="0049750B" w:rsidRDefault="0049750B" w:rsidP="0049750B">
            <w:pPr>
              <w:jc w:val="center"/>
              <w:rPr>
                <w:rFonts w:ascii="Century Gothic" w:hAnsi="Century Gothic" w:cs="Calibri"/>
                <w:b/>
                <w:bCs/>
                <w:color w:val="FFFFFF"/>
                <w:sz w:val="20"/>
                <w:szCs w:val="20"/>
              </w:rPr>
            </w:pPr>
            <w:r w:rsidRPr="0049750B">
              <w:rPr>
                <w:rFonts w:ascii="Century Gothic" w:hAnsi="Century Gothic" w:cs="Calibri"/>
                <w:b/>
                <w:bCs/>
                <w:color w:val="FFFFFF"/>
                <w:sz w:val="20"/>
                <w:szCs w:val="20"/>
              </w:rPr>
              <w:t xml:space="preserve">Consecuencias </w:t>
            </w:r>
          </w:p>
        </w:tc>
      </w:tr>
      <w:tr w:rsidR="006B75F7" w:rsidRPr="0049750B" w14:paraId="630B345F" w14:textId="77777777" w:rsidTr="00600D7E">
        <w:trPr>
          <w:trHeight w:val="434"/>
          <w:tblHeader/>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52F9491" w14:textId="77777777" w:rsidR="0049750B" w:rsidRPr="0049750B" w:rsidRDefault="0049750B" w:rsidP="0049750B">
            <w:pPr>
              <w:rPr>
                <w:rFonts w:ascii="Century Gothic" w:hAnsi="Century Gothic" w:cs="Calibri"/>
                <w:b/>
                <w:bCs/>
                <w:color w:val="FFFFFF"/>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A9D08E"/>
            <w:vAlign w:val="center"/>
            <w:hideMark/>
          </w:tcPr>
          <w:p w14:paraId="7D634627" w14:textId="77777777" w:rsidR="0049750B" w:rsidRPr="0049750B" w:rsidRDefault="0049750B" w:rsidP="0049750B">
            <w:pPr>
              <w:jc w:val="center"/>
              <w:rPr>
                <w:rFonts w:ascii="Century Gothic" w:hAnsi="Century Gothic" w:cs="Calibri"/>
                <w:b/>
                <w:bCs/>
                <w:color w:val="FFFFFF"/>
                <w:sz w:val="20"/>
                <w:szCs w:val="20"/>
              </w:rPr>
            </w:pPr>
            <w:r w:rsidRPr="0049750B">
              <w:rPr>
                <w:rFonts w:ascii="Century Gothic" w:hAnsi="Century Gothic" w:cs="Calibri"/>
                <w:b/>
                <w:bCs/>
                <w:color w:val="FFFFFF"/>
                <w:sz w:val="20"/>
                <w:szCs w:val="20"/>
              </w:rPr>
              <w:t>Externas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548235"/>
            <w:vAlign w:val="center"/>
            <w:hideMark/>
          </w:tcPr>
          <w:p w14:paraId="6487514F" w14:textId="77777777" w:rsidR="0049750B" w:rsidRPr="0049750B" w:rsidRDefault="0049750B" w:rsidP="0049750B">
            <w:pPr>
              <w:jc w:val="center"/>
              <w:rPr>
                <w:rFonts w:ascii="Century Gothic" w:hAnsi="Century Gothic" w:cs="Calibri"/>
                <w:b/>
                <w:bCs/>
                <w:color w:val="FFFFFF"/>
                <w:sz w:val="20"/>
                <w:szCs w:val="20"/>
              </w:rPr>
            </w:pPr>
            <w:r w:rsidRPr="0049750B">
              <w:rPr>
                <w:rFonts w:ascii="Century Gothic" w:hAnsi="Century Gothic" w:cs="Calibri"/>
                <w:b/>
                <w:bCs/>
                <w:color w:val="FFFFFF"/>
                <w:sz w:val="20"/>
                <w:szCs w:val="20"/>
              </w:rPr>
              <w:t>Internas</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6472961" w14:textId="77777777" w:rsidR="0049750B" w:rsidRPr="0049750B" w:rsidRDefault="0049750B" w:rsidP="0049750B">
            <w:pPr>
              <w:rPr>
                <w:rFonts w:ascii="Century Gothic" w:hAnsi="Century Gothic" w:cs="Calibri"/>
                <w:b/>
                <w:bCs/>
                <w:color w:val="FFFFFF"/>
                <w:sz w:val="20"/>
                <w:szCs w:val="20"/>
              </w:rPr>
            </w:pPr>
          </w:p>
        </w:tc>
      </w:tr>
      <w:tr w:rsidR="006B75F7" w:rsidRPr="001F181F" w14:paraId="0845A321" w14:textId="77777777" w:rsidTr="00600D7E">
        <w:trPr>
          <w:trHeight w:val="616"/>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3FE4FAF3" w14:textId="77777777" w:rsidR="0049750B" w:rsidRPr="001F181F" w:rsidRDefault="0049750B" w:rsidP="0049750B">
            <w:pPr>
              <w:jc w:val="center"/>
              <w:rPr>
                <w:rFonts w:ascii="Century Gothic" w:hAnsi="Century Gothic" w:cs="Calibri"/>
                <w:b/>
                <w:bCs/>
                <w:sz w:val="20"/>
                <w:szCs w:val="20"/>
              </w:rPr>
            </w:pPr>
            <w:r w:rsidRPr="001F181F">
              <w:rPr>
                <w:rFonts w:ascii="Century Gothic" w:hAnsi="Century Gothic" w:cs="Calibri"/>
                <w:b/>
                <w:bCs/>
                <w:sz w:val="20"/>
                <w:szCs w:val="20"/>
              </w:rPr>
              <w:t>Incumplimiento de los compromisos estratégicos</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4E7C1F55"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 xml:space="preserve">1. Disminución de las fuentes de financiamiento. </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ACADEAB"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 Incumplimiento de las metas de los programas de financiamiento de servicios ambientales.  </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23CCF0FB"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 Impactando la reputación y credibilidad de la organización.</w:t>
            </w:r>
          </w:p>
        </w:tc>
      </w:tr>
      <w:tr w:rsidR="006B75F7" w:rsidRPr="001F181F" w14:paraId="7214D050" w14:textId="77777777" w:rsidTr="00600D7E">
        <w:trPr>
          <w:trHeight w:val="924"/>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28FE993" w14:textId="77777777" w:rsidR="0049750B" w:rsidRPr="001F181F" w:rsidRDefault="0049750B" w:rsidP="0049750B">
            <w:pPr>
              <w:rPr>
                <w:rFonts w:ascii="Century Gothic" w:hAnsi="Century Gothic" w:cs="Calibri"/>
                <w:b/>
                <w:bCs/>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16009C46"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Cambio de las prioridades de gobierno de turno.</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3077E440"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Incumplimiento en la ejecución de los proyectos de TI que afecte la disponibilidad de "Fonafifo en Línea" y la prestación de sus servicios digitales.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27C3549"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Pérdida de confianza por parte de los grupos de interés</w:t>
            </w:r>
          </w:p>
        </w:tc>
      </w:tr>
      <w:tr w:rsidR="006B75F7" w:rsidRPr="001F181F" w14:paraId="20C1955B" w14:textId="77777777" w:rsidTr="00600D7E">
        <w:trPr>
          <w:trHeight w:val="924"/>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3888002" w14:textId="77777777" w:rsidR="006B75F7" w:rsidRPr="001F181F" w:rsidRDefault="006B75F7" w:rsidP="0049750B">
            <w:pPr>
              <w:rPr>
                <w:rFonts w:ascii="Century Gothic" w:hAnsi="Century Gothic" w:cs="Calibri"/>
                <w:b/>
                <w:bCs/>
                <w:sz w:val="20"/>
                <w:szCs w:val="20"/>
              </w:rPr>
            </w:pP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46A38958"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3. Cambios Políticos en el sector forestal.</w:t>
            </w:r>
          </w:p>
        </w:tc>
        <w:tc>
          <w:tcPr>
            <w:tcW w:w="1374"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AD8CCCA"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3. Estancamiento de los resultados obtenidos en índices institucionales realizados por entes fiscalizadores.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3A35105D"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3. Insatisfacción de los(as) clientes y usuarios(as) en general con respecto a la calidad de servicios sustantivos provocando una percepción negativa de la labor institucional.</w:t>
            </w:r>
          </w:p>
        </w:tc>
      </w:tr>
      <w:tr w:rsidR="006B75F7" w:rsidRPr="001F181F" w14:paraId="4963C876" w14:textId="77777777" w:rsidTr="00600D7E">
        <w:trPr>
          <w:trHeight w:val="616"/>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D8B882B" w14:textId="77777777" w:rsidR="006B75F7" w:rsidRPr="001F181F" w:rsidRDefault="006B75F7" w:rsidP="0049750B">
            <w:pPr>
              <w:rPr>
                <w:rFonts w:ascii="Century Gothic" w:hAnsi="Century Gothic" w:cs="Calibri"/>
                <w:b/>
                <w:bCs/>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2CF3B7BC" w14:textId="77777777" w:rsidR="006B75F7" w:rsidRPr="001F181F" w:rsidRDefault="006B75F7" w:rsidP="0049750B">
            <w:pPr>
              <w:rPr>
                <w:rFonts w:ascii="Century Gothic" w:hAnsi="Century Gothic" w:cs="Calibri"/>
                <w:color w:val="000000"/>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1CDC602C" w14:textId="77777777" w:rsidR="006B75F7" w:rsidRPr="001F181F" w:rsidRDefault="006B75F7" w:rsidP="0049750B">
            <w:pPr>
              <w:rPr>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4D62264A"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 xml:space="preserve">4. Afectación al valor público percibido por la sociedad civil. </w:t>
            </w:r>
          </w:p>
        </w:tc>
      </w:tr>
      <w:tr w:rsidR="006B75F7" w:rsidRPr="001F181F" w14:paraId="6D6F731D" w14:textId="77777777" w:rsidTr="00600D7E">
        <w:trPr>
          <w:trHeight w:val="1443"/>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140E4012" w14:textId="77777777" w:rsidR="0049750B" w:rsidRPr="001F181F" w:rsidRDefault="0049750B" w:rsidP="0049750B">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Posibilidad de que ocurran actos de corrupción en los procesos de gestión institucional</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01BCA6EB"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374"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3D5C3793"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1.Falta de operatividad de la Comisión de Ética limitando la capacidad de la institución para abordar de manera proactiva posibles conflictos de interés, actos de corrupción o violaciones a los principios éticos establecidos, lo que genera un entorno propenso a la corrupción.</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15CCD0B5"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 Daño a la imagen, transparencia y credibilidad  institucional.</w:t>
            </w:r>
          </w:p>
        </w:tc>
      </w:tr>
      <w:tr w:rsidR="006B75F7" w:rsidRPr="001F181F" w14:paraId="62BC3AA9" w14:textId="77777777" w:rsidTr="00600D7E">
        <w:trPr>
          <w:trHeight w:val="616"/>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7A004B0" w14:textId="77777777" w:rsidR="0049750B" w:rsidRPr="001F181F" w:rsidRDefault="0049750B" w:rsidP="0049750B">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00E0B62C"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7B96E7B" w14:textId="77777777" w:rsidR="0049750B" w:rsidRPr="001F181F" w:rsidRDefault="0049750B" w:rsidP="0049750B">
            <w:pPr>
              <w:rPr>
                <w:rFonts w:ascii="Century Gothic" w:hAnsi="Century Gothic" w:cs="Calibri"/>
                <w:color w:val="000000"/>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2FD03CE0"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Pérdida de confianza en los programas emblemáticos, como el PSA o los créditos para fomento productivo.</w:t>
            </w:r>
          </w:p>
        </w:tc>
      </w:tr>
      <w:tr w:rsidR="006B75F7" w:rsidRPr="001F181F" w14:paraId="7EE97CB1" w14:textId="77777777" w:rsidTr="00600D7E">
        <w:trPr>
          <w:trHeight w:val="924"/>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A2344B3" w14:textId="77777777" w:rsidR="0049750B" w:rsidRPr="001F181F" w:rsidRDefault="0049750B" w:rsidP="0049750B">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660F8907"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7D08B100"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Falta de una estrategia para incorporar la ética en la cultura organizacional para prevenir la corrupción y el fraude</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17B3693"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3. Sanciones administrativas o legales para funcionarios involucrados, lo que puede generar un ambiente de desconfianza o parálisis institucional por procesos judiciales en curso.</w:t>
            </w:r>
          </w:p>
        </w:tc>
      </w:tr>
      <w:tr w:rsidR="006B75F7" w:rsidRPr="001F181F" w14:paraId="71876695" w14:textId="77777777" w:rsidTr="00600D7E">
        <w:trPr>
          <w:trHeight w:val="1618"/>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E618397" w14:textId="77777777" w:rsidR="006B75F7" w:rsidRPr="001F181F" w:rsidRDefault="006B75F7" w:rsidP="0049750B">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E39ADD8"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p w14:paraId="5E022A45" w14:textId="15CF06D2"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7D66D132"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 </w:t>
            </w:r>
          </w:p>
          <w:p w14:paraId="141C80EC" w14:textId="6C74637F"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 xml:space="preserve">3. Incumplimiento de los controles internos institucionales. </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248A87C5" w14:textId="77777777" w:rsidR="006B75F7" w:rsidRPr="001F181F" w:rsidRDefault="006B75F7" w:rsidP="0049750B">
            <w:pPr>
              <w:rPr>
                <w:rFonts w:ascii="Century Gothic" w:hAnsi="Century Gothic" w:cs="Calibri"/>
                <w:color w:val="000000"/>
                <w:sz w:val="20"/>
                <w:szCs w:val="20"/>
              </w:rPr>
            </w:pPr>
            <w:r w:rsidRPr="001F181F">
              <w:rPr>
                <w:rFonts w:ascii="Century Gothic" w:hAnsi="Century Gothic" w:cs="Calibri"/>
                <w:color w:val="000000"/>
                <w:sz w:val="20"/>
                <w:szCs w:val="20"/>
              </w:rPr>
              <w:t>4. Suspensión de fondos o cooperación internacional, especialmente si organismos financiadores exigen condiciones de transparencia y cumplimiento ético que se vean comprometidas.</w:t>
            </w:r>
          </w:p>
        </w:tc>
      </w:tr>
      <w:tr w:rsidR="006B75F7" w:rsidRPr="001F181F" w14:paraId="7F66E8CA" w14:textId="77777777" w:rsidTr="00600D7E">
        <w:trPr>
          <w:trHeight w:val="924"/>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7553CC18" w14:textId="77777777" w:rsidR="0049750B" w:rsidRPr="001F181F" w:rsidRDefault="0049750B" w:rsidP="0049750B">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lastRenderedPageBreak/>
              <w:t xml:space="preserve">Posibilidad de vulnerabilidades en la plataforma tecnológica institucional. </w:t>
            </w: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2AC9A723"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br/>
              <w:t>2. Ataques criminales de ciberseguridad así como de malware.</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151DAB48"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 Incumplimiento de los controles establecidos según las políticas de seguridad.</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2E409A29"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1. Pérdida o daño de información institucional, relacionada con el quehacer diario y con los beneficiarios de los servicios que presta Fonafifo.</w:t>
            </w:r>
          </w:p>
        </w:tc>
      </w:tr>
      <w:tr w:rsidR="006B75F7" w:rsidRPr="001F181F" w14:paraId="49E8EEB6" w14:textId="77777777" w:rsidTr="00600D7E">
        <w:trPr>
          <w:trHeight w:val="1541"/>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9FD7BAE" w14:textId="77777777" w:rsidR="0049750B" w:rsidRPr="001F181F" w:rsidRDefault="0049750B" w:rsidP="0049750B">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C7E8412" w14:textId="77777777" w:rsidR="0049750B" w:rsidRPr="001F181F" w:rsidRDefault="0049750B" w:rsidP="0049750B">
            <w:pPr>
              <w:rPr>
                <w:rFonts w:ascii="Century Gothic" w:hAnsi="Century Gothic" w:cs="Calibri"/>
                <w:color w:val="000000"/>
                <w:sz w:val="20"/>
                <w:szCs w:val="20"/>
              </w:rPr>
            </w:pP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1C9D99C8"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No adquisición y/o atrasos en la renovación del Certificado seguridad de SSL al servidor de aplicaciones y sitios web, igual en herramientas de seguridad, (antivirus, EDR, entre otros)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65214F37" w14:textId="77777777" w:rsidR="0049750B" w:rsidRPr="001F181F" w:rsidRDefault="0049750B" w:rsidP="0049750B">
            <w:pPr>
              <w:rPr>
                <w:rFonts w:ascii="Century Gothic" w:hAnsi="Century Gothic" w:cs="Calibri"/>
                <w:color w:val="000000"/>
                <w:sz w:val="20"/>
                <w:szCs w:val="20"/>
              </w:rPr>
            </w:pPr>
            <w:r w:rsidRPr="001F181F">
              <w:rPr>
                <w:rFonts w:ascii="Century Gothic" w:hAnsi="Century Gothic" w:cs="Calibri"/>
                <w:color w:val="000000"/>
                <w:sz w:val="20"/>
                <w:szCs w:val="20"/>
              </w:rPr>
              <w:t>2. Pérdida de confianza de la ciudadanía, ya que se vería afectada la reputación institucional.</w:t>
            </w:r>
          </w:p>
        </w:tc>
      </w:tr>
      <w:tr w:rsidR="006B75F7" w:rsidRPr="001F181F" w14:paraId="6333B769" w14:textId="77777777" w:rsidTr="00600D7E">
        <w:trPr>
          <w:trHeight w:val="660"/>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1E63AD41" w14:textId="77777777" w:rsidR="006B75F7" w:rsidRPr="001F181F" w:rsidRDefault="006B75F7" w:rsidP="006B75F7">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 xml:space="preserve">Posibilidad de presentar problemas o daños en la plataforma tecnológica institucional. </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70FA624A"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Fallas y picos de fluido eléctrico y del internet.</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0999C41"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Fallas en los equipo de enfriamiento (aire acondicionado) y en tablero eléctrico de la sala de servidores.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300C4EB1"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Daños graves en la plataforma e infraestructura tecnológica y los equipos tecnológicos de los funcionarios de Fonafifo.</w:t>
            </w:r>
          </w:p>
        </w:tc>
      </w:tr>
      <w:tr w:rsidR="006B75F7" w:rsidRPr="001F181F" w14:paraId="6D4075BD" w14:textId="77777777" w:rsidTr="00600D7E">
        <w:trPr>
          <w:trHeight w:val="770"/>
        </w:trPr>
        <w:tc>
          <w:tcPr>
            <w:tcW w:w="981" w:type="pct"/>
            <w:vMerge/>
            <w:tcBorders>
              <w:top w:val="single" w:sz="4" w:space="0" w:color="D9D9D9" w:themeColor="background1" w:themeShade="D9"/>
              <w:left w:val="nil"/>
              <w:bottom w:val="nil"/>
              <w:right w:val="single" w:sz="4" w:space="0" w:color="D9D9D9" w:themeColor="background1" w:themeShade="D9"/>
            </w:tcBorders>
            <w:vAlign w:val="center"/>
            <w:hideMark/>
          </w:tcPr>
          <w:p w14:paraId="5210328D"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2702B48"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 Falta de presupuesto para repuestos para el reemplazo de piezas dañadas de servidores y equipos esenciales.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34393DC0"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 Daños o desactualización en la plataforma e infraestructura tecnológica.</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1302CB5D"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 Incremento en las inconformidades de clientes de Fonafifo.</w:t>
            </w:r>
          </w:p>
        </w:tc>
      </w:tr>
      <w:tr w:rsidR="006B75F7" w:rsidRPr="001F181F" w14:paraId="251EB51D" w14:textId="77777777" w:rsidTr="00600D7E">
        <w:trPr>
          <w:trHeight w:val="538"/>
        </w:trPr>
        <w:tc>
          <w:tcPr>
            <w:tcW w:w="981" w:type="pct"/>
            <w:vMerge/>
            <w:tcBorders>
              <w:top w:val="nil"/>
              <w:left w:val="nil"/>
              <w:bottom w:val="nil"/>
              <w:right w:val="single" w:sz="4" w:space="0" w:color="D9D9D9" w:themeColor="background1" w:themeShade="D9"/>
            </w:tcBorders>
            <w:vAlign w:val="center"/>
            <w:hideMark/>
          </w:tcPr>
          <w:p w14:paraId="5CF1D463"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46DB634"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3. Ataque de seguridad que imposibilitan el acceso a los servicios.                                                                                               </w:t>
            </w:r>
          </w:p>
        </w:tc>
        <w:tc>
          <w:tcPr>
            <w:tcW w:w="1374"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3FF3B35F"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3. Presencias de incendios.      </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03350C1F"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3. Vulnerabilidad en la plataforma e infraestructura tecnológica. </w:t>
            </w:r>
          </w:p>
        </w:tc>
      </w:tr>
      <w:tr w:rsidR="006B75F7" w:rsidRPr="001F181F" w14:paraId="7B7D90D5" w14:textId="77777777" w:rsidTr="00600D7E">
        <w:trPr>
          <w:trHeight w:val="403"/>
        </w:trPr>
        <w:tc>
          <w:tcPr>
            <w:tcW w:w="981" w:type="pct"/>
            <w:vMerge/>
            <w:tcBorders>
              <w:top w:val="nil"/>
              <w:left w:val="nil"/>
              <w:bottom w:val="nil"/>
              <w:right w:val="single" w:sz="4" w:space="0" w:color="D9D9D9" w:themeColor="background1" w:themeShade="D9"/>
            </w:tcBorders>
            <w:vAlign w:val="center"/>
            <w:hideMark/>
          </w:tcPr>
          <w:p w14:paraId="2616E7B1" w14:textId="77777777" w:rsidR="006B75F7" w:rsidRPr="001F181F" w:rsidRDefault="006B75F7" w:rsidP="006B75F7">
            <w:pPr>
              <w:rPr>
                <w:rFonts w:ascii="Century Gothic" w:hAnsi="Century Gothic" w:cs="Calibri"/>
                <w:b/>
                <w:bCs/>
                <w:color w:val="000000"/>
                <w:sz w:val="20"/>
                <w:szCs w:val="20"/>
              </w:rPr>
            </w:pP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67DC62C5" w14:textId="77777777" w:rsidR="006B75F7"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4.Problemas </w:t>
            </w:r>
            <w:r w:rsidR="001F181F">
              <w:rPr>
                <w:rFonts w:ascii="Century Gothic" w:hAnsi="Century Gothic" w:cs="Calibri"/>
                <w:color w:val="000000"/>
                <w:sz w:val="20"/>
                <w:szCs w:val="20"/>
              </w:rPr>
              <w:t>de Infraestructura del Edificio</w:t>
            </w:r>
          </w:p>
          <w:p w14:paraId="242ECDB4" w14:textId="77777777" w:rsidR="001F181F" w:rsidRDefault="001F181F" w:rsidP="006B75F7">
            <w:pPr>
              <w:rPr>
                <w:rFonts w:ascii="Century Gothic" w:hAnsi="Century Gothic" w:cs="Calibri"/>
                <w:color w:val="000000"/>
                <w:sz w:val="20"/>
                <w:szCs w:val="20"/>
              </w:rPr>
            </w:pPr>
          </w:p>
          <w:p w14:paraId="5923B2C9" w14:textId="77777777" w:rsidR="001F181F" w:rsidRDefault="001F181F" w:rsidP="006B75F7">
            <w:pPr>
              <w:rPr>
                <w:rFonts w:ascii="Century Gothic" w:hAnsi="Century Gothic" w:cs="Calibri"/>
                <w:color w:val="000000"/>
                <w:sz w:val="20"/>
                <w:szCs w:val="20"/>
              </w:rPr>
            </w:pPr>
          </w:p>
          <w:p w14:paraId="30D2BA2B" w14:textId="77777777" w:rsidR="001F181F" w:rsidRDefault="001F181F" w:rsidP="006B75F7">
            <w:pPr>
              <w:rPr>
                <w:rFonts w:ascii="Century Gothic" w:hAnsi="Century Gothic" w:cs="Calibri"/>
                <w:color w:val="000000"/>
                <w:sz w:val="20"/>
                <w:szCs w:val="20"/>
              </w:rPr>
            </w:pPr>
          </w:p>
          <w:p w14:paraId="57C326B9" w14:textId="3674905B" w:rsidR="001F181F" w:rsidRPr="001F181F" w:rsidRDefault="001F181F" w:rsidP="006B75F7">
            <w:pPr>
              <w:rPr>
                <w:rFonts w:ascii="Century Gothic" w:hAnsi="Century Gothic" w:cs="Calibri"/>
                <w:color w:val="000000"/>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4B17499" w14:textId="77777777" w:rsidR="006B75F7" w:rsidRPr="001F181F" w:rsidRDefault="006B75F7" w:rsidP="006B75F7">
            <w:pPr>
              <w:rPr>
                <w:rFonts w:ascii="Century Gothic" w:hAnsi="Century Gothic" w:cs="Calibri"/>
                <w:color w:val="000000"/>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6D31947"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4. Pérdida de la información institucional. </w:t>
            </w:r>
          </w:p>
        </w:tc>
      </w:tr>
      <w:tr w:rsidR="006B75F7" w:rsidRPr="001F181F" w14:paraId="716A07B4" w14:textId="77777777" w:rsidTr="00600D7E">
        <w:trPr>
          <w:trHeight w:val="269"/>
        </w:trPr>
        <w:tc>
          <w:tcPr>
            <w:tcW w:w="981" w:type="pct"/>
            <w:vMerge/>
            <w:tcBorders>
              <w:top w:val="nil"/>
              <w:left w:val="nil"/>
              <w:bottom w:val="single" w:sz="4" w:space="0" w:color="D9D9D9" w:themeColor="background1" w:themeShade="D9"/>
              <w:right w:val="single" w:sz="4" w:space="0" w:color="D9D9D9" w:themeColor="background1" w:themeShade="D9"/>
            </w:tcBorders>
            <w:vAlign w:val="center"/>
            <w:hideMark/>
          </w:tcPr>
          <w:p w14:paraId="1B2A25A1"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AF25AD8" w14:textId="77777777" w:rsidR="006B75F7" w:rsidRPr="001F181F" w:rsidRDefault="006B75F7" w:rsidP="006B75F7">
            <w:pPr>
              <w:rPr>
                <w:rFonts w:ascii="Century Gothic" w:hAnsi="Century Gothic" w:cs="Calibri"/>
                <w:color w:val="000000"/>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E93E3A3" w14:textId="77777777" w:rsidR="006B75F7" w:rsidRPr="001F181F" w:rsidRDefault="006B75F7" w:rsidP="006B75F7">
            <w:pPr>
              <w:rPr>
                <w:rFonts w:ascii="Century Gothic" w:hAnsi="Century Gothic" w:cs="Calibri"/>
                <w:color w:val="000000"/>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0A90D5E2"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5. Interrupción de servicios críticos.   </w:t>
            </w:r>
          </w:p>
        </w:tc>
      </w:tr>
      <w:tr w:rsidR="006B75F7" w:rsidRPr="001F181F" w14:paraId="5FD9AB60" w14:textId="77777777" w:rsidTr="00600D7E">
        <w:trPr>
          <w:trHeight w:val="440"/>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BB684F9" w14:textId="77777777" w:rsidR="006B75F7" w:rsidRPr="001F181F" w:rsidRDefault="006B75F7" w:rsidP="006B75F7">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lastRenderedPageBreak/>
              <w:t xml:space="preserve">Disminución de la capacidad financiera para cumplir con los compromisos institucionales </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hideMark/>
          </w:tcPr>
          <w:p w14:paraId="7417EC3E" w14:textId="77777777" w:rsidR="006B75F7" w:rsidRPr="001F181F" w:rsidRDefault="006B75F7" w:rsidP="006B75F7">
            <w:pPr>
              <w:jc w:val="both"/>
              <w:rPr>
                <w:rFonts w:ascii="Century Gothic" w:hAnsi="Century Gothic" w:cs="Calibri"/>
                <w:color w:val="000000"/>
                <w:sz w:val="20"/>
                <w:szCs w:val="20"/>
              </w:rPr>
            </w:pPr>
            <w:r w:rsidRPr="001F181F">
              <w:rPr>
                <w:rFonts w:ascii="Century Gothic" w:hAnsi="Century Gothic" w:cs="Calibri"/>
                <w:color w:val="000000"/>
                <w:sz w:val="20"/>
                <w:szCs w:val="20"/>
              </w:rPr>
              <w:t>1. Crisis financiera o recesión económica a nivel nacional y/o internacional.</w:t>
            </w:r>
          </w:p>
        </w:tc>
        <w:tc>
          <w:tcPr>
            <w:tcW w:w="1374"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54CEF1AC" w14:textId="77777777" w:rsidR="006B75F7" w:rsidRPr="001F181F" w:rsidRDefault="006B75F7" w:rsidP="006B75F7">
            <w:pPr>
              <w:rPr>
                <w:rFonts w:ascii="Century Gothic" w:hAnsi="Century Gothic" w:cs="Calibri"/>
                <w:sz w:val="20"/>
                <w:szCs w:val="20"/>
              </w:rPr>
            </w:pPr>
            <w:r w:rsidRPr="001F181F">
              <w:rPr>
                <w:rFonts w:ascii="Century Gothic" w:hAnsi="Century Gothic" w:cs="Calibri"/>
                <w:sz w:val="20"/>
                <w:szCs w:val="20"/>
              </w:rPr>
              <w:t>1. Disminución de la ejecución presupuestaria, lo cual podría provocar una afectación en la asignación de recursos.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hideMark/>
          </w:tcPr>
          <w:p w14:paraId="221A23BC" w14:textId="77777777" w:rsidR="006B75F7" w:rsidRPr="001F181F" w:rsidRDefault="006B75F7" w:rsidP="006B75F7">
            <w:pPr>
              <w:jc w:val="both"/>
              <w:rPr>
                <w:rFonts w:ascii="Century Gothic" w:hAnsi="Century Gothic" w:cs="Calibri"/>
                <w:color w:val="000000"/>
                <w:sz w:val="20"/>
                <w:szCs w:val="20"/>
              </w:rPr>
            </w:pPr>
            <w:r w:rsidRPr="001F181F">
              <w:rPr>
                <w:rFonts w:ascii="Century Gothic" w:hAnsi="Century Gothic" w:cs="Calibri"/>
                <w:color w:val="000000"/>
                <w:sz w:val="20"/>
                <w:szCs w:val="20"/>
              </w:rPr>
              <w:t>1.1 Incapacidad del país para acceder a financiamiento o generar ingresos por medio de los cuales financia a las entidades del Gobierno Central.</w:t>
            </w:r>
          </w:p>
        </w:tc>
      </w:tr>
      <w:tr w:rsidR="006B75F7" w:rsidRPr="001F181F" w14:paraId="6AF3D194" w14:textId="77777777" w:rsidTr="00600D7E">
        <w:trPr>
          <w:trHeight w:val="44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C90780A" w14:textId="77777777" w:rsidR="006B75F7" w:rsidRPr="001F181F" w:rsidRDefault="006B75F7" w:rsidP="006B75F7">
            <w:pPr>
              <w:rPr>
                <w:rFonts w:ascii="Century Gothic" w:hAnsi="Century Gothic" w:cs="Calibri"/>
                <w:b/>
                <w:bCs/>
                <w:color w:val="000000"/>
                <w:sz w:val="20"/>
                <w:szCs w:val="20"/>
              </w:rPr>
            </w:pP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0D59DC45" w14:textId="77777777" w:rsidR="006B75F7" w:rsidRPr="001F181F" w:rsidRDefault="006B75F7" w:rsidP="006B75F7">
            <w:pPr>
              <w:jc w:val="both"/>
              <w:rPr>
                <w:rFonts w:ascii="Century Gothic" w:hAnsi="Century Gothic" w:cs="Calibri"/>
                <w:sz w:val="20"/>
                <w:szCs w:val="20"/>
              </w:rPr>
            </w:pPr>
            <w:r w:rsidRPr="001F181F">
              <w:rPr>
                <w:rFonts w:ascii="Century Gothic" w:hAnsi="Century Gothic" w:cs="Calibri"/>
                <w:sz w:val="20"/>
                <w:szCs w:val="20"/>
              </w:rPr>
              <w:t>2. Asignación por parte del Ministerio de Hacienda de un gasto máximo presupuestario insuficiente para financiar sus obligaciones financieras.</w:t>
            </w: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B64053A"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57296AD2"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2.1 Incumplimiento en el pago de sus obligaciones financieras, metas, objetivos institucionales y compromisos del país a nivel internacional.</w:t>
            </w:r>
          </w:p>
        </w:tc>
      </w:tr>
      <w:tr w:rsidR="006B75F7" w:rsidRPr="001F181F" w14:paraId="62B8B0BC" w14:textId="77777777" w:rsidTr="00600D7E">
        <w:trPr>
          <w:trHeight w:val="44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6BC0C0F"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7276781" w14:textId="77777777" w:rsidR="006B75F7" w:rsidRPr="001F181F" w:rsidRDefault="006B75F7" w:rsidP="006B75F7">
            <w:pPr>
              <w:rPr>
                <w:rFonts w:ascii="Century Gothic" w:hAnsi="Century Gothic" w:cs="Calibri"/>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DBA8159"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57012A18"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2.4 Pérdida de confianza de la ciudadanía, aliados estratégicos y financiadores. </w:t>
            </w:r>
          </w:p>
        </w:tc>
      </w:tr>
      <w:tr w:rsidR="006B75F7" w:rsidRPr="001F181F" w14:paraId="02C6CD2B" w14:textId="77777777" w:rsidTr="00600D7E">
        <w:trPr>
          <w:trHeight w:val="281"/>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2610A37"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FD1CBBA" w14:textId="77777777" w:rsidR="006B75F7" w:rsidRPr="001F181F" w:rsidRDefault="006B75F7" w:rsidP="006B75F7">
            <w:pPr>
              <w:rPr>
                <w:rFonts w:ascii="Century Gothic" w:hAnsi="Century Gothic" w:cs="Calibri"/>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E81800D"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791A589F"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2.5 Daño reputacional e imagen institucional.</w:t>
            </w:r>
          </w:p>
        </w:tc>
      </w:tr>
      <w:tr w:rsidR="006B75F7" w:rsidRPr="001F181F" w14:paraId="11882EFB" w14:textId="77777777" w:rsidTr="00600D7E">
        <w:trPr>
          <w:trHeight w:val="281"/>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FB99269"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D328AEF" w14:textId="77777777" w:rsidR="006B75F7" w:rsidRPr="001F181F" w:rsidRDefault="006B75F7" w:rsidP="006B75F7">
            <w:pPr>
              <w:rPr>
                <w:rFonts w:ascii="Century Gothic" w:hAnsi="Century Gothic" w:cs="Calibri"/>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708B391"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73DD72C0"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2.6 Consecuencias legales, como denuncias y demandas.</w:t>
            </w:r>
          </w:p>
        </w:tc>
      </w:tr>
      <w:tr w:rsidR="006B75F7" w:rsidRPr="001F181F" w14:paraId="078FD2DA" w14:textId="77777777" w:rsidTr="00600D7E">
        <w:trPr>
          <w:trHeight w:val="66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07F1725" w14:textId="77777777" w:rsidR="006B75F7" w:rsidRPr="001F181F" w:rsidRDefault="006B75F7" w:rsidP="006B75F7">
            <w:pPr>
              <w:rPr>
                <w:rFonts w:ascii="Century Gothic" w:hAnsi="Century Gothic" w:cs="Calibri"/>
                <w:b/>
                <w:bCs/>
                <w:color w:val="000000"/>
                <w:sz w:val="20"/>
                <w:szCs w:val="20"/>
              </w:rPr>
            </w:pP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16A7B69E" w14:textId="77777777" w:rsidR="006B75F7" w:rsidRPr="001F181F" w:rsidRDefault="006B75F7" w:rsidP="006B75F7">
            <w:pPr>
              <w:rPr>
                <w:rFonts w:ascii="Century Gothic" w:hAnsi="Century Gothic" w:cs="Calibri"/>
                <w:sz w:val="20"/>
                <w:szCs w:val="20"/>
              </w:rPr>
            </w:pPr>
            <w:r w:rsidRPr="001F181F">
              <w:rPr>
                <w:rFonts w:ascii="Century Gothic" w:hAnsi="Century Gothic" w:cs="Calibri"/>
                <w:sz w:val="20"/>
                <w:szCs w:val="20"/>
              </w:rPr>
              <w:t>3. Cambios en leyes o políticas que limite a la institución para administrar sus recursos financieros por medio del Fideicomiso.  </w:t>
            </w:r>
          </w:p>
        </w:tc>
        <w:tc>
          <w:tcPr>
            <w:tcW w:w="1374"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3B158C83" w14:textId="77777777" w:rsidR="006B75F7" w:rsidRPr="001F181F" w:rsidRDefault="006B75F7" w:rsidP="006B75F7">
            <w:pPr>
              <w:rPr>
                <w:rFonts w:ascii="Century Gothic" w:hAnsi="Century Gothic" w:cs="Calibri"/>
                <w:sz w:val="20"/>
                <w:szCs w:val="20"/>
              </w:rPr>
            </w:pPr>
            <w:r w:rsidRPr="001F181F">
              <w:rPr>
                <w:rFonts w:ascii="Century Gothic" w:hAnsi="Century Gothic" w:cs="Calibri"/>
                <w:sz w:val="20"/>
                <w:szCs w:val="20"/>
              </w:rPr>
              <w:t>2. Disminución de actividades relacionadas con la comercialización de los servicios ambientales, venta de créditos de carbono u otros mecanismos para la búsqueda de recursos.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hideMark/>
          </w:tcPr>
          <w:p w14:paraId="44BC5182" w14:textId="77777777" w:rsidR="006B75F7" w:rsidRPr="001F181F" w:rsidRDefault="006B75F7" w:rsidP="006B75F7">
            <w:pPr>
              <w:jc w:val="both"/>
              <w:rPr>
                <w:rFonts w:ascii="Century Gothic" w:hAnsi="Century Gothic" w:cs="Calibri"/>
                <w:sz w:val="20"/>
                <w:szCs w:val="20"/>
              </w:rPr>
            </w:pPr>
            <w:r w:rsidRPr="001F181F">
              <w:rPr>
                <w:rFonts w:ascii="Century Gothic" w:hAnsi="Century Gothic" w:cs="Calibri"/>
                <w:sz w:val="20"/>
                <w:szCs w:val="20"/>
              </w:rPr>
              <w:t>3.1 Imposibilidad de ejecutar proyectos que generan recursos complementarios a los obtenidos por medio del impuesto a los combustibles y el canon de agua.</w:t>
            </w:r>
          </w:p>
        </w:tc>
      </w:tr>
      <w:tr w:rsidR="006B75F7" w:rsidRPr="001F181F" w14:paraId="01FFA5DD" w14:textId="77777777" w:rsidTr="00600D7E">
        <w:trPr>
          <w:trHeight w:val="44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398BAE1"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54620BC" w14:textId="77777777" w:rsidR="006B75F7" w:rsidRPr="001F181F" w:rsidRDefault="006B75F7" w:rsidP="006B75F7">
            <w:pPr>
              <w:rPr>
                <w:rFonts w:ascii="Century Gothic" w:hAnsi="Century Gothic" w:cs="Calibri"/>
                <w:sz w:val="20"/>
                <w:szCs w:val="20"/>
              </w:rPr>
            </w:pP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E627B59"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5323083B" w14:textId="77777777" w:rsidR="006B75F7" w:rsidRPr="001F181F" w:rsidRDefault="006B75F7" w:rsidP="006B75F7">
            <w:pPr>
              <w:jc w:val="both"/>
              <w:rPr>
                <w:rFonts w:ascii="Century Gothic" w:hAnsi="Century Gothic" w:cs="Calibri"/>
                <w:sz w:val="20"/>
                <w:szCs w:val="20"/>
              </w:rPr>
            </w:pPr>
            <w:r w:rsidRPr="001F181F">
              <w:rPr>
                <w:rFonts w:ascii="Century Gothic" w:hAnsi="Century Gothic" w:cs="Calibri"/>
                <w:sz w:val="20"/>
                <w:szCs w:val="20"/>
              </w:rPr>
              <w:t>3.2 A la Institución se le dificultaría la captación de recursos originados del desarrollo y comercialización de los servicios ambientales.</w:t>
            </w:r>
          </w:p>
        </w:tc>
      </w:tr>
      <w:tr w:rsidR="006B75F7" w:rsidRPr="001F181F" w14:paraId="20AD2787" w14:textId="77777777" w:rsidTr="00600D7E">
        <w:trPr>
          <w:trHeight w:val="66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78ACE60"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hideMark/>
          </w:tcPr>
          <w:p w14:paraId="331C1078" w14:textId="77777777" w:rsidR="006B75F7" w:rsidRPr="001F181F" w:rsidRDefault="006B75F7" w:rsidP="006B75F7">
            <w:pPr>
              <w:jc w:val="both"/>
              <w:rPr>
                <w:rFonts w:ascii="Century Gothic" w:hAnsi="Century Gothic" w:cs="Calibri"/>
                <w:sz w:val="20"/>
                <w:szCs w:val="20"/>
              </w:rPr>
            </w:pPr>
            <w:r w:rsidRPr="001F181F">
              <w:rPr>
                <w:rFonts w:ascii="Century Gothic" w:hAnsi="Century Gothic" w:cs="Calibri"/>
                <w:sz w:val="20"/>
                <w:szCs w:val="20"/>
              </w:rPr>
              <w:t>4. Cambios en leyes o políticas que afecten la comercialización de los servicios ambientales y/o los mercados de créditos de carbono.</w:t>
            </w:r>
          </w:p>
        </w:tc>
        <w:tc>
          <w:tcPr>
            <w:tcW w:w="1374"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6B0A309" w14:textId="77777777" w:rsidR="006B75F7" w:rsidRPr="001F181F" w:rsidRDefault="006B75F7" w:rsidP="006B75F7">
            <w:pPr>
              <w:rPr>
                <w:rFonts w:ascii="Century Gothic" w:hAnsi="Century Gothic" w:cs="Calibri"/>
                <w:sz w:val="20"/>
                <w:szCs w:val="20"/>
              </w:rPr>
            </w:pP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vAlign w:val="center"/>
            <w:hideMark/>
          </w:tcPr>
          <w:p w14:paraId="516B6922"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4.1 Incumplimiento por parte de los financiadores del pago de los aportes financieros establecidos en los convenios y en la ejecución y pago de proyectos vinculados con convenios específicos.</w:t>
            </w:r>
          </w:p>
        </w:tc>
      </w:tr>
      <w:tr w:rsidR="006B75F7" w:rsidRPr="001F181F" w14:paraId="7D06DF7C" w14:textId="77777777" w:rsidTr="00600D7E">
        <w:trPr>
          <w:trHeight w:val="752"/>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442715B" w14:textId="77777777" w:rsidR="006B75F7" w:rsidRPr="001F181F" w:rsidRDefault="006B75F7" w:rsidP="006B75F7">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No disponer del personal experto adecuado para cumplir oportunamente con los objetivos institucionales</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4037EF5"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Restricciones gubernamentales que limitan al Servicio Civil abrir nuevas plazas o cerrar las existentes cuando estas quedan vacantes por traslado, pensión o fallecimiento del funcionario titular.</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52A611B"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Rotación de personal sin reemplazo en el tiempo requerido.</w:t>
            </w:r>
          </w:p>
        </w:tc>
        <w:tc>
          <w:tcPr>
            <w:tcW w:w="1616"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55DC3C6C"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Interrupciones en la ejecución de actividades y proyectos clave e incumplimiento de obligaciones contractuales, convenios interinstitucionales o compromisos adquiridos.</w:t>
            </w:r>
          </w:p>
        </w:tc>
      </w:tr>
      <w:tr w:rsidR="006B75F7" w:rsidRPr="001F181F" w14:paraId="19E5CFDF" w14:textId="77777777" w:rsidTr="00600D7E">
        <w:trPr>
          <w:trHeight w:val="44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BB8999A"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3E95EAB"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 Limitaciones presupuestarias que impiden la contratación de nuevo personal o la reposición de plazas vacantes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6AE1A906"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 Deficiencias en la gestión del conocimiento y transferencia de experiencia.</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E1E4263" w14:textId="77777777" w:rsidR="006B75F7" w:rsidRPr="001F181F" w:rsidRDefault="006B75F7" w:rsidP="006B75F7">
            <w:pPr>
              <w:rPr>
                <w:rFonts w:ascii="Century Gothic" w:hAnsi="Century Gothic" w:cs="Calibri"/>
                <w:color w:val="000000"/>
                <w:sz w:val="20"/>
                <w:szCs w:val="20"/>
              </w:rPr>
            </w:pPr>
          </w:p>
        </w:tc>
      </w:tr>
      <w:tr w:rsidR="006B75F7" w:rsidRPr="001F181F" w14:paraId="693F0C8E" w14:textId="77777777" w:rsidTr="00600D7E">
        <w:trPr>
          <w:trHeight w:val="66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06453E3"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43F2F5F2"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3. Restricciones normativas para la contratación o renovación del personal de Fideicomiso.</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bottom"/>
            <w:hideMark/>
          </w:tcPr>
          <w:p w14:paraId="5AD20D85" w14:textId="77777777" w:rsidR="006B75F7" w:rsidRPr="001F181F" w:rsidRDefault="006B75F7" w:rsidP="006B75F7">
            <w:pPr>
              <w:ind w:firstLineChars="100" w:firstLine="200"/>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75D8188" w14:textId="77777777" w:rsidR="006B75F7" w:rsidRPr="001F181F" w:rsidRDefault="006B75F7" w:rsidP="006B75F7">
            <w:pPr>
              <w:rPr>
                <w:rFonts w:ascii="Century Gothic" w:hAnsi="Century Gothic" w:cs="Calibri"/>
                <w:color w:val="000000"/>
                <w:sz w:val="20"/>
                <w:szCs w:val="20"/>
              </w:rPr>
            </w:pPr>
          </w:p>
        </w:tc>
      </w:tr>
      <w:tr w:rsidR="006B75F7" w:rsidRPr="001F181F" w14:paraId="7E14E5EC" w14:textId="77777777" w:rsidTr="00600D7E">
        <w:trPr>
          <w:trHeight w:val="440"/>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2D18EBC"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2C5D9266"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4. Reducción o variabilidad en las fuentes de financiamiento.</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bottom"/>
            <w:hideMark/>
          </w:tcPr>
          <w:p w14:paraId="1CC60D34" w14:textId="77777777" w:rsidR="006B75F7" w:rsidRPr="001F181F" w:rsidRDefault="006B75F7" w:rsidP="006B75F7">
            <w:pPr>
              <w:ind w:firstLineChars="100" w:firstLine="200"/>
              <w:rPr>
                <w:rFonts w:ascii="Century Gothic" w:hAnsi="Century Gothic" w:cs="Calibri"/>
                <w:color w:val="000000"/>
                <w:sz w:val="20"/>
                <w:szCs w:val="20"/>
              </w:rPr>
            </w:pPr>
            <w:r w:rsidRPr="001F181F">
              <w:rPr>
                <w:rFonts w:ascii="Century Gothic" w:hAnsi="Century Gothic" w:cs="Calibri"/>
                <w:color w:val="000000"/>
                <w:sz w:val="20"/>
                <w:szCs w:val="20"/>
              </w:rPr>
              <w:t> </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4F53591" w14:textId="77777777" w:rsidR="006B75F7" w:rsidRPr="001F181F" w:rsidRDefault="006B75F7" w:rsidP="006B75F7">
            <w:pPr>
              <w:rPr>
                <w:rFonts w:ascii="Century Gothic" w:hAnsi="Century Gothic" w:cs="Calibri"/>
                <w:color w:val="000000"/>
                <w:sz w:val="20"/>
                <w:szCs w:val="20"/>
              </w:rPr>
            </w:pPr>
          </w:p>
        </w:tc>
      </w:tr>
      <w:tr w:rsidR="006B75F7" w:rsidRPr="001F181F" w14:paraId="0AA923E8" w14:textId="77777777" w:rsidTr="00600D7E">
        <w:trPr>
          <w:trHeight w:val="2354"/>
        </w:trPr>
        <w:tc>
          <w:tcPr>
            <w:tcW w:w="98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2C57E75" w14:textId="608CD898" w:rsidR="006B75F7" w:rsidRPr="001F181F" w:rsidRDefault="006B75F7" w:rsidP="000F1AF4">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Rezago institucional en la innovación tecnológica para la gestión de los servicios ecosistémicos.</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6D90FB62"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La causa externa está orienta a la falta de financiamiento y alianzas estratégicas que impidan la creación de plataformas necesarias para avanzar en los proyectos.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6E08D73C"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 Un factor interno es la falta de creación de competencias en los funcionarios del Fonafifo limitando su capacidad para cumplir con los objetivos y tareas institucionales de manera efectiva.</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64361AA5"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La incapacidad para realizar de manera eficiente la recolección estandarizada de información sobre avistamientos a favor de los servicios ecosistémicos en los contratos bajo PSA limita su procesamiento adecuado, lo que conlleva a la pérdida de oportunidades para la comercialización de servicios ambientales verificables.</w:t>
            </w:r>
          </w:p>
        </w:tc>
      </w:tr>
      <w:tr w:rsidR="006B75F7" w:rsidRPr="001F181F" w14:paraId="711B94EC" w14:textId="77777777" w:rsidTr="00600D7E">
        <w:trPr>
          <w:trHeight w:val="80"/>
        </w:trPr>
        <w:tc>
          <w:tcPr>
            <w:tcW w:w="98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center"/>
            <w:hideMark/>
          </w:tcPr>
          <w:p w14:paraId="0DF832CD" w14:textId="77777777" w:rsidR="006B75F7" w:rsidRPr="001F181F" w:rsidRDefault="006B75F7" w:rsidP="006B75F7">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Incumplimiento de pago por parte de los deudores de la cartera de crédito forestal.</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9D9D9"/>
            <w:vAlign w:val="bottom"/>
            <w:hideMark/>
          </w:tcPr>
          <w:p w14:paraId="7BB329CE" w14:textId="3B6B7700"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1.Deterioro de la situación económica nacional o sector forestal que afecta la capacidad de pago de los deudores.</w:t>
            </w:r>
            <w:r w:rsidRPr="001F181F">
              <w:rPr>
                <w:rFonts w:ascii="Century Gothic" w:hAnsi="Century Gothic" w:cs="Calibri"/>
                <w:color w:val="000000"/>
                <w:sz w:val="20"/>
                <w:szCs w:val="20"/>
              </w:rPr>
              <w:br/>
            </w:r>
            <w:r w:rsidRPr="001F181F">
              <w:rPr>
                <w:rFonts w:ascii="Century Gothic" w:hAnsi="Century Gothic" w:cs="Calibri"/>
                <w:color w:val="000000"/>
                <w:sz w:val="20"/>
                <w:szCs w:val="20"/>
              </w:rPr>
              <w:br/>
              <w:t>2.Fenómenos climáticos que impacten los proyectos de los beneficiarios.</w:t>
            </w:r>
            <w:r w:rsidRPr="001F181F">
              <w:rPr>
                <w:rFonts w:ascii="Century Gothic" w:hAnsi="Century Gothic" w:cs="Calibri"/>
                <w:color w:val="000000"/>
                <w:sz w:val="20"/>
                <w:szCs w:val="20"/>
              </w:rPr>
              <w:br/>
            </w:r>
            <w:r w:rsidRPr="001F181F">
              <w:rPr>
                <w:rFonts w:ascii="Century Gothic" w:hAnsi="Century Gothic" w:cs="Calibri"/>
                <w:color w:val="000000"/>
                <w:sz w:val="20"/>
                <w:szCs w:val="20"/>
              </w:rPr>
              <w:br/>
              <w:t>3.Fluctuaciones en precios de mercado de</w:t>
            </w:r>
            <w:r w:rsidR="001F181F">
              <w:rPr>
                <w:rFonts w:ascii="Century Gothic" w:hAnsi="Century Gothic" w:cs="Calibri"/>
                <w:color w:val="000000"/>
                <w:sz w:val="20"/>
                <w:szCs w:val="20"/>
              </w:rPr>
              <w:t xml:space="preserve"> insumos forestales o agrícolas.</w:t>
            </w:r>
          </w:p>
          <w:p w14:paraId="05C1A8FC" w14:textId="4299C9F6" w:rsidR="000F1AF4" w:rsidRPr="001F181F" w:rsidRDefault="000F1AF4" w:rsidP="006B75F7">
            <w:pPr>
              <w:rPr>
                <w:rFonts w:ascii="Century Gothic" w:hAnsi="Century Gothic" w:cs="Calibri"/>
                <w:color w:val="000000"/>
                <w:sz w:val="20"/>
                <w:szCs w:val="20"/>
              </w:rPr>
            </w:pP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hideMark/>
          </w:tcPr>
          <w:p w14:paraId="717C7C19" w14:textId="5FA70606"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1.Limitado seguimiento y monitoreo de la evolución de los proyectos financiados y correcta utilización de los recursos.</w:t>
            </w:r>
            <w:r w:rsidRPr="001F181F">
              <w:rPr>
                <w:rFonts w:ascii="Century Gothic" w:hAnsi="Century Gothic" w:cs="Calibri"/>
                <w:color w:val="000000"/>
                <w:sz w:val="20"/>
                <w:szCs w:val="20"/>
              </w:rPr>
              <w:br/>
              <w:t>Deficiente comunicación con los deudores ante retrasos o incumplimientos.</w:t>
            </w:r>
          </w:p>
        </w:tc>
        <w:tc>
          <w:tcPr>
            <w:tcW w:w="161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hideMark/>
          </w:tcPr>
          <w:p w14:paraId="4FB1BFE5" w14:textId="08F02E1A" w:rsidR="000F1AF4" w:rsidRPr="001F181F" w:rsidRDefault="006B75F7" w:rsidP="000F1AF4">
            <w:pPr>
              <w:rPr>
                <w:rFonts w:ascii="Arial" w:hAnsi="Arial" w:cs="Arial"/>
                <w:color w:val="000000"/>
                <w:sz w:val="20"/>
                <w:szCs w:val="20"/>
              </w:rPr>
            </w:pPr>
            <w:r w:rsidRPr="001F181F">
              <w:rPr>
                <w:rFonts w:ascii="Century Gothic" w:hAnsi="Century Gothic" w:cs="Calibri"/>
                <w:color w:val="000000"/>
                <w:sz w:val="20"/>
                <w:szCs w:val="20"/>
              </w:rPr>
              <w:t>Aumento de cartera vencida y menores ingresos por la recuperación de la inversión de la cartera de crédito; afectación de la estabilidad operativa y financiera, así como pérdida de la rentabilidad o incluso en la inviabilidad operativa y financiera de la cartera de crédito forestal. Por último, afectación en la capacidad de otorgar nuevos créditos o financiar proyectos futuros.</w:t>
            </w:r>
          </w:p>
        </w:tc>
      </w:tr>
      <w:tr w:rsidR="006B75F7" w:rsidRPr="001F181F" w14:paraId="6CF4FE35" w14:textId="77777777" w:rsidTr="00600D7E">
        <w:trPr>
          <w:trHeight w:val="893"/>
        </w:trPr>
        <w:tc>
          <w:tcPr>
            <w:tcW w:w="981"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22F56D96" w14:textId="77777777" w:rsidR="000F1AF4" w:rsidRPr="001F181F" w:rsidRDefault="000F1AF4" w:rsidP="006B75F7">
            <w:pPr>
              <w:jc w:val="center"/>
              <w:rPr>
                <w:rFonts w:ascii="Century Gothic" w:hAnsi="Century Gothic" w:cs="Calibri"/>
                <w:b/>
                <w:bCs/>
                <w:color w:val="000000"/>
                <w:sz w:val="20"/>
                <w:szCs w:val="20"/>
              </w:rPr>
            </w:pPr>
          </w:p>
          <w:p w14:paraId="4A2D0EAE" w14:textId="6FD39484" w:rsidR="006B75F7" w:rsidRPr="001F181F" w:rsidRDefault="006B75F7" w:rsidP="006B75F7">
            <w:pPr>
              <w:jc w:val="center"/>
              <w:rPr>
                <w:rFonts w:ascii="Century Gothic" w:hAnsi="Century Gothic" w:cs="Calibri"/>
                <w:b/>
                <w:bCs/>
                <w:color w:val="000000"/>
                <w:sz w:val="20"/>
                <w:szCs w:val="20"/>
              </w:rPr>
            </w:pPr>
            <w:r w:rsidRPr="001F181F">
              <w:rPr>
                <w:rFonts w:ascii="Century Gothic" w:hAnsi="Century Gothic" w:cs="Calibri"/>
                <w:b/>
                <w:bCs/>
                <w:color w:val="000000"/>
                <w:sz w:val="20"/>
                <w:szCs w:val="20"/>
              </w:rPr>
              <w:t xml:space="preserve">Pérdida del posicionamiento del Fonafifo para captar recursos adicionales </w:t>
            </w: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3D99073F" w14:textId="77A90403" w:rsidR="006B75F7" w:rsidRPr="001F181F" w:rsidRDefault="006B75F7" w:rsidP="000F1AF4">
            <w:pPr>
              <w:rPr>
                <w:rFonts w:ascii="Century Gothic" w:hAnsi="Century Gothic" w:cs="Calibri"/>
                <w:color w:val="000000"/>
                <w:sz w:val="20"/>
                <w:szCs w:val="20"/>
              </w:rPr>
            </w:pPr>
            <w:r w:rsidRPr="001F181F">
              <w:rPr>
                <w:rFonts w:ascii="Century Gothic" w:hAnsi="Century Gothic" w:cs="Calibri"/>
                <w:color w:val="000000"/>
                <w:sz w:val="20"/>
                <w:szCs w:val="20"/>
              </w:rPr>
              <w:t>1.Una creciente presión de los mercados hacia productos con requisitos ambientales específicos.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32B7D427" w14:textId="30EC0A6D"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1.Limitada la exploración de proyectos en recursos naturales que generen nuevos servicios y bienes mediante mecanismos financieros innovadores. </w:t>
            </w:r>
          </w:p>
        </w:tc>
        <w:tc>
          <w:tcPr>
            <w:tcW w:w="1616"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5152B4F5" w14:textId="7777777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Reducción en el número de convenios firmados que generen ingresos adicionales para apoyar en el impacto social, ambiental y económico que tiene el programa de PSA.</w:t>
            </w:r>
          </w:p>
        </w:tc>
      </w:tr>
      <w:tr w:rsidR="006B75F7" w:rsidRPr="001F181F" w14:paraId="4001FC39" w14:textId="77777777" w:rsidTr="00600D7E">
        <w:trPr>
          <w:trHeight w:val="673"/>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DC923FA" w14:textId="77777777" w:rsidR="006B75F7" w:rsidRPr="001F181F" w:rsidRDefault="006B75F7" w:rsidP="006B75F7">
            <w:pPr>
              <w:rPr>
                <w:rFonts w:ascii="Century Gothic" w:hAnsi="Century Gothic" w:cs="Calibri"/>
                <w:b/>
                <w:bCs/>
                <w:color w:val="000000"/>
                <w:sz w:val="20"/>
                <w:szCs w:val="20"/>
              </w:rPr>
            </w:pPr>
          </w:p>
        </w:tc>
        <w:tc>
          <w:tcPr>
            <w:tcW w:w="102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7875F6DF" w14:textId="3E69F3CC"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2.Incremento de la competencia en el mercado.</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608CCD09" w14:textId="06AA5F56"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2.Falta de datos estadísticos oportunos y actualizados para clientes potenciales, lo que dificulta la comercialización de los servicios generados con el PPSA.</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4A2AE36" w14:textId="77777777" w:rsidR="006B75F7" w:rsidRPr="001F181F" w:rsidRDefault="006B75F7" w:rsidP="006B75F7">
            <w:pPr>
              <w:rPr>
                <w:rFonts w:ascii="Century Gothic" w:hAnsi="Century Gothic" w:cs="Calibri"/>
                <w:color w:val="000000"/>
                <w:sz w:val="20"/>
                <w:szCs w:val="20"/>
              </w:rPr>
            </w:pPr>
          </w:p>
        </w:tc>
      </w:tr>
      <w:tr w:rsidR="006B75F7" w:rsidRPr="001F181F" w14:paraId="6556C3A6" w14:textId="77777777" w:rsidTr="00600D7E">
        <w:trPr>
          <w:trHeight w:val="673"/>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E1BD99F" w14:textId="77777777" w:rsidR="006B75F7" w:rsidRPr="001F181F" w:rsidRDefault="006B75F7" w:rsidP="006B75F7">
            <w:pPr>
              <w:rPr>
                <w:rFonts w:ascii="Century Gothic" w:hAnsi="Century Gothic" w:cs="Calibri"/>
                <w:b/>
                <w:bCs/>
                <w:color w:val="000000"/>
                <w:sz w:val="20"/>
                <w:szCs w:val="20"/>
              </w:rPr>
            </w:pPr>
          </w:p>
        </w:tc>
        <w:tc>
          <w:tcPr>
            <w:tcW w:w="1029"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hideMark/>
          </w:tcPr>
          <w:p w14:paraId="0D78A43F" w14:textId="4F78D6A7"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3.Las estrategias de desarrollo e innovación adoptadas por empresas que avanzan en nuevos nichos</w:t>
            </w: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6841C58C" w14:textId="26DD6D3D"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 xml:space="preserve">3.Falta de proyectos que cumplan con intereses ambientales de organizaciones para su financiamiento, ausencia de una plataforma administrativa flexible, </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E4482B2" w14:textId="77777777" w:rsidR="006B75F7" w:rsidRPr="001F181F" w:rsidRDefault="006B75F7" w:rsidP="006B75F7">
            <w:pPr>
              <w:rPr>
                <w:rFonts w:ascii="Century Gothic" w:hAnsi="Century Gothic" w:cs="Calibri"/>
                <w:color w:val="000000"/>
                <w:sz w:val="20"/>
                <w:szCs w:val="20"/>
              </w:rPr>
            </w:pPr>
          </w:p>
        </w:tc>
      </w:tr>
      <w:tr w:rsidR="006B75F7" w:rsidRPr="001F181F" w14:paraId="37F74D01" w14:textId="77777777" w:rsidTr="00600D7E">
        <w:trPr>
          <w:trHeight w:val="673"/>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E212B55"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298825C3" w14:textId="77777777" w:rsidR="006B75F7" w:rsidRPr="001F181F" w:rsidRDefault="006B75F7" w:rsidP="006B75F7">
            <w:pPr>
              <w:rPr>
                <w:sz w:val="20"/>
                <w:szCs w:val="20"/>
              </w:rPr>
            </w:pP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671D610F" w14:textId="3ADFF423"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4.Ausencia de una oficina de comunicación y divulgación que incremente el alcance en organizaciones y la articulación de alianzas estratégicas,</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D2177A1" w14:textId="77777777" w:rsidR="006B75F7" w:rsidRPr="001F181F" w:rsidRDefault="006B75F7" w:rsidP="006B75F7">
            <w:pPr>
              <w:rPr>
                <w:rFonts w:ascii="Century Gothic" w:hAnsi="Century Gothic" w:cs="Calibri"/>
                <w:color w:val="000000"/>
                <w:sz w:val="20"/>
                <w:szCs w:val="20"/>
              </w:rPr>
            </w:pPr>
          </w:p>
        </w:tc>
      </w:tr>
      <w:tr w:rsidR="006B75F7" w:rsidRPr="001F181F" w14:paraId="35C490B5" w14:textId="77777777" w:rsidTr="00600D7E">
        <w:trPr>
          <w:trHeight w:val="673"/>
        </w:trPr>
        <w:tc>
          <w:tcPr>
            <w:tcW w:w="981"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8F2F12A" w14:textId="77777777" w:rsidR="006B75F7" w:rsidRPr="001F181F" w:rsidRDefault="006B75F7" w:rsidP="006B75F7">
            <w:pPr>
              <w:rPr>
                <w:rFonts w:ascii="Century Gothic" w:hAnsi="Century Gothic" w:cs="Calibri"/>
                <w:b/>
                <w:bCs/>
                <w:color w:val="000000"/>
                <w:sz w:val="20"/>
                <w:szCs w:val="20"/>
              </w:rPr>
            </w:pPr>
          </w:p>
        </w:tc>
        <w:tc>
          <w:tcPr>
            <w:tcW w:w="1029"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7B1AAD26" w14:textId="77777777" w:rsidR="006B75F7" w:rsidRPr="001F181F" w:rsidRDefault="006B75F7" w:rsidP="006B75F7">
            <w:pPr>
              <w:rPr>
                <w:sz w:val="20"/>
                <w:szCs w:val="20"/>
              </w:rPr>
            </w:pPr>
          </w:p>
        </w:tc>
        <w:tc>
          <w:tcPr>
            <w:tcW w:w="1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hideMark/>
          </w:tcPr>
          <w:p w14:paraId="4971834A" w14:textId="61148B82" w:rsidR="006B75F7" w:rsidRPr="001F181F" w:rsidRDefault="006B75F7" w:rsidP="006B75F7">
            <w:pPr>
              <w:rPr>
                <w:rFonts w:ascii="Century Gothic" w:hAnsi="Century Gothic" w:cs="Calibri"/>
                <w:color w:val="000000"/>
                <w:sz w:val="20"/>
                <w:szCs w:val="20"/>
              </w:rPr>
            </w:pPr>
            <w:r w:rsidRPr="001F181F">
              <w:rPr>
                <w:rFonts w:ascii="Century Gothic" w:hAnsi="Century Gothic" w:cs="Calibri"/>
                <w:color w:val="000000"/>
                <w:sz w:val="20"/>
                <w:szCs w:val="20"/>
              </w:rPr>
              <w:t>5.Limitada interacción con comunidades locales y grupos clave, lo que restringe el posicionamiento de Fonafifo y la efectividad de su gestión de alianzas</w:t>
            </w:r>
          </w:p>
        </w:tc>
        <w:tc>
          <w:tcPr>
            <w:tcW w:w="1616"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2C68AB9" w14:textId="77777777" w:rsidR="006B75F7" w:rsidRPr="001F181F" w:rsidRDefault="006B75F7" w:rsidP="006B75F7">
            <w:pPr>
              <w:rPr>
                <w:rFonts w:ascii="Century Gothic" w:hAnsi="Century Gothic" w:cs="Calibri"/>
                <w:color w:val="000000"/>
                <w:sz w:val="20"/>
                <w:szCs w:val="20"/>
              </w:rPr>
            </w:pPr>
          </w:p>
        </w:tc>
      </w:tr>
    </w:tbl>
    <w:p w14:paraId="59A21A10" w14:textId="042BF743" w:rsidR="00C1155B" w:rsidRPr="001F181F" w:rsidRDefault="00C1155B" w:rsidP="0049750B">
      <w:pPr>
        <w:jc w:val="center"/>
        <w:rPr>
          <w:sz w:val="20"/>
          <w:szCs w:val="20"/>
        </w:rPr>
      </w:pPr>
    </w:p>
    <w:p w14:paraId="7014FF96" w14:textId="106F1499" w:rsidR="000F1AF4" w:rsidRPr="006B75F7" w:rsidRDefault="000F1AF4" w:rsidP="00F8181E">
      <w:pPr>
        <w:jc w:val="center"/>
        <w:rPr>
          <w:rFonts w:ascii="Arial" w:hAnsi="Arial" w:cs="Arial"/>
          <w:noProof/>
        </w:rPr>
      </w:pPr>
      <w:r>
        <w:rPr>
          <w:rFonts w:ascii="Arial" w:hAnsi="Arial" w:cs="Arial"/>
        </w:rPr>
        <w:br w:type="page"/>
      </w:r>
      <w:r w:rsidR="00F8181E">
        <w:rPr>
          <w:rFonts w:ascii="Arial" w:hAnsi="Arial" w:cs="Arial"/>
        </w:rPr>
        <w:lastRenderedPageBreak/>
        <w:t>Anexo 2</w:t>
      </w:r>
      <w:r w:rsidRPr="006B75F7">
        <w:rPr>
          <w:rFonts w:ascii="Arial" w:hAnsi="Arial" w:cs="Arial"/>
        </w:rPr>
        <w:t xml:space="preserve">. Fase </w:t>
      </w:r>
      <w:r>
        <w:rPr>
          <w:rFonts w:ascii="Arial" w:hAnsi="Arial" w:cs="Arial"/>
        </w:rPr>
        <w:t>Análisis</w:t>
      </w:r>
      <w:r w:rsidRPr="006B75F7">
        <w:rPr>
          <w:rFonts w:ascii="Arial" w:hAnsi="Arial" w:cs="Arial"/>
        </w:rPr>
        <w:t xml:space="preserve"> </w:t>
      </w:r>
      <w:r w:rsidR="006459D9">
        <w:rPr>
          <w:rFonts w:ascii="Arial" w:hAnsi="Arial" w:cs="Arial"/>
        </w:rPr>
        <w:t xml:space="preserve">sin controles </w:t>
      </w:r>
      <w:r w:rsidRPr="006B75F7">
        <w:rPr>
          <w:rFonts w:ascii="Arial" w:hAnsi="Arial" w:cs="Arial"/>
        </w:rPr>
        <w:t>del SEVRI</w:t>
      </w:r>
    </w:p>
    <w:p w14:paraId="25B9760C" w14:textId="77777777" w:rsidR="000F1AF4" w:rsidRDefault="000F1AF4" w:rsidP="0049750B">
      <w:pPr>
        <w:jc w:val="center"/>
      </w:pPr>
    </w:p>
    <w:tbl>
      <w:tblPr>
        <w:tblW w:w="5337" w:type="pct"/>
        <w:tblInd w:w="-43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550"/>
        <w:gridCol w:w="371"/>
        <w:gridCol w:w="1316"/>
        <w:gridCol w:w="2562"/>
        <w:gridCol w:w="487"/>
        <w:gridCol w:w="1322"/>
        <w:gridCol w:w="2587"/>
        <w:gridCol w:w="1052"/>
        <w:gridCol w:w="1814"/>
      </w:tblGrid>
      <w:tr w:rsidR="000F1AF4" w14:paraId="6A9A6381" w14:textId="77777777" w:rsidTr="00600D7E">
        <w:trPr>
          <w:trHeight w:val="540"/>
          <w:tblHeader/>
        </w:trPr>
        <w:tc>
          <w:tcPr>
            <w:tcW w:w="907" w:type="pct"/>
            <w:vMerge w:val="restart"/>
            <w:shd w:val="clear" w:color="000000" w:fill="548235"/>
            <w:vAlign w:val="center"/>
            <w:hideMark/>
          </w:tcPr>
          <w:p w14:paraId="1D25A87B"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EVENTO DESENCADENANTE DEL RIESGO</w:t>
            </w:r>
          </w:p>
        </w:tc>
        <w:tc>
          <w:tcPr>
            <w:tcW w:w="599" w:type="pct"/>
            <w:gridSpan w:val="2"/>
            <w:vMerge w:val="restart"/>
            <w:shd w:val="clear" w:color="auto" w:fill="548235"/>
            <w:vAlign w:val="center"/>
            <w:hideMark/>
          </w:tcPr>
          <w:p w14:paraId="48BD401D"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PROBABILIDAD</w:t>
            </w:r>
            <w:r>
              <w:rPr>
                <w:rFonts w:ascii="Century Gothic" w:hAnsi="Century Gothic" w:cs="Calibri"/>
                <w:b/>
                <w:bCs/>
                <w:color w:val="FFFFFF"/>
                <w:sz w:val="22"/>
                <w:szCs w:val="22"/>
              </w:rPr>
              <w:br/>
              <w:t>1 – 5</w:t>
            </w:r>
          </w:p>
        </w:tc>
        <w:tc>
          <w:tcPr>
            <w:tcW w:w="911" w:type="pct"/>
            <w:vMerge w:val="restart"/>
            <w:shd w:val="clear" w:color="auto" w:fill="548235"/>
            <w:vAlign w:val="center"/>
            <w:hideMark/>
          </w:tcPr>
          <w:p w14:paraId="1F5172AD"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 xml:space="preserve">Justificación </w:t>
            </w:r>
            <w:r>
              <w:rPr>
                <w:rFonts w:ascii="Century Gothic" w:hAnsi="Century Gothic" w:cs="Calibri"/>
                <w:b/>
                <w:bCs/>
                <w:color w:val="FFFFFF"/>
                <w:sz w:val="22"/>
                <w:szCs w:val="22"/>
              </w:rPr>
              <w:br/>
              <w:t>Es ___porque__</w:t>
            </w:r>
          </w:p>
        </w:tc>
        <w:tc>
          <w:tcPr>
            <w:tcW w:w="643" w:type="pct"/>
            <w:gridSpan w:val="2"/>
            <w:vMerge w:val="restart"/>
            <w:shd w:val="clear" w:color="000000" w:fill="548235"/>
            <w:vAlign w:val="center"/>
            <w:hideMark/>
          </w:tcPr>
          <w:p w14:paraId="12A91E08"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IMPACTO</w:t>
            </w:r>
            <w:r>
              <w:rPr>
                <w:rFonts w:ascii="Century Gothic" w:hAnsi="Century Gothic" w:cs="Calibri"/>
                <w:b/>
                <w:bCs/>
                <w:color w:val="FFFFFF"/>
                <w:sz w:val="22"/>
                <w:szCs w:val="22"/>
              </w:rPr>
              <w:br/>
              <w:t>1 – 5</w:t>
            </w:r>
          </w:p>
        </w:tc>
        <w:tc>
          <w:tcPr>
            <w:tcW w:w="920" w:type="pct"/>
            <w:vMerge w:val="restart"/>
            <w:shd w:val="clear" w:color="000000" w:fill="548235"/>
            <w:vAlign w:val="center"/>
            <w:hideMark/>
          </w:tcPr>
          <w:p w14:paraId="7CF1E1CF"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 xml:space="preserve">Justificación </w:t>
            </w:r>
            <w:r>
              <w:rPr>
                <w:rFonts w:ascii="Century Gothic" w:hAnsi="Century Gothic" w:cs="Calibri"/>
                <w:b/>
                <w:bCs/>
                <w:color w:val="FFFFFF"/>
                <w:sz w:val="22"/>
                <w:szCs w:val="22"/>
              </w:rPr>
              <w:br/>
              <w:t>Es ___porque__</w:t>
            </w:r>
          </w:p>
        </w:tc>
        <w:tc>
          <w:tcPr>
            <w:tcW w:w="374" w:type="pct"/>
            <w:vMerge w:val="restart"/>
            <w:shd w:val="clear" w:color="000000" w:fill="548235"/>
            <w:vAlign w:val="center"/>
            <w:hideMark/>
          </w:tcPr>
          <w:p w14:paraId="6670B849"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NIVEL DE RIESGOS</w:t>
            </w:r>
            <w:r>
              <w:rPr>
                <w:rFonts w:ascii="Century Gothic" w:hAnsi="Century Gothic" w:cs="Calibri"/>
                <w:b/>
                <w:bCs/>
                <w:color w:val="FFFFFF"/>
                <w:sz w:val="22"/>
                <w:szCs w:val="22"/>
              </w:rPr>
              <w:br/>
              <w:t>Prob x Impacto</w:t>
            </w:r>
          </w:p>
        </w:tc>
        <w:tc>
          <w:tcPr>
            <w:tcW w:w="645" w:type="pct"/>
            <w:vMerge w:val="restart"/>
            <w:shd w:val="clear" w:color="000000" w:fill="548235"/>
            <w:vAlign w:val="center"/>
            <w:hideMark/>
          </w:tcPr>
          <w:p w14:paraId="0D5AAC8D" w14:textId="77777777" w:rsidR="000F1AF4" w:rsidRDefault="000F1AF4">
            <w:pPr>
              <w:jc w:val="center"/>
              <w:rPr>
                <w:rFonts w:ascii="Century Gothic" w:hAnsi="Century Gothic" w:cs="Calibri"/>
                <w:b/>
                <w:bCs/>
                <w:color w:val="FFFFFF"/>
                <w:sz w:val="22"/>
                <w:szCs w:val="22"/>
              </w:rPr>
            </w:pPr>
            <w:r>
              <w:rPr>
                <w:rFonts w:ascii="Century Gothic" w:hAnsi="Century Gothic" w:cs="Calibri"/>
                <w:b/>
                <w:bCs/>
                <w:color w:val="FFFFFF"/>
                <w:sz w:val="22"/>
                <w:szCs w:val="22"/>
              </w:rPr>
              <w:t xml:space="preserve">ACEPTABILIDAD DEL RIESGO  </w:t>
            </w:r>
            <w:r>
              <w:rPr>
                <w:rFonts w:ascii="Century Gothic" w:hAnsi="Century Gothic" w:cs="Calibri"/>
                <w:b/>
                <w:bCs/>
                <w:color w:val="FFFFFF"/>
                <w:sz w:val="22"/>
                <w:szCs w:val="22"/>
              </w:rPr>
              <w:br/>
            </w:r>
            <w:r w:rsidRPr="000F1AF4">
              <w:rPr>
                <w:rFonts w:ascii="Century Gothic" w:hAnsi="Century Gothic" w:cs="Calibri"/>
                <w:b/>
                <w:bCs/>
                <w:color w:val="FCE4D6"/>
                <w:sz w:val="16"/>
                <w:szCs w:val="20"/>
              </w:rPr>
              <w:t>(bajo los escenarios sin medidas o controles)</w:t>
            </w:r>
          </w:p>
        </w:tc>
      </w:tr>
      <w:tr w:rsidR="000F1AF4" w14:paraId="39C54625" w14:textId="77777777" w:rsidTr="00600D7E">
        <w:trPr>
          <w:trHeight w:val="998"/>
          <w:tblHeader/>
        </w:trPr>
        <w:tc>
          <w:tcPr>
            <w:tcW w:w="907" w:type="pct"/>
            <w:vMerge/>
            <w:vAlign w:val="center"/>
            <w:hideMark/>
          </w:tcPr>
          <w:p w14:paraId="3FE8343D" w14:textId="77777777" w:rsidR="000F1AF4" w:rsidRDefault="000F1AF4">
            <w:pPr>
              <w:rPr>
                <w:rFonts w:ascii="Century Gothic" w:hAnsi="Century Gothic" w:cs="Calibri"/>
                <w:b/>
                <w:bCs/>
                <w:color w:val="FFFFFF"/>
                <w:sz w:val="22"/>
                <w:szCs w:val="22"/>
              </w:rPr>
            </w:pPr>
          </w:p>
        </w:tc>
        <w:tc>
          <w:tcPr>
            <w:tcW w:w="599" w:type="pct"/>
            <w:gridSpan w:val="2"/>
            <w:vMerge/>
            <w:shd w:val="clear" w:color="auto" w:fill="548235"/>
            <w:vAlign w:val="center"/>
            <w:hideMark/>
          </w:tcPr>
          <w:p w14:paraId="4A28E2F9" w14:textId="77777777" w:rsidR="000F1AF4" w:rsidRDefault="000F1AF4">
            <w:pPr>
              <w:rPr>
                <w:rFonts w:ascii="Century Gothic" w:hAnsi="Century Gothic" w:cs="Calibri"/>
                <w:b/>
                <w:bCs/>
                <w:color w:val="FFFFFF"/>
                <w:sz w:val="22"/>
                <w:szCs w:val="22"/>
              </w:rPr>
            </w:pPr>
          </w:p>
        </w:tc>
        <w:tc>
          <w:tcPr>
            <w:tcW w:w="911" w:type="pct"/>
            <w:vMerge/>
            <w:shd w:val="clear" w:color="auto" w:fill="548235"/>
            <w:vAlign w:val="center"/>
            <w:hideMark/>
          </w:tcPr>
          <w:p w14:paraId="1D9849FE" w14:textId="77777777" w:rsidR="000F1AF4" w:rsidRDefault="000F1AF4">
            <w:pPr>
              <w:rPr>
                <w:rFonts w:ascii="Century Gothic" w:hAnsi="Century Gothic" w:cs="Calibri"/>
                <w:b/>
                <w:bCs/>
                <w:color w:val="FFFFFF"/>
                <w:sz w:val="22"/>
                <w:szCs w:val="22"/>
              </w:rPr>
            </w:pPr>
          </w:p>
        </w:tc>
        <w:tc>
          <w:tcPr>
            <w:tcW w:w="643" w:type="pct"/>
            <w:gridSpan w:val="2"/>
            <w:vMerge/>
            <w:vAlign w:val="center"/>
            <w:hideMark/>
          </w:tcPr>
          <w:p w14:paraId="765B5F73" w14:textId="77777777" w:rsidR="000F1AF4" w:rsidRDefault="000F1AF4">
            <w:pPr>
              <w:rPr>
                <w:rFonts w:ascii="Century Gothic" w:hAnsi="Century Gothic" w:cs="Calibri"/>
                <w:b/>
                <w:bCs/>
                <w:color w:val="FFFFFF"/>
                <w:sz w:val="22"/>
                <w:szCs w:val="22"/>
              </w:rPr>
            </w:pPr>
          </w:p>
        </w:tc>
        <w:tc>
          <w:tcPr>
            <w:tcW w:w="920" w:type="pct"/>
            <w:vMerge/>
            <w:vAlign w:val="center"/>
            <w:hideMark/>
          </w:tcPr>
          <w:p w14:paraId="2A69B83D" w14:textId="77777777" w:rsidR="000F1AF4" w:rsidRDefault="000F1AF4">
            <w:pPr>
              <w:rPr>
                <w:rFonts w:ascii="Century Gothic" w:hAnsi="Century Gothic" w:cs="Calibri"/>
                <w:b/>
                <w:bCs/>
                <w:color w:val="FFFFFF"/>
                <w:sz w:val="22"/>
                <w:szCs w:val="22"/>
              </w:rPr>
            </w:pPr>
          </w:p>
        </w:tc>
        <w:tc>
          <w:tcPr>
            <w:tcW w:w="374" w:type="pct"/>
            <w:vMerge/>
            <w:vAlign w:val="center"/>
            <w:hideMark/>
          </w:tcPr>
          <w:p w14:paraId="34CDC092" w14:textId="77777777" w:rsidR="000F1AF4" w:rsidRDefault="000F1AF4">
            <w:pPr>
              <w:rPr>
                <w:rFonts w:ascii="Century Gothic" w:hAnsi="Century Gothic" w:cs="Calibri"/>
                <w:b/>
                <w:bCs/>
                <w:color w:val="FFFFFF"/>
                <w:sz w:val="22"/>
                <w:szCs w:val="22"/>
              </w:rPr>
            </w:pPr>
          </w:p>
        </w:tc>
        <w:tc>
          <w:tcPr>
            <w:tcW w:w="645" w:type="pct"/>
            <w:vMerge/>
            <w:vAlign w:val="center"/>
            <w:hideMark/>
          </w:tcPr>
          <w:p w14:paraId="546174A8" w14:textId="77777777" w:rsidR="000F1AF4" w:rsidRDefault="000F1AF4">
            <w:pPr>
              <w:rPr>
                <w:rFonts w:ascii="Century Gothic" w:hAnsi="Century Gothic" w:cs="Calibri"/>
                <w:b/>
                <w:bCs/>
                <w:color w:val="FFFFFF"/>
                <w:sz w:val="22"/>
                <w:szCs w:val="22"/>
              </w:rPr>
            </w:pPr>
          </w:p>
        </w:tc>
      </w:tr>
      <w:tr w:rsidR="000F1AF4" w:rsidRPr="006459D9" w14:paraId="074AC856" w14:textId="77777777" w:rsidTr="00600D7E">
        <w:trPr>
          <w:trHeight w:val="1605"/>
        </w:trPr>
        <w:tc>
          <w:tcPr>
            <w:tcW w:w="907" w:type="pct"/>
            <w:shd w:val="clear" w:color="000000" w:fill="E2EFDA"/>
            <w:vAlign w:val="center"/>
            <w:hideMark/>
          </w:tcPr>
          <w:p w14:paraId="6020CF9B"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Incumplimiento de los compromisos estratégicos</w:t>
            </w:r>
          </w:p>
        </w:tc>
        <w:tc>
          <w:tcPr>
            <w:tcW w:w="132" w:type="pct"/>
            <w:shd w:val="clear" w:color="000000" w:fill="FFFFC1"/>
            <w:vAlign w:val="center"/>
            <w:hideMark/>
          </w:tcPr>
          <w:p w14:paraId="65C9692A"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1</w:t>
            </w:r>
          </w:p>
        </w:tc>
        <w:tc>
          <w:tcPr>
            <w:tcW w:w="468" w:type="pct"/>
            <w:shd w:val="clear" w:color="000000" w:fill="F2F2F2"/>
            <w:vAlign w:val="center"/>
            <w:hideMark/>
          </w:tcPr>
          <w:p w14:paraId="7AD453C2"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No es probable</w:t>
            </w:r>
          </w:p>
        </w:tc>
        <w:tc>
          <w:tcPr>
            <w:tcW w:w="911" w:type="pct"/>
            <w:shd w:val="clear" w:color="000000" w:fill="FFFFC1"/>
            <w:vAlign w:val="center"/>
            <w:hideMark/>
          </w:tcPr>
          <w:p w14:paraId="3E9E4212"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Fonafifo ha sido una institución que se ha caracterizado por su capacidad para enfrentar los desafíos de manera exitosa, propiciando una buena gestión en sus obligaciones contractual. </w:t>
            </w:r>
          </w:p>
        </w:tc>
        <w:tc>
          <w:tcPr>
            <w:tcW w:w="173" w:type="pct"/>
            <w:shd w:val="clear" w:color="000000" w:fill="FFFFC1"/>
            <w:vAlign w:val="center"/>
            <w:hideMark/>
          </w:tcPr>
          <w:p w14:paraId="58598B79"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5</w:t>
            </w:r>
          </w:p>
        </w:tc>
        <w:tc>
          <w:tcPr>
            <w:tcW w:w="470" w:type="pct"/>
            <w:shd w:val="clear" w:color="000000" w:fill="F2F2F2"/>
            <w:vAlign w:val="center"/>
            <w:hideMark/>
          </w:tcPr>
          <w:p w14:paraId="7E48801D"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Catastrófico</w:t>
            </w:r>
          </w:p>
        </w:tc>
        <w:tc>
          <w:tcPr>
            <w:tcW w:w="920" w:type="pct"/>
            <w:shd w:val="clear" w:color="000000" w:fill="FFFFC1"/>
            <w:vAlign w:val="center"/>
            <w:hideMark/>
          </w:tcPr>
          <w:p w14:paraId="3E67CC99"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Es catastrófico debido a que afectaría la percepción de Gobierno y a nivel internacional, afectando la confianza pública y reputación. Lo cual, llevaría a suspensión de fondos públicos o ingresos adicionales por convenios y donaciones. </w:t>
            </w:r>
          </w:p>
        </w:tc>
        <w:tc>
          <w:tcPr>
            <w:tcW w:w="374" w:type="pct"/>
            <w:shd w:val="clear" w:color="000000" w:fill="FFC000"/>
            <w:vAlign w:val="center"/>
            <w:hideMark/>
          </w:tcPr>
          <w:p w14:paraId="2F20F15C" w14:textId="77777777" w:rsidR="000F1AF4" w:rsidRPr="006459D9" w:rsidRDefault="000F1AF4">
            <w:pPr>
              <w:jc w:val="center"/>
              <w:rPr>
                <w:rFonts w:ascii="Century Gothic" w:hAnsi="Century Gothic" w:cs="Calibri"/>
                <w:b/>
                <w:bCs/>
                <w:color w:val="404040"/>
                <w:sz w:val="20"/>
                <w:szCs w:val="20"/>
              </w:rPr>
            </w:pPr>
            <w:r w:rsidRPr="00487040">
              <w:rPr>
                <w:rFonts w:ascii="Century Gothic" w:hAnsi="Century Gothic" w:cs="Calibri"/>
                <w:b/>
                <w:bCs/>
                <w:color w:val="404040"/>
                <w:szCs w:val="20"/>
              </w:rPr>
              <w:t>5</w:t>
            </w:r>
          </w:p>
        </w:tc>
        <w:tc>
          <w:tcPr>
            <w:tcW w:w="645" w:type="pct"/>
            <w:shd w:val="clear" w:color="000000" w:fill="D0CECE"/>
            <w:vAlign w:val="center"/>
            <w:hideMark/>
          </w:tcPr>
          <w:p w14:paraId="1DD81FDB" w14:textId="77777777" w:rsidR="000F1AF4" w:rsidRPr="006459D9" w:rsidRDefault="000F1AF4">
            <w:pPr>
              <w:jc w:val="center"/>
              <w:rPr>
                <w:rFonts w:ascii="Century Gothic" w:hAnsi="Century Gothic" w:cs="Calibri"/>
                <w:b/>
                <w:bCs/>
                <w:sz w:val="20"/>
                <w:szCs w:val="20"/>
              </w:rPr>
            </w:pPr>
            <w:r w:rsidRPr="006459D9">
              <w:rPr>
                <w:rFonts w:ascii="Century Gothic" w:hAnsi="Century Gothic" w:cs="Calibri"/>
                <w:b/>
                <w:bCs/>
                <w:sz w:val="20"/>
                <w:szCs w:val="20"/>
              </w:rPr>
              <w:t>Aceptable</w:t>
            </w:r>
          </w:p>
        </w:tc>
      </w:tr>
      <w:tr w:rsidR="000F1AF4" w:rsidRPr="006459D9" w14:paraId="2755458E" w14:textId="77777777" w:rsidTr="00600D7E">
        <w:trPr>
          <w:trHeight w:val="1710"/>
        </w:trPr>
        <w:tc>
          <w:tcPr>
            <w:tcW w:w="907" w:type="pct"/>
            <w:tcBorders>
              <w:bottom w:val="single" w:sz="4" w:space="0" w:color="D9D9D9" w:themeColor="background1" w:themeShade="D9"/>
            </w:tcBorders>
            <w:shd w:val="clear" w:color="000000" w:fill="E2EFDA"/>
            <w:vAlign w:val="center"/>
            <w:hideMark/>
          </w:tcPr>
          <w:p w14:paraId="5AF4526C"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Posibilidad de que ocurran actos de corrupción en los procesos de gestión institucional</w:t>
            </w:r>
          </w:p>
        </w:tc>
        <w:tc>
          <w:tcPr>
            <w:tcW w:w="132" w:type="pct"/>
            <w:tcBorders>
              <w:bottom w:val="single" w:sz="4" w:space="0" w:color="D9D9D9" w:themeColor="background1" w:themeShade="D9"/>
            </w:tcBorders>
            <w:shd w:val="clear" w:color="000000" w:fill="FFFFC1"/>
            <w:vAlign w:val="center"/>
            <w:hideMark/>
          </w:tcPr>
          <w:p w14:paraId="6A0AE880"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2</w:t>
            </w:r>
          </w:p>
        </w:tc>
        <w:tc>
          <w:tcPr>
            <w:tcW w:w="468" w:type="pct"/>
            <w:tcBorders>
              <w:bottom w:val="single" w:sz="4" w:space="0" w:color="D9D9D9" w:themeColor="background1" w:themeShade="D9"/>
            </w:tcBorders>
            <w:shd w:val="clear" w:color="000000" w:fill="F2F2F2"/>
            <w:vAlign w:val="center"/>
            <w:hideMark/>
          </w:tcPr>
          <w:p w14:paraId="3F866C96"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Poco probable</w:t>
            </w:r>
          </w:p>
        </w:tc>
        <w:tc>
          <w:tcPr>
            <w:tcW w:w="911" w:type="pct"/>
            <w:tcBorders>
              <w:bottom w:val="single" w:sz="4" w:space="0" w:color="D9D9D9" w:themeColor="background1" w:themeShade="D9"/>
            </w:tcBorders>
            <w:shd w:val="clear" w:color="000000" w:fill="FFFFC1"/>
            <w:vAlign w:val="center"/>
            <w:hideMark/>
          </w:tcPr>
          <w:p w14:paraId="23009A86"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Es poco probable debido a la innovación tecnológica de sistemas informáticos que permiten mayor control de las gestiones administrativas, técnicas y legales de los programas sustantivos y la administración en general de la institución. </w:t>
            </w:r>
          </w:p>
        </w:tc>
        <w:tc>
          <w:tcPr>
            <w:tcW w:w="173" w:type="pct"/>
            <w:tcBorders>
              <w:bottom w:val="single" w:sz="4" w:space="0" w:color="D9D9D9" w:themeColor="background1" w:themeShade="D9"/>
            </w:tcBorders>
            <w:shd w:val="clear" w:color="000000" w:fill="FFFFC1"/>
            <w:vAlign w:val="center"/>
            <w:hideMark/>
          </w:tcPr>
          <w:p w14:paraId="6934CCF6"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4</w:t>
            </w:r>
          </w:p>
        </w:tc>
        <w:tc>
          <w:tcPr>
            <w:tcW w:w="470" w:type="pct"/>
            <w:tcBorders>
              <w:bottom w:val="single" w:sz="4" w:space="0" w:color="D9D9D9" w:themeColor="background1" w:themeShade="D9"/>
            </w:tcBorders>
            <w:shd w:val="clear" w:color="000000" w:fill="F2F2F2"/>
            <w:vAlign w:val="center"/>
            <w:hideMark/>
          </w:tcPr>
          <w:p w14:paraId="29A7E1BE"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Muy Alto</w:t>
            </w:r>
          </w:p>
        </w:tc>
        <w:tc>
          <w:tcPr>
            <w:tcW w:w="920" w:type="pct"/>
            <w:tcBorders>
              <w:bottom w:val="single" w:sz="4" w:space="0" w:color="D9D9D9" w:themeColor="background1" w:themeShade="D9"/>
            </w:tcBorders>
            <w:shd w:val="clear" w:color="000000" w:fill="FFFFC1"/>
            <w:vAlign w:val="center"/>
            <w:hideMark/>
          </w:tcPr>
          <w:p w14:paraId="288C10D7"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El impacto es muy alto ya que afectaría cambios significativos en el presupuesto afectando la misión encomendada a la Institución de beneficiar a los productores y poseedores de bosque y plantaciones. Además, de incumpliendo de la ley 8422 sobre el deber de probidad de la persona funcionaria pública.   </w:t>
            </w:r>
          </w:p>
        </w:tc>
        <w:tc>
          <w:tcPr>
            <w:tcW w:w="374" w:type="pct"/>
            <w:tcBorders>
              <w:bottom w:val="single" w:sz="4" w:space="0" w:color="D9D9D9" w:themeColor="background1" w:themeShade="D9"/>
            </w:tcBorders>
            <w:shd w:val="clear" w:color="000000" w:fill="FFC000"/>
            <w:vAlign w:val="center"/>
            <w:hideMark/>
          </w:tcPr>
          <w:p w14:paraId="206EC147" w14:textId="77777777" w:rsidR="000F1AF4" w:rsidRPr="006459D9" w:rsidRDefault="000F1AF4">
            <w:pPr>
              <w:jc w:val="center"/>
              <w:rPr>
                <w:rFonts w:ascii="Century Gothic" w:hAnsi="Century Gothic" w:cs="Calibri"/>
                <w:b/>
                <w:bCs/>
                <w:color w:val="404040"/>
                <w:sz w:val="20"/>
                <w:szCs w:val="20"/>
              </w:rPr>
            </w:pPr>
            <w:r w:rsidRPr="00487040">
              <w:rPr>
                <w:rFonts w:ascii="Century Gothic" w:hAnsi="Century Gothic" w:cs="Calibri"/>
                <w:b/>
                <w:bCs/>
                <w:color w:val="404040"/>
                <w:szCs w:val="20"/>
              </w:rPr>
              <w:t>8</w:t>
            </w:r>
          </w:p>
        </w:tc>
        <w:tc>
          <w:tcPr>
            <w:tcW w:w="645" w:type="pct"/>
            <w:tcBorders>
              <w:bottom w:val="single" w:sz="4" w:space="0" w:color="D9D9D9" w:themeColor="background1" w:themeShade="D9"/>
            </w:tcBorders>
            <w:shd w:val="clear" w:color="000000" w:fill="D0CECE"/>
            <w:vAlign w:val="center"/>
            <w:hideMark/>
          </w:tcPr>
          <w:p w14:paraId="53F98AF9" w14:textId="77777777" w:rsidR="000F1AF4" w:rsidRPr="006459D9" w:rsidRDefault="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r w:rsidR="000F1AF4" w:rsidRPr="006459D9" w14:paraId="4F1E6F74" w14:textId="77777777" w:rsidTr="00600D7E">
        <w:trPr>
          <w:trHeight w:val="1410"/>
        </w:trPr>
        <w:tc>
          <w:tcPr>
            <w:tcW w:w="90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0D5A1CED"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lastRenderedPageBreak/>
              <w:t xml:space="preserve">Posibilidad de vulnerabilidades en la plataforma tecnológica institucional. </w:t>
            </w:r>
          </w:p>
        </w:tc>
        <w:tc>
          <w:tcPr>
            <w:tcW w:w="1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5145663"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4</w:t>
            </w:r>
          </w:p>
        </w:tc>
        <w:tc>
          <w:tcPr>
            <w:tcW w:w="4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0842E6D7"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Muy probable</w:t>
            </w:r>
          </w:p>
        </w:tc>
        <w:tc>
          <w:tcPr>
            <w:tcW w:w="91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099E758A"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Los ciberataques se han incrementado exponencialmente en los últimos años</w:t>
            </w:r>
          </w:p>
        </w:tc>
        <w:tc>
          <w:tcPr>
            <w:tcW w:w="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1F0FE1C9"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4</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3F55ADC4"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Muy Alto</w:t>
            </w:r>
          </w:p>
        </w:tc>
        <w:tc>
          <w:tcPr>
            <w:tcW w:w="92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4F8188F"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La información institucional es uno de los activos más valiosos, por lo que su daño o pérdida implicaría consecuencias no solo para la institución, sino además para los beneficiarios que son sujetos de los servicios que brinda Fonafifo</w:t>
            </w:r>
          </w:p>
        </w:tc>
        <w:tc>
          <w:tcPr>
            <w:tcW w:w="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7575"/>
            <w:vAlign w:val="center"/>
            <w:hideMark/>
          </w:tcPr>
          <w:p w14:paraId="4CD3166B" w14:textId="77777777" w:rsidR="000F1AF4" w:rsidRPr="00487040" w:rsidRDefault="000F1AF4">
            <w:pPr>
              <w:jc w:val="center"/>
              <w:rPr>
                <w:rFonts w:ascii="Century Gothic" w:hAnsi="Century Gothic" w:cs="Calibri"/>
                <w:b/>
                <w:bCs/>
                <w:color w:val="404040"/>
                <w:szCs w:val="20"/>
              </w:rPr>
            </w:pPr>
            <w:r w:rsidRPr="00487040">
              <w:rPr>
                <w:rFonts w:ascii="Century Gothic" w:hAnsi="Century Gothic" w:cs="Calibri"/>
                <w:b/>
                <w:bCs/>
                <w:color w:val="404040"/>
                <w:szCs w:val="20"/>
              </w:rPr>
              <w:t>16</w:t>
            </w:r>
          </w:p>
        </w:tc>
        <w:tc>
          <w:tcPr>
            <w:tcW w:w="64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590FD2FF" w14:textId="77777777" w:rsidR="000F1AF4" w:rsidRPr="006459D9" w:rsidRDefault="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r w:rsidR="000F1AF4" w:rsidRPr="006459D9" w14:paraId="36F7D181" w14:textId="77777777" w:rsidTr="00600D7E">
        <w:trPr>
          <w:trHeight w:val="1080"/>
        </w:trPr>
        <w:tc>
          <w:tcPr>
            <w:tcW w:w="90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5DA6A7C8"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Posibilidad de presentar problemas o daños en la plataforma tecnológica institucional. </w:t>
            </w:r>
          </w:p>
        </w:tc>
        <w:tc>
          <w:tcPr>
            <w:tcW w:w="1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D7F7A0C"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4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7E7A08C1"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Probable</w:t>
            </w:r>
          </w:p>
        </w:tc>
        <w:tc>
          <w:tcPr>
            <w:tcW w:w="91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2AAED19F" w14:textId="77777777" w:rsidR="000F1AF4" w:rsidRPr="006459D9" w:rsidRDefault="000F1AF4" w:rsidP="00F8181E">
            <w:pPr>
              <w:rPr>
                <w:rFonts w:ascii="Century Gothic" w:hAnsi="Century Gothic" w:cs="Calibri"/>
                <w:color w:val="000000"/>
                <w:sz w:val="20"/>
                <w:szCs w:val="20"/>
              </w:rPr>
            </w:pPr>
            <w:r w:rsidRPr="006459D9">
              <w:rPr>
                <w:rFonts w:ascii="Century Gothic" w:hAnsi="Century Gothic" w:cs="Calibri"/>
                <w:color w:val="000000"/>
                <w:sz w:val="20"/>
                <w:szCs w:val="20"/>
              </w:rPr>
              <w:t>Se requiere de una inversión sostenida en el tiempo para garantizar que los componentes de la plataforma de TI estén actualizados y en óptimas condiciones</w:t>
            </w:r>
          </w:p>
        </w:tc>
        <w:tc>
          <w:tcPr>
            <w:tcW w:w="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0FAC7DD5"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4</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67640947"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Muy Alto</w:t>
            </w:r>
          </w:p>
        </w:tc>
        <w:tc>
          <w:tcPr>
            <w:tcW w:w="92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03C4CBC7"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En la actualidad no se concibe el funcionamiento de cualquier organización sin un componente de tecnología que dé soporte a todos sus procesos</w:t>
            </w:r>
          </w:p>
        </w:tc>
        <w:tc>
          <w:tcPr>
            <w:tcW w:w="3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7575"/>
            <w:vAlign w:val="center"/>
            <w:hideMark/>
          </w:tcPr>
          <w:p w14:paraId="2FCA42BF" w14:textId="77777777" w:rsidR="000F1AF4" w:rsidRPr="00487040" w:rsidRDefault="000F1AF4">
            <w:pPr>
              <w:jc w:val="center"/>
              <w:rPr>
                <w:rFonts w:ascii="Century Gothic" w:hAnsi="Century Gothic" w:cs="Calibri"/>
                <w:b/>
                <w:bCs/>
                <w:color w:val="404040"/>
                <w:szCs w:val="20"/>
              </w:rPr>
            </w:pPr>
            <w:r w:rsidRPr="00487040">
              <w:rPr>
                <w:rFonts w:ascii="Century Gothic" w:hAnsi="Century Gothic" w:cs="Calibri"/>
                <w:b/>
                <w:bCs/>
                <w:color w:val="404040"/>
                <w:szCs w:val="20"/>
              </w:rPr>
              <w:t>12</w:t>
            </w:r>
          </w:p>
        </w:tc>
        <w:tc>
          <w:tcPr>
            <w:tcW w:w="64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7D6F6EBA" w14:textId="77777777" w:rsidR="000F1AF4" w:rsidRPr="006459D9" w:rsidRDefault="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r w:rsidR="000F1AF4" w:rsidRPr="006459D9" w14:paraId="33AE8A05" w14:textId="77777777" w:rsidTr="00600D7E">
        <w:trPr>
          <w:trHeight w:val="1350"/>
        </w:trPr>
        <w:tc>
          <w:tcPr>
            <w:tcW w:w="907" w:type="pct"/>
            <w:tcBorders>
              <w:top w:val="single" w:sz="4" w:space="0" w:color="D9D9D9" w:themeColor="background1" w:themeShade="D9"/>
            </w:tcBorders>
            <w:shd w:val="clear" w:color="000000" w:fill="E2EFDA"/>
            <w:vAlign w:val="center"/>
            <w:hideMark/>
          </w:tcPr>
          <w:p w14:paraId="5C2D061F" w14:textId="77777777" w:rsidR="000F1AF4" w:rsidRPr="006459D9" w:rsidRDefault="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Disminución de la capacidad financiera para cumplir con los compromisos institucionales </w:t>
            </w:r>
          </w:p>
        </w:tc>
        <w:tc>
          <w:tcPr>
            <w:tcW w:w="132" w:type="pct"/>
            <w:tcBorders>
              <w:top w:val="single" w:sz="4" w:space="0" w:color="D9D9D9" w:themeColor="background1" w:themeShade="D9"/>
            </w:tcBorders>
            <w:shd w:val="clear" w:color="000000" w:fill="FFFFC1"/>
            <w:vAlign w:val="center"/>
            <w:hideMark/>
          </w:tcPr>
          <w:p w14:paraId="4650BF4F"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468" w:type="pct"/>
            <w:tcBorders>
              <w:top w:val="single" w:sz="4" w:space="0" w:color="D9D9D9" w:themeColor="background1" w:themeShade="D9"/>
            </w:tcBorders>
            <w:shd w:val="clear" w:color="000000" w:fill="F2F2F2"/>
            <w:vAlign w:val="center"/>
            <w:hideMark/>
          </w:tcPr>
          <w:p w14:paraId="22C810B1"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Probable</w:t>
            </w:r>
          </w:p>
        </w:tc>
        <w:tc>
          <w:tcPr>
            <w:tcW w:w="911" w:type="pct"/>
            <w:tcBorders>
              <w:top w:val="single" w:sz="4" w:space="0" w:color="D9D9D9" w:themeColor="background1" w:themeShade="D9"/>
            </w:tcBorders>
            <w:shd w:val="clear" w:color="000000" w:fill="FFFFC1"/>
            <w:hideMark/>
          </w:tcPr>
          <w:p w14:paraId="70352BB7" w14:textId="3F4C51F2" w:rsidR="000F1AF4" w:rsidRPr="006459D9" w:rsidRDefault="000F1AF4">
            <w:pPr>
              <w:jc w:val="both"/>
              <w:rPr>
                <w:rFonts w:ascii="Century Gothic" w:hAnsi="Century Gothic" w:cs="Calibri"/>
                <w:color w:val="000000"/>
                <w:sz w:val="20"/>
                <w:szCs w:val="20"/>
              </w:rPr>
            </w:pPr>
            <w:r w:rsidRPr="006459D9">
              <w:rPr>
                <w:rFonts w:ascii="Century Gothic" w:hAnsi="Century Gothic" w:cs="Calibri"/>
                <w:color w:val="000000"/>
                <w:sz w:val="20"/>
                <w:szCs w:val="20"/>
              </w:rPr>
              <w:t xml:space="preserve">Es probable ya que en los últimos 5 años el monto anual asignado por el Ministerio de Hacienda ha sido inferior al 3,5% de lo recaudado por el impuesto a los combustibles y al 25% correspondiente al Canon por aprovechamiento del agua. </w:t>
            </w:r>
          </w:p>
        </w:tc>
        <w:tc>
          <w:tcPr>
            <w:tcW w:w="173" w:type="pct"/>
            <w:tcBorders>
              <w:top w:val="single" w:sz="4" w:space="0" w:color="D9D9D9" w:themeColor="background1" w:themeShade="D9"/>
            </w:tcBorders>
            <w:shd w:val="clear" w:color="000000" w:fill="FFFFC1"/>
            <w:vAlign w:val="center"/>
            <w:hideMark/>
          </w:tcPr>
          <w:p w14:paraId="42DB0E61"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4</w:t>
            </w:r>
          </w:p>
        </w:tc>
        <w:tc>
          <w:tcPr>
            <w:tcW w:w="470" w:type="pct"/>
            <w:tcBorders>
              <w:top w:val="single" w:sz="4" w:space="0" w:color="D9D9D9" w:themeColor="background1" w:themeShade="D9"/>
            </w:tcBorders>
            <w:shd w:val="clear" w:color="000000" w:fill="F2F2F2"/>
            <w:vAlign w:val="center"/>
            <w:hideMark/>
          </w:tcPr>
          <w:p w14:paraId="68C385AA" w14:textId="77777777" w:rsidR="000F1AF4" w:rsidRPr="006459D9" w:rsidRDefault="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Muy Alto</w:t>
            </w:r>
          </w:p>
        </w:tc>
        <w:tc>
          <w:tcPr>
            <w:tcW w:w="920" w:type="pct"/>
            <w:tcBorders>
              <w:top w:val="single" w:sz="4" w:space="0" w:color="D9D9D9" w:themeColor="background1" w:themeShade="D9"/>
            </w:tcBorders>
            <w:shd w:val="clear" w:color="000000" w:fill="FFFFC1"/>
            <w:vAlign w:val="center"/>
            <w:hideMark/>
          </w:tcPr>
          <w:p w14:paraId="2FEBB036" w14:textId="77777777" w:rsidR="000F1AF4" w:rsidRPr="006459D9" w:rsidRDefault="000F1AF4">
            <w:pPr>
              <w:jc w:val="both"/>
              <w:rPr>
                <w:rFonts w:ascii="Century Gothic" w:hAnsi="Century Gothic" w:cs="Calibri"/>
                <w:color w:val="000000"/>
                <w:sz w:val="20"/>
                <w:szCs w:val="20"/>
              </w:rPr>
            </w:pPr>
            <w:r w:rsidRPr="006459D9">
              <w:rPr>
                <w:rFonts w:ascii="Century Gothic" w:hAnsi="Century Gothic" w:cs="Calibri"/>
                <w:color w:val="000000"/>
                <w:sz w:val="20"/>
                <w:szCs w:val="20"/>
              </w:rPr>
              <w:t>El impacto es muy alto ya que al materializarse el riesgo de liquidez, la Institución no podría atender sus obligaciones financieras y en consecuencia no se lograría cumplir con los objetivos relacionados con la protección del medio ambiente.</w:t>
            </w:r>
          </w:p>
        </w:tc>
        <w:tc>
          <w:tcPr>
            <w:tcW w:w="374" w:type="pct"/>
            <w:tcBorders>
              <w:top w:val="single" w:sz="4" w:space="0" w:color="D9D9D9" w:themeColor="background1" w:themeShade="D9"/>
            </w:tcBorders>
            <w:shd w:val="clear" w:color="000000" w:fill="FF7575"/>
            <w:vAlign w:val="center"/>
            <w:hideMark/>
          </w:tcPr>
          <w:p w14:paraId="7FD3DF34" w14:textId="77777777" w:rsidR="000F1AF4" w:rsidRPr="00487040" w:rsidRDefault="000F1AF4">
            <w:pPr>
              <w:jc w:val="center"/>
              <w:rPr>
                <w:rFonts w:ascii="Century Gothic" w:hAnsi="Century Gothic" w:cs="Calibri"/>
                <w:b/>
                <w:bCs/>
                <w:color w:val="404040"/>
                <w:szCs w:val="20"/>
              </w:rPr>
            </w:pPr>
            <w:r w:rsidRPr="00487040">
              <w:rPr>
                <w:rFonts w:ascii="Century Gothic" w:hAnsi="Century Gothic" w:cs="Calibri"/>
                <w:b/>
                <w:bCs/>
                <w:color w:val="404040"/>
                <w:szCs w:val="20"/>
              </w:rPr>
              <w:t>12</w:t>
            </w:r>
          </w:p>
        </w:tc>
        <w:tc>
          <w:tcPr>
            <w:tcW w:w="645" w:type="pct"/>
            <w:tcBorders>
              <w:top w:val="single" w:sz="4" w:space="0" w:color="D9D9D9" w:themeColor="background1" w:themeShade="D9"/>
            </w:tcBorders>
            <w:shd w:val="clear" w:color="000000" w:fill="D0CECE"/>
            <w:vAlign w:val="center"/>
            <w:hideMark/>
          </w:tcPr>
          <w:p w14:paraId="7E26DB0D" w14:textId="77777777" w:rsidR="000F1AF4" w:rsidRPr="006459D9" w:rsidRDefault="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bl>
    <w:p w14:paraId="5BE09DBC" w14:textId="5AB37C36" w:rsidR="000F1AF4" w:rsidRPr="006459D9" w:rsidRDefault="000F1AF4">
      <w:pPr>
        <w:rPr>
          <w:sz w:val="20"/>
          <w:szCs w:val="20"/>
        </w:rPr>
      </w:pPr>
    </w:p>
    <w:p w14:paraId="2FF34FBC" w14:textId="77777777" w:rsidR="000F1AF4" w:rsidRPr="006459D9" w:rsidRDefault="000F1AF4">
      <w:pPr>
        <w:rPr>
          <w:sz w:val="20"/>
          <w:szCs w:val="20"/>
        </w:rPr>
      </w:pPr>
    </w:p>
    <w:tbl>
      <w:tblPr>
        <w:tblW w:w="5424" w:type="pct"/>
        <w:tblInd w:w="-431" w:type="dxa"/>
        <w:tblLayout w:type="fixed"/>
        <w:tblCellMar>
          <w:left w:w="70" w:type="dxa"/>
          <w:right w:w="70" w:type="dxa"/>
        </w:tblCellMar>
        <w:tblLook w:val="04A0" w:firstRow="1" w:lastRow="0" w:firstColumn="1" w:lastColumn="0" w:noHBand="0" w:noVBand="1"/>
      </w:tblPr>
      <w:tblGrid>
        <w:gridCol w:w="2669"/>
        <w:gridCol w:w="454"/>
        <w:gridCol w:w="1132"/>
        <w:gridCol w:w="3667"/>
        <w:gridCol w:w="300"/>
        <w:gridCol w:w="1135"/>
        <w:gridCol w:w="1975"/>
        <w:gridCol w:w="17"/>
        <w:gridCol w:w="1032"/>
        <w:gridCol w:w="17"/>
        <w:gridCol w:w="1892"/>
      </w:tblGrid>
      <w:tr w:rsidR="00F8181E" w:rsidRPr="006459D9" w14:paraId="4A4E3AED" w14:textId="77777777" w:rsidTr="00600D7E">
        <w:trPr>
          <w:trHeight w:val="998"/>
          <w:tblHeader/>
        </w:trPr>
        <w:tc>
          <w:tcPr>
            <w:tcW w:w="93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57446671" w14:textId="4EEA51A4" w:rsidR="000F1AF4" w:rsidRPr="006459D9" w:rsidRDefault="000F1AF4" w:rsidP="00F8181E">
            <w:pPr>
              <w:jc w:val="center"/>
              <w:rPr>
                <w:rFonts w:ascii="Century Gothic" w:hAnsi="Century Gothic" w:cs="Calibri"/>
                <w:color w:val="000000"/>
                <w:sz w:val="20"/>
                <w:szCs w:val="20"/>
              </w:rPr>
            </w:pPr>
            <w:r w:rsidRPr="006459D9">
              <w:rPr>
                <w:rFonts w:ascii="Century Gothic" w:hAnsi="Century Gothic" w:cs="Calibri"/>
                <w:b/>
                <w:bCs/>
                <w:color w:val="FFFFFF"/>
                <w:sz w:val="20"/>
                <w:szCs w:val="20"/>
              </w:rPr>
              <w:lastRenderedPageBreak/>
              <w:t>EVENTO DESENCADENANTE DEL RIESGO</w:t>
            </w:r>
          </w:p>
        </w:tc>
        <w:tc>
          <w:tcPr>
            <w:tcW w:w="555"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026FEF70" w14:textId="0E4ACFA1" w:rsidR="000F1AF4" w:rsidRPr="006459D9" w:rsidRDefault="000F1AF4" w:rsidP="00F8181E">
            <w:pPr>
              <w:jc w:val="center"/>
              <w:rPr>
                <w:rFonts w:ascii="Century Gothic" w:hAnsi="Century Gothic" w:cs="Calibri"/>
                <w:b/>
                <w:bCs/>
                <w:color w:val="000000"/>
                <w:sz w:val="20"/>
                <w:szCs w:val="20"/>
              </w:rPr>
            </w:pPr>
            <w:r w:rsidRPr="006459D9">
              <w:rPr>
                <w:rFonts w:ascii="Century Gothic" w:hAnsi="Century Gothic" w:cs="Calibri"/>
                <w:b/>
                <w:bCs/>
                <w:color w:val="FFFFFF"/>
                <w:sz w:val="20"/>
                <w:szCs w:val="20"/>
              </w:rPr>
              <w:t>PROBABILIDAD</w:t>
            </w:r>
            <w:r w:rsidRPr="006459D9">
              <w:rPr>
                <w:rFonts w:ascii="Century Gothic" w:hAnsi="Century Gothic" w:cs="Calibri"/>
                <w:b/>
                <w:bCs/>
                <w:color w:val="FFFFFF"/>
                <w:sz w:val="20"/>
                <w:szCs w:val="20"/>
              </w:rPr>
              <w:br/>
              <w:t>1 – 5</w:t>
            </w:r>
          </w:p>
        </w:tc>
        <w:tc>
          <w:tcPr>
            <w:tcW w:w="128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1B41578F" w14:textId="670C1F2A" w:rsidR="000F1AF4" w:rsidRPr="006459D9" w:rsidRDefault="000F1AF4" w:rsidP="00F8181E">
            <w:pPr>
              <w:jc w:val="center"/>
              <w:rPr>
                <w:rFonts w:ascii="Century Gothic" w:hAnsi="Century Gothic" w:cs="Calibri"/>
                <w:color w:val="000000"/>
                <w:sz w:val="20"/>
                <w:szCs w:val="20"/>
              </w:rPr>
            </w:pPr>
            <w:r w:rsidRPr="006459D9">
              <w:rPr>
                <w:rFonts w:ascii="Century Gothic" w:hAnsi="Century Gothic" w:cs="Calibri"/>
                <w:b/>
                <w:bCs/>
                <w:color w:val="FFFFFF"/>
                <w:sz w:val="20"/>
                <w:szCs w:val="20"/>
              </w:rPr>
              <w:t xml:space="preserve">Justificación </w:t>
            </w:r>
            <w:r w:rsidRPr="006459D9">
              <w:rPr>
                <w:rFonts w:ascii="Century Gothic" w:hAnsi="Century Gothic" w:cs="Calibri"/>
                <w:b/>
                <w:bCs/>
                <w:color w:val="FFFFFF"/>
                <w:sz w:val="20"/>
                <w:szCs w:val="20"/>
              </w:rPr>
              <w:br/>
              <w:t>Es ___porque__</w:t>
            </w:r>
          </w:p>
        </w:tc>
        <w:tc>
          <w:tcPr>
            <w:tcW w:w="502"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14B2219C" w14:textId="571479A1" w:rsidR="000F1AF4" w:rsidRPr="006459D9" w:rsidRDefault="000F1AF4" w:rsidP="00F8181E">
            <w:pPr>
              <w:jc w:val="center"/>
              <w:rPr>
                <w:rFonts w:ascii="Century Gothic" w:hAnsi="Century Gothic" w:cs="Calibri"/>
                <w:b/>
                <w:bCs/>
                <w:color w:val="000000"/>
                <w:sz w:val="20"/>
                <w:szCs w:val="20"/>
              </w:rPr>
            </w:pPr>
            <w:r w:rsidRPr="006459D9">
              <w:rPr>
                <w:rFonts w:ascii="Century Gothic" w:hAnsi="Century Gothic" w:cs="Calibri"/>
                <w:b/>
                <w:bCs/>
                <w:color w:val="FFFFFF"/>
                <w:sz w:val="20"/>
                <w:szCs w:val="20"/>
              </w:rPr>
              <w:t>IMPACTO</w:t>
            </w:r>
            <w:r w:rsidRPr="006459D9">
              <w:rPr>
                <w:rFonts w:ascii="Century Gothic" w:hAnsi="Century Gothic" w:cs="Calibri"/>
                <w:b/>
                <w:bCs/>
                <w:color w:val="FFFFFF"/>
                <w:sz w:val="20"/>
                <w:szCs w:val="20"/>
              </w:rPr>
              <w:br/>
              <w:t>1 – 5</w:t>
            </w:r>
          </w:p>
        </w:tc>
        <w:tc>
          <w:tcPr>
            <w:tcW w:w="69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10C0266E" w14:textId="478AFA7E" w:rsidR="000F1AF4" w:rsidRPr="006459D9" w:rsidRDefault="000F1AF4" w:rsidP="00F8181E">
            <w:pPr>
              <w:jc w:val="center"/>
              <w:rPr>
                <w:rFonts w:ascii="Century Gothic" w:hAnsi="Century Gothic" w:cs="Calibri"/>
                <w:color w:val="000000"/>
                <w:sz w:val="20"/>
                <w:szCs w:val="20"/>
              </w:rPr>
            </w:pPr>
            <w:r w:rsidRPr="006459D9">
              <w:rPr>
                <w:rFonts w:ascii="Century Gothic" w:hAnsi="Century Gothic" w:cs="Calibri"/>
                <w:b/>
                <w:bCs/>
                <w:color w:val="FFFFFF"/>
                <w:sz w:val="20"/>
                <w:szCs w:val="20"/>
              </w:rPr>
              <w:t xml:space="preserve">Justificación </w:t>
            </w:r>
            <w:r w:rsidRPr="006459D9">
              <w:rPr>
                <w:rFonts w:ascii="Century Gothic" w:hAnsi="Century Gothic" w:cs="Calibri"/>
                <w:b/>
                <w:bCs/>
                <w:color w:val="FFFFFF"/>
                <w:sz w:val="20"/>
                <w:szCs w:val="20"/>
              </w:rPr>
              <w:br/>
              <w:t>Es ___porque__</w:t>
            </w:r>
          </w:p>
        </w:tc>
        <w:tc>
          <w:tcPr>
            <w:tcW w:w="36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368F0BC0" w14:textId="39B887EB" w:rsidR="000F1AF4" w:rsidRPr="006459D9" w:rsidRDefault="000F1AF4" w:rsidP="00F8181E">
            <w:pPr>
              <w:jc w:val="center"/>
              <w:rPr>
                <w:rFonts w:ascii="Century Gothic" w:hAnsi="Century Gothic" w:cs="Calibri"/>
                <w:b/>
                <w:bCs/>
                <w:color w:val="404040"/>
                <w:sz w:val="20"/>
                <w:szCs w:val="20"/>
              </w:rPr>
            </w:pPr>
            <w:r w:rsidRPr="006459D9">
              <w:rPr>
                <w:rFonts w:ascii="Century Gothic" w:hAnsi="Century Gothic" w:cs="Calibri"/>
                <w:b/>
                <w:bCs/>
                <w:color w:val="FFFFFF"/>
                <w:sz w:val="20"/>
                <w:szCs w:val="20"/>
              </w:rPr>
              <w:t>NIVEL DE RIESGOS</w:t>
            </w:r>
            <w:r w:rsidRPr="006459D9">
              <w:rPr>
                <w:rFonts w:ascii="Century Gothic" w:hAnsi="Century Gothic" w:cs="Calibri"/>
                <w:b/>
                <w:bCs/>
                <w:color w:val="FFFFFF"/>
                <w:sz w:val="20"/>
                <w:szCs w:val="20"/>
              </w:rPr>
              <w:br/>
              <w:t>Prob x Impacto</w:t>
            </w:r>
          </w:p>
        </w:tc>
        <w:tc>
          <w:tcPr>
            <w:tcW w:w="66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548235"/>
            <w:vAlign w:val="center"/>
          </w:tcPr>
          <w:p w14:paraId="28C28AA9" w14:textId="77431B88" w:rsidR="000F1AF4" w:rsidRPr="006459D9" w:rsidRDefault="000F1AF4" w:rsidP="00F8181E">
            <w:pPr>
              <w:jc w:val="center"/>
              <w:rPr>
                <w:rFonts w:ascii="Century Gothic" w:hAnsi="Century Gothic" w:cs="Calibri"/>
                <w:b/>
                <w:bCs/>
                <w:sz w:val="20"/>
                <w:szCs w:val="20"/>
              </w:rPr>
            </w:pPr>
            <w:r w:rsidRPr="006459D9">
              <w:rPr>
                <w:rFonts w:ascii="Century Gothic" w:hAnsi="Century Gothic" w:cs="Calibri"/>
                <w:b/>
                <w:bCs/>
                <w:color w:val="FFFFFF"/>
                <w:sz w:val="20"/>
                <w:szCs w:val="20"/>
              </w:rPr>
              <w:t xml:space="preserve">ACEPTABILIDAD DEL RIESGO  </w:t>
            </w:r>
            <w:r w:rsidRPr="006459D9">
              <w:rPr>
                <w:rFonts w:ascii="Century Gothic" w:hAnsi="Century Gothic" w:cs="Calibri"/>
                <w:b/>
                <w:bCs/>
                <w:color w:val="FFFFFF"/>
                <w:sz w:val="20"/>
                <w:szCs w:val="20"/>
              </w:rPr>
              <w:br/>
            </w:r>
            <w:r w:rsidRPr="006459D9">
              <w:rPr>
                <w:rFonts w:ascii="Century Gothic" w:hAnsi="Century Gothic" w:cs="Calibri"/>
                <w:b/>
                <w:bCs/>
                <w:color w:val="FCE4D6"/>
                <w:sz w:val="20"/>
                <w:szCs w:val="20"/>
              </w:rPr>
              <w:t>(bajo los escenarios sin medidas o controles)</w:t>
            </w:r>
          </w:p>
        </w:tc>
      </w:tr>
      <w:tr w:rsidR="00F8181E" w:rsidRPr="006459D9" w14:paraId="4EC52843" w14:textId="77777777" w:rsidTr="00600D7E">
        <w:trPr>
          <w:trHeight w:val="998"/>
        </w:trPr>
        <w:tc>
          <w:tcPr>
            <w:tcW w:w="93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4D51D5A2"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No disponer del personal experto adecuado para cumplir oportunamente con los objetivos institucionales</w:t>
            </w:r>
          </w:p>
        </w:tc>
        <w:tc>
          <w:tcPr>
            <w:tcW w:w="15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77D922C"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2</w:t>
            </w:r>
          </w:p>
        </w:tc>
        <w:tc>
          <w:tcPr>
            <w:tcW w:w="39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075D9886"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Poco probable</w:t>
            </w:r>
          </w:p>
        </w:tc>
        <w:tc>
          <w:tcPr>
            <w:tcW w:w="128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2CB10DCB"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Las responsabilidades actuales, y las que puedan surgir en el futuro, podrían no asumirse si no se cuenta con personal suficiente</w:t>
            </w:r>
          </w:p>
        </w:tc>
        <w:tc>
          <w:tcPr>
            <w:tcW w:w="10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1F6AF8AB"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2</w:t>
            </w:r>
          </w:p>
        </w:tc>
        <w:tc>
          <w:tcPr>
            <w:tcW w:w="39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65D27C61"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Moderado</w:t>
            </w:r>
          </w:p>
        </w:tc>
        <w:tc>
          <w:tcPr>
            <w:tcW w:w="69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6FA8149"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Es porque algunos de los proyectos son por tiempo establecido, por lo que el personal que se contrate puede asumir y concluir el proyecto</w:t>
            </w:r>
          </w:p>
        </w:tc>
        <w:tc>
          <w:tcPr>
            <w:tcW w:w="36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633EA482" w14:textId="77777777" w:rsidR="000F1AF4" w:rsidRPr="00487040" w:rsidRDefault="000F1AF4" w:rsidP="000F1AF4">
            <w:pPr>
              <w:jc w:val="center"/>
              <w:rPr>
                <w:rFonts w:ascii="Century Gothic" w:hAnsi="Century Gothic" w:cs="Calibri"/>
                <w:b/>
                <w:bCs/>
                <w:color w:val="404040"/>
                <w:szCs w:val="20"/>
              </w:rPr>
            </w:pPr>
            <w:r w:rsidRPr="00487040">
              <w:rPr>
                <w:rFonts w:ascii="Century Gothic" w:hAnsi="Century Gothic" w:cs="Calibri"/>
                <w:b/>
                <w:bCs/>
                <w:color w:val="404040"/>
                <w:szCs w:val="20"/>
              </w:rPr>
              <w:t>4</w:t>
            </w:r>
          </w:p>
        </w:tc>
        <w:tc>
          <w:tcPr>
            <w:tcW w:w="668"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753A0B01" w14:textId="77777777" w:rsidR="000F1AF4" w:rsidRPr="006459D9" w:rsidRDefault="000F1AF4" w:rsidP="000F1AF4">
            <w:pPr>
              <w:jc w:val="center"/>
              <w:rPr>
                <w:rFonts w:ascii="Century Gothic" w:hAnsi="Century Gothic" w:cs="Calibri"/>
                <w:b/>
                <w:bCs/>
                <w:sz w:val="20"/>
                <w:szCs w:val="20"/>
              </w:rPr>
            </w:pPr>
            <w:r w:rsidRPr="006459D9">
              <w:rPr>
                <w:rFonts w:ascii="Century Gothic" w:hAnsi="Century Gothic" w:cs="Calibri"/>
                <w:b/>
                <w:bCs/>
                <w:sz w:val="20"/>
                <w:szCs w:val="20"/>
              </w:rPr>
              <w:t>Aceptable</w:t>
            </w:r>
          </w:p>
        </w:tc>
      </w:tr>
      <w:tr w:rsidR="00F8181E" w:rsidRPr="006459D9" w14:paraId="007400DB" w14:textId="77777777" w:rsidTr="00600D7E">
        <w:trPr>
          <w:trHeight w:val="1350"/>
        </w:trPr>
        <w:tc>
          <w:tcPr>
            <w:tcW w:w="93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7CA678C3" w14:textId="0872774C"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Rezago institucional en la innovación tecnológica para la gestión de los servicios ecosistémicos.</w:t>
            </w:r>
          </w:p>
        </w:tc>
        <w:tc>
          <w:tcPr>
            <w:tcW w:w="15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1973DCA9"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39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0CE4F0C7"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Probable</w:t>
            </w:r>
          </w:p>
        </w:tc>
        <w:tc>
          <w:tcPr>
            <w:tcW w:w="128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EFCCE"/>
            <w:vAlign w:val="center"/>
            <w:hideMark/>
          </w:tcPr>
          <w:p w14:paraId="45F5AA4E"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Invisibilidad de la importancia en el tema de capacitación tecnológica </w:t>
            </w:r>
          </w:p>
        </w:tc>
        <w:tc>
          <w:tcPr>
            <w:tcW w:w="10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7C934C06"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2</w:t>
            </w:r>
          </w:p>
        </w:tc>
        <w:tc>
          <w:tcPr>
            <w:tcW w:w="39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39D86C47"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Moderado</w:t>
            </w:r>
          </w:p>
        </w:tc>
        <w:tc>
          <w:tcPr>
            <w:tcW w:w="69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EFCCE"/>
            <w:vAlign w:val="center"/>
            <w:hideMark/>
          </w:tcPr>
          <w:p w14:paraId="3EBEC16D"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 xml:space="preserve">Rezago en lo tecnológico y científico. </w:t>
            </w:r>
            <w:r w:rsidRPr="006459D9">
              <w:rPr>
                <w:rFonts w:ascii="Century Gothic" w:hAnsi="Century Gothic" w:cs="Calibri"/>
                <w:color w:val="000000"/>
                <w:sz w:val="20"/>
                <w:szCs w:val="20"/>
              </w:rPr>
              <w:br/>
              <w:t>Control poco valido.</w:t>
            </w:r>
            <w:r w:rsidRPr="006459D9">
              <w:rPr>
                <w:rFonts w:ascii="Century Gothic" w:hAnsi="Century Gothic" w:cs="Calibri"/>
                <w:color w:val="000000"/>
                <w:sz w:val="20"/>
                <w:szCs w:val="20"/>
              </w:rPr>
              <w:br/>
              <w:t xml:space="preserve">Perder oportunidades de venta de servicios ambientales por poca verificación o control tecnológico. </w:t>
            </w:r>
          </w:p>
        </w:tc>
        <w:tc>
          <w:tcPr>
            <w:tcW w:w="36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C000"/>
            <w:vAlign w:val="center"/>
            <w:hideMark/>
          </w:tcPr>
          <w:p w14:paraId="370F4013" w14:textId="77777777" w:rsidR="000F1AF4" w:rsidRPr="00487040" w:rsidRDefault="000F1AF4" w:rsidP="000F1AF4">
            <w:pPr>
              <w:jc w:val="center"/>
              <w:rPr>
                <w:rFonts w:ascii="Century Gothic" w:hAnsi="Century Gothic" w:cs="Calibri"/>
                <w:b/>
                <w:bCs/>
                <w:color w:val="404040"/>
                <w:szCs w:val="20"/>
              </w:rPr>
            </w:pPr>
            <w:r w:rsidRPr="00487040">
              <w:rPr>
                <w:rFonts w:ascii="Century Gothic" w:hAnsi="Century Gothic" w:cs="Calibri"/>
                <w:b/>
                <w:bCs/>
                <w:color w:val="404040"/>
                <w:szCs w:val="20"/>
              </w:rPr>
              <w:t>6</w:t>
            </w:r>
          </w:p>
        </w:tc>
        <w:tc>
          <w:tcPr>
            <w:tcW w:w="668"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5F19EBB2" w14:textId="77777777" w:rsidR="000F1AF4" w:rsidRPr="006459D9" w:rsidRDefault="000F1AF4" w:rsidP="000F1AF4">
            <w:pPr>
              <w:jc w:val="center"/>
              <w:rPr>
                <w:rFonts w:ascii="Century Gothic" w:hAnsi="Century Gothic" w:cs="Calibri"/>
                <w:b/>
                <w:bCs/>
                <w:sz w:val="20"/>
                <w:szCs w:val="20"/>
              </w:rPr>
            </w:pPr>
            <w:r w:rsidRPr="006459D9">
              <w:rPr>
                <w:rFonts w:ascii="Century Gothic" w:hAnsi="Century Gothic" w:cs="Calibri"/>
                <w:b/>
                <w:bCs/>
                <w:sz w:val="20"/>
                <w:szCs w:val="20"/>
              </w:rPr>
              <w:t>Aceptable</w:t>
            </w:r>
          </w:p>
        </w:tc>
      </w:tr>
      <w:tr w:rsidR="00F8181E" w:rsidRPr="006459D9" w14:paraId="1641CD26" w14:textId="77777777" w:rsidTr="00600D7E">
        <w:trPr>
          <w:trHeight w:val="5940"/>
        </w:trPr>
        <w:tc>
          <w:tcPr>
            <w:tcW w:w="93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7D518854"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lastRenderedPageBreak/>
              <w:t>Incumplimiento de pago por parte de los deudores de la cartera de crédito forestal.</w:t>
            </w:r>
          </w:p>
        </w:tc>
        <w:tc>
          <w:tcPr>
            <w:tcW w:w="15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3BE7F641"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39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4CDEE4AB"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Probable</w:t>
            </w:r>
          </w:p>
        </w:tc>
        <w:tc>
          <w:tcPr>
            <w:tcW w:w="128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1DF751C9" w14:textId="717D0CFB" w:rsidR="000F1AF4" w:rsidRPr="006459D9" w:rsidRDefault="000F1AF4" w:rsidP="00F8181E">
            <w:pPr>
              <w:jc w:val="both"/>
              <w:rPr>
                <w:rFonts w:ascii="Century Gothic" w:hAnsi="Century Gothic" w:cs="Calibri"/>
                <w:color w:val="000000"/>
                <w:sz w:val="20"/>
                <w:szCs w:val="20"/>
              </w:rPr>
            </w:pPr>
            <w:r w:rsidRPr="006459D9">
              <w:rPr>
                <w:rFonts w:ascii="Century Gothic" w:hAnsi="Century Gothic" w:cs="Calibri"/>
                <w:color w:val="000000"/>
                <w:sz w:val="20"/>
                <w:szCs w:val="20"/>
              </w:rPr>
              <w:t>La morosidad estructural en la cartera de crédito de FONAFIFO podría incrementarse de forma sostenida si se dieran condiciones externas adversas como la dependencia de mercados débiles, la volatilidad de precios de insumos y posibles crisis sectoriales. Estos factores afectarían la rentabilidad de los proyectos financiados y reducirían la capacidad de pago de los beneficiarios.</w:t>
            </w:r>
            <w:r w:rsidRPr="006459D9">
              <w:rPr>
                <w:rFonts w:ascii="Century Gothic" w:hAnsi="Century Gothic" w:cs="Calibri"/>
                <w:color w:val="000000"/>
                <w:sz w:val="20"/>
                <w:szCs w:val="20"/>
              </w:rPr>
              <w:br/>
              <w:t xml:space="preserve">Internamente, el riesgo </w:t>
            </w:r>
            <w:r w:rsidR="00F8181E" w:rsidRPr="006459D9">
              <w:rPr>
                <w:rFonts w:ascii="Century Gothic" w:hAnsi="Century Gothic" w:cs="Calibri"/>
                <w:color w:val="000000"/>
                <w:sz w:val="20"/>
                <w:szCs w:val="20"/>
              </w:rPr>
              <w:t>aumentaría</w:t>
            </w:r>
            <w:r w:rsidRPr="006459D9">
              <w:rPr>
                <w:rFonts w:ascii="Century Gothic" w:hAnsi="Century Gothic" w:cs="Calibri"/>
                <w:color w:val="000000"/>
                <w:sz w:val="20"/>
                <w:szCs w:val="20"/>
              </w:rPr>
              <w:t xml:space="preserve"> si se otorgaran crédito sin las herramientas para </w:t>
            </w:r>
            <w:r w:rsidR="00F8181E" w:rsidRPr="006459D9">
              <w:rPr>
                <w:rFonts w:ascii="Century Gothic" w:hAnsi="Century Gothic" w:cs="Calibri"/>
                <w:color w:val="000000"/>
                <w:sz w:val="20"/>
                <w:szCs w:val="20"/>
              </w:rPr>
              <w:t>realizar</w:t>
            </w:r>
            <w:r w:rsidRPr="006459D9">
              <w:rPr>
                <w:rFonts w:ascii="Century Gothic" w:hAnsi="Century Gothic" w:cs="Calibri"/>
                <w:color w:val="000000"/>
                <w:sz w:val="20"/>
                <w:szCs w:val="20"/>
              </w:rPr>
              <w:t xml:space="preserve"> un análisis riguroso, sin monitoreo adecuado ni alertas tempranas. La falta de diversificación, los enfoques de inclusión sin controles diferenciados y una baja eficiencia en los procesos de recuperación también </w:t>
            </w:r>
            <w:r w:rsidR="00F8181E" w:rsidRPr="006459D9">
              <w:rPr>
                <w:rFonts w:ascii="Century Gothic" w:hAnsi="Century Gothic" w:cs="Calibri"/>
                <w:color w:val="000000"/>
                <w:sz w:val="20"/>
                <w:szCs w:val="20"/>
              </w:rPr>
              <w:t>contribuirían</w:t>
            </w:r>
            <w:r w:rsidRPr="006459D9">
              <w:rPr>
                <w:rFonts w:ascii="Century Gothic" w:hAnsi="Century Gothic" w:cs="Calibri"/>
                <w:color w:val="000000"/>
                <w:sz w:val="20"/>
                <w:szCs w:val="20"/>
              </w:rPr>
              <w:t xml:space="preserve"> al deterioro de la cartera.</w:t>
            </w:r>
            <w:r w:rsidRPr="006459D9">
              <w:rPr>
                <w:rFonts w:ascii="Century Gothic" w:hAnsi="Century Gothic" w:cs="Calibri"/>
                <w:color w:val="000000"/>
                <w:sz w:val="20"/>
                <w:szCs w:val="20"/>
              </w:rPr>
              <w:br/>
              <w:t xml:space="preserve">Adicionalmente, factores como la inflación, la recesión económica, la alta rotación de personal y procesos institucionales lentos o débiles </w:t>
            </w:r>
            <w:r w:rsidR="00F8181E" w:rsidRPr="006459D9">
              <w:rPr>
                <w:rFonts w:ascii="Century Gothic" w:hAnsi="Century Gothic" w:cs="Calibri"/>
                <w:color w:val="000000"/>
                <w:sz w:val="20"/>
                <w:szCs w:val="20"/>
              </w:rPr>
              <w:t>limitarían</w:t>
            </w:r>
            <w:r w:rsidRPr="006459D9">
              <w:rPr>
                <w:rFonts w:ascii="Century Gothic" w:hAnsi="Century Gothic" w:cs="Calibri"/>
                <w:color w:val="000000"/>
                <w:sz w:val="20"/>
                <w:szCs w:val="20"/>
              </w:rPr>
              <w:t xml:space="preserve"> la capacidad de respuesta ante el incumplimiento. Si no se fortalecen los mecanismos de gestión del riesgo, la morosidad estructural tenderá a consolidarse y agravarse con el tiempo.</w:t>
            </w:r>
          </w:p>
        </w:tc>
        <w:tc>
          <w:tcPr>
            <w:tcW w:w="10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34094172"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39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62207972"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Alto</w:t>
            </w:r>
          </w:p>
        </w:tc>
        <w:tc>
          <w:tcPr>
            <w:tcW w:w="69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12DFEBC0" w14:textId="0F4B9273" w:rsidR="000F1AF4" w:rsidRPr="006459D9" w:rsidRDefault="000F1AF4" w:rsidP="00F8181E">
            <w:pPr>
              <w:jc w:val="both"/>
              <w:rPr>
                <w:rFonts w:ascii="Century Gothic" w:hAnsi="Century Gothic" w:cs="Calibri"/>
                <w:color w:val="000000"/>
                <w:sz w:val="20"/>
                <w:szCs w:val="20"/>
              </w:rPr>
            </w:pPr>
            <w:r w:rsidRPr="006459D9">
              <w:rPr>
                <w:rFonts w:ascii="Century Gothic" w:hAnsi="Century Gothic" w:cs="Calibri"/>
                <w:color w:val="000000"/>
                <w:sz w:val="20"/>
                <w:szCs w:val="20"/>
              </w:rPr>
              <w:t xml:space="preserve">Se </w:t>
            </w:r>
            <w:r w:rsidR="00F8181E" w:rsidRPr="006459D9">
              <w:rPr>
                <w:rFonts w:ascii="Century Gothic" w:hAnsi="Century Gothic" w:cs="Calibri"/>
                <w:color w:val="000000"/>
                <w:sz w:val="20"/>
                <w:szCs w:val="20"/>
              </w:rPr>
              <w:t>estaría</w:t>
            </w:r>
            <w:r w:rsidRPr="006459D9">
              <w:rPr>
                <w:rFonts w:ascii="Century Gothic" w:hAnsi="Century Gothic" w:cs="Calibri"/>
                <w:color w:val="000000"/>
                <w:sz w:val="20"/>
                <w:szCs w:val="20"/>
              </w:rPr>
              <w:t xml:space="preserve"> </w:t>
            </w:r>
            <w:r w:rsidR="00F8181E" w:rsidRPr="006459D9">
              <w:rPr>
                <w:rFonts w:ascii="Century Gothic" w:hAnsi="Century Gothic" w:cs="Calibri"/>
                <w:color w:val="000000"/>
                <w:sz w:val="20"/>
                <w:szCs w:val="20"/>
              </w:rPr>
              <w:t>enviando</w:t>
            </w:r>
            <w:r w:rsidRPr="006459D9">
              <w:rPr>
                <w:rFonts w:ascii="Century Gothic" w:hAnsi="Century Gothic" w:cs="Calibri"/>
                <w:color w:val="000000"/>
                <w:sz w:val="20"/>
                <w:szCs w:val="20"/>
              </w:rPr>
              <w:t xml:space="preserve"> señales negativas sobre la solidez técnica, la capacidad de gestión financiera y la eficiencia operativa de la cartera de crédito. Cuando la cartera presenta niveles persistentes de incumplimiento, se puede interpretar como un debilitamiento en los procesos de evaluación crediticia, seguimiento y recuperación, lo cual compromete la confianza de los actores clave: clientes, ente regulador y la ciudadanía en general.</w:t>
            </w:r>
          </w:p>
        </w:tc>
        <w:tc>
          <w:tcPr>
            <w:tcW w:w="36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C000"/>
            <w:vAlign w:val="center"/>
            <w:hideMark/>
          </w:tcPr>
          <w:p w14:paraId="3363D65B" w14:textId="77777777" w:rsidR="000F1AF4" w:rsidRPr="006459D9" w:rsidRDefault="000F1AF4" w:rsidP="000F1AF4">
            <w:pPr>
              <w:jc w:val="center"/>
              <w:rPr>
                <w:rFonts w:ascii="Century Gothic" w:hAnsi="Century Gothic" w:cs="Calibri"/>
                <w:b/>
                <w:bCs/>
                <w:color w:val="404040"/>
                <w:sz w:val="20"/>
                <w:szCs w:val="20"/>
              </w:rPr>
            </w:pPr>
            <w:r w:rsidRPr="00487040">
              <w:rPr>
                <w:rFonts w:ascii="Century Gothic" w:hAnsi="Century Gothic" w:cs="Calibri"/>
                <w:b/>
                <w:bCs/>
                <w:color w:val="404040"/>
                <w:szCs w:val="20"/>
              </w:rPr>
              <w:t>9</w:t>
            </w:r>
          </w:p>
        </w:tc>
        <w:tc>
          <w:tcPr>
            <w:tcW w:w="668"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18231DFA" w14:textId="77777777" w:rsidR="000F1AF4" w:rsidRPr="006459D9" w:rsidRDefault="000F1AF4" w:rsidP="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r w:rsidR="00F8181E" w:rsidRPr="006459D9" w14:paraId="0E3F05B8" w14:textId="77777777" w:rsidTr="00600D7E">
        <w:trPr>
          <w:trHeight w:val="3622"/>
        </w:trPr>
        <w:tc>
          <w:tcPr>
            <w:tcW w:w="93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E2EFDA"/>
            <w:vAlign w:val="center"/>
            <w:hideMark/>
          </w:tcPr>
          <w:p w14:paraId="7567EFA9"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lastRenderedPageBreak/>
              <w:t xml:space="preserve">Pérdida del posicionamiento del Fonafifo para captar recursos adicionales </w:t>
            </w:r>
          </w:p>
        </w:tc>
        <w:tc>
          <w:tcPr>
            <w:tcW w:w="15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2F6223D3"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39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63053230"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Probable</w:t>
            </w:r>
          </w:p>
        </w:tc>
        <w:tc>
          <w:tcPr>
            <w:tcW w:w="128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596341CA" w14:textId="77777777" w:rsidR="000F1AF4" w:rsidRPr="006459D9" w:rsidRDefault="000F1AF4" w:rsidP="000F1AF4">
            <w:pPr>
              <w:rPr>
                <w:rFonts w:ascii="Century Gothic" w:hAnsi="Century Gothic" w:cs="Calibri"/>
                <w:color w:val="000000"/>
                <w:sz w:val="20"/>
                <w:szCs w:val="20"/>
              </w:rPr>
            </w:pPr>
            <w:r w:rsidRPr="006459D9">
              <w:rPr>
                <w:rFonts w:ascii="Century Gothic" w:hAnsi="Century Gothic" w:cs="Calibri"/>
                <w:color w:val="000000"/>
                <w:sz w:val="20"/>
                <w:szCs w:val="20"/>
              </w:rPr>
              <w:t>Las empresas demandan proyectos que demuestren impactos sociales, ambientales y económicos, así como   proyectos que permitan un mayor posicionamiento publicitario. Decisiones internas superiores sobre firmas de convenios que afectan las negociaciones.</w:t>
            </w:r>
          </w:p>
        </w:tc>
        <w:tc>
          <w:tcPr>
            <w:tcW w:w="10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4FDFC0DE"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3</w:t>
            </w:r>
          </w:p>
        </w:tc>
        <w:tc>
          <w:tcPr>
            <w:tcW w:w="39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2F2F2"/>
            <w:vAlign w:val="center"/>
            <w:hideMark/>
          </w:tcPr>
          <w:p w14:paraId="55F6E05C" w14:textId="77777777" w:rsidR="000F1AF4" w:rsidRPr="006459D9" w:rsidRDefault="000F1AF4" w:rsidP="000F1AF4">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Alto</w:t>
            </w:r>
          </w:p>
        </w:tc>
        <w:tc>
          <w:tcPr>
            <w:tcW w:w="69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C1"/>
            <w:vAlign w:val="center"/>
            <w:hideMark/>
          </w:tcPr>
          <w:p w14:paraId="7B0A0FD8" w14:textId="01E059C6" w:rsidR="000F1AF4" w:rsidRPr="006459D9" w:rsidRDefault="000F1AF4" w:rsidP="00F8181E">
            <w:pPr>
              <w:jc w:val="both"/>
              <w:rPr>
                <w:rFonts w:ascii="Century Gothic" w:hAnsi="Century Gothic" w:cs="Calibri"/>
                <w:color w:val="000000"/>
                <w:sz w:val="20"/>
                <w:szCs w:val="20"/>
              </w:rPr>
            </w:pPr>
            <w:r w:rsidRPr="006459D9">
              <w:rPr>
                <w:rFonts w:ascii="Century Gothic" w:hAnsi="Century Gothic" w:cs="Calibri"/>
                <w:color w:val="000000"/>
                <w:sz w:val="20"/>
                <w:szCs w:val="20"/>
              </w:rPr>
              <w:t xml:space="preserve">Aunque en el 2025 existe una demanda alta por el uso de los hidrocarburos, en años posteriores se estima que se presentará una reducción de la captación del impuesto a los combustibles fósiles, entonces el </w:t>
            </w:r>
            <w:r w:rsidR="00F8181E" w:rsidRPr="006459D9">
              <w:rPr>
                <w:rFonts w:ascii="Century Gothic" w:hAnsi="Century Gothic" w:cs="Calibri"/>
                <w:color w:val="000000"/>
                <w:sz w:val="20"/>
                <w:szCs w:val="20"/>
              </w:rPr>
              <w:t>no</w:t>
            </w:r>
            <w:r w:rsidRPr="006459D9">
              <w:rPr>
                <w:rFonts w:ascii="Century Gothic" w:hAnsi="Century Gothic" w:cs="Calibri"/>
                <w:color w:val="000000"/>
                <w:sz w:val="20"/>
                <w:szCs w:val="20"/>
              </w:rPr>
              <w:t xml:space="preserve"> fortalecimiento de las alianzas con los clientes podría comprometer recursos adicionales </w:t>
            </w:r>
            <w:r w:rsidR="00F8181E" w:rsidRPr="006459D9">
              <w:rPr>
                <w:rFonts w:ascii="Century Gothic" w:hAnsi="Century Gothic" w:cs="Calibri"/>
                <w:color w:val="000000"/>
                <w:sz w:val="20"/>
                <w:szCs w:val="20"/>
              </w:rPr>
              <w:t>a la</w:t>
            </w:r>
            <w:r w:rsidRPr="006459D9">
              <w:rPr>
                <w:rFonts w:ascii="Century Gothic" w:hAnsi="Century Gothic" w:cs="Calibri"/>
                <w:color w:val="000000"/>
                <w:sz w:val="20"/>
                <w:szCs w:val="20"/>
              </w:rPr>
              <w:t xml:space="preserve"> institucionalidad. Que las dependencias internas institucionales no lleven </w:t>
            </w:r>
            <w:r w:rsidR="00F8181E" w:rsidRPr="006459D9">
              <w:rPr>
                <w:rFonts w:ascii="Century Gothic" w:hAnsi="Century Gothic" w:cs="Calibri"/>
                <w:color w:val="000000"/>
                <w:sz w:val="20"/>
                <w:szCs w:val="20"/>
              </w:rPr>
              <w:t>a cabo</w:t>
            </w:r>
            <w:r w:rsidRPr="006459D9">
              <w:rPr>
                <w:rFonts w:ascii="Century Gothic" w:hAnsi="Century Gothic" w:cs="Calibri"/>
                <w:color w:val="000000"/>
                <w:sz w:val="20"/>
                <w:szCs w:val="20"/>
              </w:rPr>
              <w:t xml:space="preserve"> el respectivo seguimiento de sus compromisos establecidos en los convenios. </w:t>
            </w:r>
          </w:p>
        </w:tc>
        <w:tc>
          <w:tcPr>
            <w:tcW w:w="367"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C000"/>
            <w:vAlign w:val="center"/>
            <w:hideMark/>
          </w:tcPr>
          <w:p w14:paraId="4C0EDD49" w14:textId="77777777" w:rsidR="000F1AF4" w:rsidRPr="006459D9" w:rsidRDefault="000F1AF4" w:rsidP="000F1AF4">
            <w:pPr>
              <w:jc w:val="center"/>
              <w:rPr>
                <w:rFonts w:ascii="Century Gothic" w:hAnsi="Century Gothic" w:cs="Calibri"/>
                <w:b/>
                <w:bCs/>
                <w:color w:val="404040"/>
                <w:sz w:val="20"/>
                <w:szCs w:val="20"/>
              </w:rPr>
            </w:pPr>
            <w:r w:rsidRPr="00487040">
              <w:rPr>
                <w:rFonts w:ascii="Century Gothic" w:hAnsi="Century Gothic" w:cs="Calibri"/>
                <w:b/>
                <w:bCs/>
                <w:color w:val="404040"/>
                <w:szCs w:val="20"/>
              </w:rPr>
              <w:t>9</w:t>
            </w:r>
          </w:p>
        </w:tc>
        <w:tc>
          <w:tcPr>
            <w:tcW w:w="668"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D0CECE"/>
            <w:vAlign w:val="center"/>
            <w:hideMark/>
          </w:tcPr>
          <w:p w14:paraId="714C1142" w14:textId="77777777" w:rsidR="000F1AF4" w:rsidRPr="006459D9" w:rsidRDefault="000F1AF4" w:rsidP="000F1AF4">
            <w:pPr>
              <w:jc w:val="center"/>
              <w:rPr>
                <w:rFonts w:ascii="Century Gothic" w:hAnsi="Century Gothic" w:cs="Calibri"/>
                <w:b/>
                <w:bCs/>
                <w:sz w:val="20"/>
                <w:szCs w:val="20"/>
              </w:rPr>
            </w:pPr>
            <w:r w:rsidRPr="006459D9">
              <w:rPr>
                <w:rFonts w:ascii="Century Gothic" w:hAnsi="Century Gothic" w:cs="Calibri"/>
                <w:b/>
                <w:bCs/>
                <w:sz w:val="20"/>
                <w:szCs w:val="20"/>
              </w:rPr>
              <w:t>Inaceptable</w:t>
            </w:r>
          </w:p>
        </w:tc>
      </w:tr>
    </w:tbl>
    <w:p w14:paraId="645D352D" w14:textId="77777777" w:rsidR="00487EEB" w:rsidRDefault="00487EEB" w:rsidP="00C1155B"/>
    <w:p w14:paraId="15928EE9" w14:textId="77777777" w:rsidR="00F8181E" w:rsidRDefault="00F8181E">
      <w:pPr>
        <w:spacing w:after="200" w:line="276" w:lineRule="auto"/>
        <w:rPr>
          <w:rFonts w:ascii="Arial" w:hAnsi="Arial" w:cs="Arial"/>
        </w:rPr>
      </w:pPr>
      <w:r>
        <w:rPr>
          <w:rFonts w:ascii="Arial" w:hAnsi="Arial" w:cs="Arial"/>
        </w:rPr>
        <w:br w:type="page"/>
      </w:r>
    </w:p>
    <w:p w14:paraId="09003EA0" w14:textId="5D1234FB" w:rsidR="0087076D" w:rsidRDefault="00F8181E" w:rsidP="00F8181E">
      <w:pPr>
        <w:jc w:val="center"/>
        <w:rPr>
          <w:rFonts w:ascii="Arial" w:hAnsi="Arial" w:cs="Arial"/>
        </w:rPr>
      </w:pPr>
      <w:r>
        <w:rPr>
          <w:rFonts w:ascii="Arial" w:hAnsi="Arial" w:cs="Arial"/>
        </w:rPr>
        <w:lastRenderedPageBreak/>
        <w:t>Anexo 3</w:t>
      </w:r>
      <w:r w:rsidRPr="006B75F7">
        <w:rPr>
          <w:rFonts w:ascii="Arial" w:hAnsi="Arial" w:cs="Arial"/>
        </w:rPr>
        <w:t xml:space="preserve">. Fase </w:t>
      </w:r>
      <w:r>
        <w:rPr>
          <w:rFonts w:ascii="Arial" w:hAnsi="Arial" w:cs="Arial"/>
        </w:rPr>
        <w:t>Análisis</w:t>
      </w:r>
      <w:r w:rsidRPr="006B75F7">
        <w:rPr>
          <w:rFonts w:ascii="Arial" w:hAnsi="Arial" w:cs="Arial"/>
        </w:rPr>
        <w:t xml:space="preserve"> </w:t>
      </w:r>
      <w:r>
        <w:rPr>
          <w:rFonts w:ascii="Arial" w:hAnsi="Arial" w:cs="Arial"/>
        </w:rPr>
        <w:t xml:space="preserve">con controles </w:t>
      </w:r>
      <w:r w:rsidR="00004005">
        <w:rPr>
          <w:rFonts w:ascii="Arial" w:hAnsi="Arial" w:cs="Arial"/>
        </w:rPr>
        <w:t>del SEVR</w:t>
      </w:r>
    </w:p>
    <w:p w14:paraId="1E875BD9" w14:textId="77777777" w:rsidR="00004005" w:rsidRDefault="00004005" w:rsidP="00F8181E">
      <w:pPr>
        <w:jc w:val="center"/>
        <w:rPr>
          <w:rFonts w:ascii="Arial" w:hAnsi="Arial" w:cs="Arial"/>
        </w:rPr>
      </w:pPr>
    </w:p>
    <w:tbl>
      <w:tblPr>
        <w:tblW w:w="5473" w:type="pct"/>
        <w:tblInd w:w="-57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4A0" w:firstRow="1" w:lastRow="0" w:firstColumn="1" w:lastColumn="0" w:noHBand="0" w:noVBand="1"/>
      </w:tblPr>
      <w:tblGrid>
        <w:gridCol w:w="1758"/>
        <w:gridCol w:w="897"/>
        <w:gridCol w:w="4643"/>
        <w:gridCol w:w="1079"/>
        <w:gridCol w:w="975"/>
        <w:gridCol w:w="1410"/>
        <w:gridCol w:w="1468"/>
        <w:gridCol w:w="897"/>
        <w:gridCol w:w="1292"/>
      </w:tblGrid>
      <w:tr w:rsidR="00600D7E" w:rsidRPr="00004005" w14:paraId="5AC510F1" w14:textId="77777777" w:rsidTr="00600D7E">
        <w:trPr>
          <w:trHeight w:val="1068"/>
          <w:tblHeader/>
        </w:trPr>
        <w:tc>
          <w:tcPr>
            <w:tcW w:w="610" w:type="pct"/>
            <w:vMerge w:val="restart"/>
            <w:shd w:val="clear" w:color="000000" w:fill="548235"/>
            <w:vAlign w:val="center"/>
            <w:hideMark/>
          </w:tcPr>
          <w:p w14:paraId="5D5EB564" w14:textId="77777777" w:rsidR="00004005" w:rsidRPr="00004005" w:rsidRDefault="00004005" w:rsidP="00625B53">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EVENTO DESENCADENANTE DEL RIESGO</w:t>
            </w:r>
          </w:p>
        </w:tc>
        <w:tc>
          <w:tcPr>
            <w:tcW w:w="311" w:type="pct"/>
            <w:vMerge w:val="restart"/>
            <w:shd w:val="clear" w:color="000000" w:fill="548235"/>
            <w:vAlign w:val="center"/>
            <w:hideMark/>
          </w:tcPr>
          <w:p w14:paraId="1561B55E"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 xml:space="preserve">NIVEL DE RIESGOS SIN MEDIDAS </w:t>
            </w:r>
          </w:p>
        </w:tc>
        <w:tc>
          <w:tcPr>
            <w:tcW w:w="1610" w:type="pct"/>
            <w:vMerge w:val="restart"/>
            <w:shd w:val="clear" w:color="000000" w:fill="548235"/>
            <w:vAlign w:val="center"/>
            <w:hideMark/>
          </w:tcPr>
          <w:p w14:paraId="60778A2C"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 xml:space="preserve">MEDIDAS ACTUALES PARA SU ADMINISTRACIÓN </w:t>
            </w:r>
          </w:p>
        </w:tc>
        <w:tc>
          <w:tcPr>
            <w:tcW w:w="374" w:type="pct"/>
            <w:vMerge w:val="restart"/>
            <w:shd w:val="clear" w:color="000000" w:fill="548235"/>
            <w:vAlign w:val="center"/>
            <w:hideMark/>
          </w:tcPr>
          <w:p w14:paraId="64FCAE92"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002060"/>
                <w:sz w:val="16"/>
                <w:szCs w:val="28"/>
              </w:rPr>
              <w:t>EFICIENCIA</w:t>
            </w:r>
            <w:r w:rsidRPr="00004005">
              <w:rPr>
                <w:rFonts w:ascii="Century Gothic" w:hAnsi="Century Gothic" w:cs="Calibri"/>
                <w:b/>
                <w:bCs/>
                <w:color w:val="FFFFFF"/>
                <w:sz w:val="16"/>
                <w:szCs w:val="28"/>
              </w:rPr>
              <w:t xml:space="preserve"> DE LAS MEDIDAS ACTUALES</w:t>
            </w:r>
          </w:p>
        </w:tc>
        <w:tc>
          <w:tcPr>
            <w:tcW w:w="338" w:type="pct"/>
            <w:vMerge w:val="restart"/>
            <w:shd w:val="clear" w:color="000000" w:fill="548235"/>
            <w:vAlign w:val="center"/>
            <w:hideMark/>
          </w:tcPr>
          <w:p w14:paraId="4CC20928"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 xml:space="preserve">EFICACIA DE LAS MEDIDAS ACTUALES </w:t>
            </w:r>
          </w:p>
        </w:tc>
        <w:tc>
          <w:tcPr>
            <w:tcW w:w="998" w:type="pct"/>
            <w:gridSpan w:val="2"/>
            <w:shd w:val="clear" w:color="000000" w:fill="548235"/>
            <w:vAlign w:val="center"/>
            <w:hideMark/>
          </w:tcPr>
          <w:p w14:paraId="4AE60F82"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Funcionalidad (efectividad) de controles</w:t>
            </w:r>
          </w:p>
        </w:tc>
        <w:tc>
          <w:tcPr>
            <w:tcW w:w="311" w:type="pct"/>
            <w:vMerge w:val="restart"/>
            <w:shd w:val="clear" w:color="000000" w:fill="548235"/>
            <w:vAlign w:val="center"/>
            <w:hideMark/>
          </w:tcPr>
          <w:p w14:paraId="76EDCF1B" w14:textId="77777777" w:rsidR="00004005" w:rsidRPr="00004005" w:rsidRDefault="00004005" w:rsidP="00004005">
            <w:pPr>
              <w:jc w:val="center"/>
              <w:rPr>
                <w:rFonts w:ascii="Century Gothic" w:hAnsi="Century Gothic" w:cs="Calibri"/>
                <w:b/>
                <w:bCs/>
                <w:color w:val="FFFFFF"/>
                <w:sz w:val="16"/>
                <w:szCs w:val="28"/>
              </w:rPr>
            </w:pPr>
            <w:r w:rsidRPr="00004005">
              <w:rPr>
                <w:rFonts w:ascii="Century Gothic" w:hAnsi="Century Gothic" w:cs="Calibri"/>
                <w:b/>
                <w:bCs/>
                <w:color w:val="FFFFFF"/>
                <w:sz w:val="16"/>
                <w:szCs w:val="28"/>
              </w:rPr>
              <w:t>NIVEL DE RIESGOS CON MEDIDAS</w:t>
            </w:r>
          </w:p>
        </w:tc>
        <w:tc>
          <w:tcPr>
            <w:tcW w:w="448" w:type="pct"/>
            <w:vMerge w:val="restart"/>
            <w:shd w:val="clear" w:color="000000" w:fill="548235"/>
            <w:vAlign w:val="center"/>
            <w:hideMark/>
          </w:tcPr>
          <w:p w14:paraId="1C2F39B2" w14:textId="77777777" w:rsidR="00004005" w:rsidRPr="00004005" w:rsidRDefault="00004005" w:rsidP="00004005">
            <w:pPr>
              <w:jc w:val="center"/>
              <w:rPr>
                <w:rFonts w:ascii="Century Gothic" w:hAnsi="Century Gothic" w:cs="Calibri"/>
                <w:b/>
                <w:bCs/>
                <w:color w:val="FFFFFF"/>
                <w:sz w:val="16"/>
                <w:szCs w:val="22"/>
              </w:rPr>
            </w:pPr>
            <w:r w:rsidRPr="00004005">
              <w:rPr>
                <w:rFonts w:ascii="Century Gothic" w:hAnsi="Century Gothic" w:cs="Calibri"/>
                <w:b/>
                <w:bCs/>
                <w:color w:val="FFFFFF"/>
                <w:sz w:val="16"/>
                <w:szCs w:val="22"/>
              </w:rPr>
              <w:t xml:space="preserve">ACEPTABILIDAD DEL RIESGO  </w:t>
            </w:r>
            <w:r w:rsidRPr="00004005">
              <w:rPr>
                <w:rFonts w:ascii="Century Gothic" w:hAnsi="Century Gothic" w:cs="Calibri"/>
                <w:b/>
                <w:bCs/>
                <w:color w:val="FFFFFF"/>
                <w:sz w:val="16"/>
                <w:szCs w:val="22"/>
              </w:rPr>
              <w:br/>
            </w:r>
            <w:r w:rsidRPr="00004005">
              <w:rPr>
                <w:rFonts w:ascii="Century Gothic" w:hAnsi="Century Gothic" w:cs="Calibri"/>
                <w:b/>
                <w:bCs/>
                <w:color w:val="FFFFFF"/>
                <w:sz w:val="16"/>
              </w:rPr>
              <w:t xml:space="preserve">CON CONTROLES </w:t>
            </w:r>
          </w:p>
        </w:tc>
      </w:tr>
      <w:tr w:rsidR="00600D7E" w:rsidRPr="00004005" w14:paraId="2914ED2B" w14:textId="77777777" w:rsidTr="00600D7E">
        <w:trPr>
          <w:trHeight w:val="68"/>
          <w:tblHeader/>
        </w:trPr>
        <w:tc>
          <w:tcPr>
            <w:tcW w:w="610" w:type="pct"/>
            <w:vMerge/>
            <w:vAlign w:val="center"/>
            <w:hideMark/>
          </w:tcPr>
          <w:p w14:paraId="5527DEFE" w14:textId="77777777" w:rsidR="00004005" w:rsidRPr="00004005" w:rsidRDefault="00004005" w:rsidP="00004005">
            <w:pPr>
              <w:rPr>
                <w:rFonts w:ascii="Century Gothic" w:hAnsi="Century Gothic" w:cs="Calibri"/>
                <w:b/>
                <w:bCs/>
                <w:color w:val="FFFFFF"/>
                <w:sz w:val="28"/>
                <w:szCs w:val="28"/>
              </w:rPr>
            </w:pPr>
          </w:p>
        </w:tc>
        <w:tc>
          <w:tcPr>
            <w:tcW w:w="311" w:type="pct"/>
            <w:vMerge/>
            <w:vAlign w:val="center"/>
            <w:hideMark/>
          </w:tcPr>
          <w:p w14:paraId="75A29042" w14:textId="77777777" w:rsidR="00004005" w:rsidRPr="00004005" w:rsidRDefault="00004005" w:rsidP="00004005">
            <w:pPr>
              <w:rPr>
                <w:rFonts w:ascii="Century Gothic" w:hAnsi="Century Gothic" w:cs="Calibri"/>
                <w:b/>
                <w:bCs/>
                <w:color w:val="FFFFFF"/>
                <w:sz w:val="28"/>
                <w:szCs w:val="28"/>
              </w:rPr>
            </w:pPr>
          </w:p>
        </w:tc>
        <w:tc>
          <w:tcPr>
            <w:tcW w:w="1610" w:type="pct"/>
            <w:vMerge/>
            <w:vAlign w:val="center"/>
            <w:hideMark/>
          </w:tcPr>
          <w:p w14:paraId="788539F2" w14:textId="77777777" w:rsidR="00004005" w:rsidRPr="00004005" w:rsidRDefault="00004005" w:rsidP="00004005">
            <w:pPr>
              <w:rPr>
                <w:rFonts w:ascii="Century Gothic" w:hAnsi="Century Gothic" w:cs="Calibri"/>
                <w:b/>
                <w:bCs/>
                <w:color w:val="FFFFFF"/>
                <w:sz w:val="28"/>
                <w:szCs w:val="28"/>
              </w:rPr>
            </w:pPr>
          </w:p>
        </w:tc>
        <w:tc>
          <w:tcPr>
            <w:tcW w:w="374" w:type="pct"/>
            <w:vMerge/>
            <w:vAlign w:val="center"/>
            <w:hideMark/>
          </w:tcPr>
          <w:p w14:paraId="2A0CF06D" w14:textId="77777777" w:rsidR="00004005" w:rsidRPr="00004005" w:rsidRDefault="00004005" w:rsidP="00004005">
            <w:pPr>
              <w:rPr>
                <w:rFonts w:ascii="Century Gothic" w:hAnsi="Century Gothic" w:cs="Calibri"/>
                <w:b/>
                <w:bCs/>
                <w:color w:val="FFFFFF"/>
                <w:sz w:val="28"/>
                <w:szCs w:val="28"/>
              </w:rPr>
            </w:pPr>
          </w:p>
        </w:tc>
        <w:tc>
          <w:tcPr>
            <w:tcW w:w="338" w:type="pct"/>
            <w:vMerge/>
            <w:vAlign w:val="center"/>
            <w:hideMark/>
          </w:tcPr>
          <w:p w14:paraId="4D7054A6" w14:textId="77777777" w:rsidR="00004005" w:rsidRPr="00004005" w:rsidRDefault="00004005" w:rsidP="00004005">
            <w:pPr>
              <w:rPr>
                <w:rFonts w:ascii="Century Gothic" w:hAnsi="Century Gothic" w:cs="Calibri"/>
                <w:b/>
                <w:bCs/>
                <w:color w:val="FFFFFF"/>
                <w:sz w:val="28"/>
                <w:szCs w:val="28"/>
              </w:rPr>
            </w:pPr>
          </w:p>
        </w:tc>
        <w:tc>
          <w:tcPr>
            <w:tcW w:w="489" w:type="pct"/>
            <w:shd w:val="clear" w:color="000000" w:fill="548235"/>
            <w:vAlign w:val="center"/>
            <w:hideMark/>
          </w:tcPr>
          <w:p w14:paraId="696C2FFB" w14:textId="77777777" w:rsidR="00004005" w:rsidRPr="00004005" w:rsidRDefault="00004005" w:rsidP="00004005">
            <w:pPr>
              <w:jc w:val="center"/>
              <w:rPr>
                <w:rFonts w:ascii="Century Gothic" w:hAnsi="Century Gothic" w:cs="Calibri"/>
                <w:b/>
                <w:bCs/>
                <w:color w:val="FFFFFF"/>
                <w:sz w:val="20"/>
                <w:szCs w:val="28"/>
              </w:rPr>
            </w:pPr>
            <w:r w:rsidRPr="00004005">
              <w:rPr>
                <w:rFonts w:ascii="Century Gothic" w:hAnsi="Century Gothic" w:cs="Calibri"/>
                <w:b/>
                <w:bCs/>
                <w:color w:val="FFFFFF"/>
                <w:sz w:val="20"/>
                <w:szCs w:val="28"/>
              </w:rPr>
              <w:t xml:space="preserve">Calificación </w:t>
            </w:r>
          </w:p>
        </w:tc>
        <w:tc>
          <w:tcPr>
            <w:tcW w:w="509" w:type="pct"/>
            <w:shd w:val="clear" w:color="000000" w:fill="548235"/>
            <w:vAlign w:val="center"/>
            <w:hideMark/>
          </w:tcPr>
          <w:p w14:paraId="76799B8E" w14:textId="77777777" w:rsidR="00004005" w:rsidRPr="00004005" w:rsidRDefault="00004005" w:rsidP="00004005">
            <w:pPr>
              <w:jc w:val="center"/>
              <w:rPr>
                <w:rFonts w:ascii="Century Gothic" w:hAnsi="Century Gothic" w:cs="Calibri"/>
                <w:b/>
                <w:bCs/>
                <w:color w:val="FFFFFF"/>
                <w:sz w:val="20"/>
                <w:szCs w:val="28"/>
              </w:rPr>
            </w:pPr>
            <w:r w:rsidRPr="00004005">
              <w:rPr>
                <w:rFonts w:ascii="Century Gothic" w:hAnsi="Century Gothic" w:cs="Calibri"/>
                <w:b/>
                <w:bCs/>
                <w:color w:val="FFFFFF"/>
                <w:sz w:val="20"/>
                <w:szCs w:val="28"/>
              </w:rPr>
              <w:t>Promedio</w:t>
            </w:r>
          </w:p>
        </w:tc>
        <w:tc>
          <w:tcPr>
            <w:tcW w:w="311" w:type="pct"/>
            <w:vMerge/>
            <w:vAlign w:val="center"/>
            <w:hideMark/>
          </w:tcPr>
          <w:p w14:paraId="32517B97" w14:textId="77777777" w:rsidR="00004005" w:rsidRPr="00004005" w:rsidRDefault="00004005" w:rsidP="00004005">
            <w:pPr>
              <w:rPr>
                <w:rFonts w:ascii="Century Gothic" w:hAnsi="Century Gothic" w:cs="Calibri"/>
                <w:b/>
                <w:bCs/>
                <w:color w:val="FFFFFF"/>
                <w:sz w:val="28"/>
                <w:szCs w:val="28"/>
              </w:rPr>
            </w:pPr>
          </w:p>
        </w:tc>
        <w:tc>
          <w:tcPr>
            <w:tcW w:w="448" w:type="pct"/>
            <w:vMerge/>
            <w:vAlign w:val="center"/>
            <w:hideMark/>
          </w:tcPr>
          <w:p w14:paraId="7AFF23FF" w14:textId="77777777" w:rsidR="00004005" w:rsidRPr="00004005" w:rsidRDefault="00004005" w:rsidP="00004005">
            <w:pPr>
              <w:rPr>
                <w:rFonts w:ascii="Century Gothic" w:hAnsi="Century Gothic" w:cs="Calibri"/>
                <w:b/>
                <w:bCs/>
                <w:color w:val="FFFFFF"/>
                <w:sz w:val="22"/>
                <w:szCs w:val="22"/>
              </w:rPr>
            </w:pPr>
          </w:p>
        </w:tc>
      </w:tr>
      <w:tr w:rsidR="00600D7E" w:rsidRPr="00004005" w14:paraId="638D64EA" w14:textId="77777777" w:rsidTr="00600D7E">
        <w:trPr>
          <w:trHeight w:val="706"/>
        </w:trPr>
        <w:tc>
          <w:tcPr>
            <w:tcW w:w="610" w:type="pct"/>
            <w:vMerge w:val="restart"/>
            <w:shd w:val="clear" w:color="auto" w:fill="auto"/>
            <w:vAlign w:val="center"/>
            <w:hideMark/>
          </w:tcPr>
          <w:p w14:paraId="22DB4418"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Incumplimiento de los compromisos estratégicos</w:t>
            </w:r>
          </w:p>
        </w:tc>
        <w:tc>
          <w:tcPr>
            <w:tcW w:w="311" w:type="pct"/>
            <w:vMerge w:val="restart"/>
            <w:shd w:val="clear" w:color="000000" w:fill="FFC000"/>
            <w:vAlign w:val="center"/>
            <w:hideMark/>
          </w:tcPr>
          <w:p w14:paraId="50D00C68" w14:textId="77777777" w:rsidR="00004005" w:rsidRPr="00004005" w:rsidRDefault="00004005" w:rsidP="00004005">
            <w:pPr>
              <w:jc w:val="center"/>
              <w:rPr>
                <w:rFonts w:ascii="Century Gothic" w:hAnsi="Century Gothic" w:cs="Calibri"/>
                <w:b/>
                <w:bCs/>
                <w:color w:val="404040"/>
                <w:sz w:val="20"/>
                <w:szCs w:val="20"/>
              </w:rPr>
            </w:pPr>
            <w:r w:rsidRPr="00004005">
              <w:rPr>
                <w:rFonts w:ascii="Century Gothic" w:hAnsi="Century Gothic" w:cs="Calibri"/>
                <w:b/>
                <w:bCs/>
                <w:color w:val="404040"/>
                <w:sz w:val="20"/>
                <w:szCs w:val="20"/>
              </w:rPr>
              <w:t>5</w:t>
            </w:r>
          </w:p>
        </w:tc>
        <w:tc>
          <w:tcPr>
            <w:tcW w:w="1610" w:type="pct"/>
            <w:shd w:val="clear" w:color="auto" w:fill="auto"/>
            <w:vAlign w:val="center"/>
            <w:hideMark/>
          </w:tcPr>
          <w:p w14:paraId="5878DAC1"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Proceso de mejora regulatoria ante el MEIC de los programas sustantivos. </w:t>
            </w:r>
          </w:p>
        </w:tc>
        <w:tc>
          <w:tcPr>
            <w:tcW w:w="374" w:type="pct"/>
            <w:shd w:val="clear" w:color="auto" w:fill="auto"/>
            <w:vAlign w:val="center"/>
            <w:hideMark/>
          </w:tcPr>
          <w:p w14:paraId="2F6D0A50"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338" w:type="pct"/>
            <w:shd w:val="clear" w:color="auto" w:fill="auto"/>
            <w:vAlign w:val="center"/>
            <w:hideMark/>
          </w:tcPr>
          <w:p w14:paraId="05315DA2"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489" w:type="pct"/>
            <w:shd w:val="clear" w:color="auto" w:fill="auto"/>
            <w:vAlign w:val="center"/>
            <w:hideMark/>
          </w:tcPr>
          <w:p w14:paraId="51E1B6AA"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2</w:t>
            </w:r>
          </w:p>
        </w:tc>
        <w:tc>
          <w:tcPr>
            <w:tcW w:w="509" w:type="pct"/>
            <w:vMerge w:val="restart"/>
            <w:shd w:val="clear" w:color="auto" w:fill="auto"/>
            <w:vAlign w:val="center"/>
            <w:hideMark/>
          </w:tcPr>
          <w:p w14:paraId="5B29750B"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11" w:type="pct"/>
            <w:vMerge w:val="restart"/>
            <w:shd w:val="clear" w:color="000000" w:fill="C6E0B4"/>
            <w:vAlign w:val="center"/>
            <w:hideMark/>
          </w:tcPr>
          <w:p w14:paraId="607C064E"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448" w:type="pct"/>
            <w:vMerge w:val="restart"/>
            <w:shd w:val="clear" w:color="000000" w:fill="FFFFFF"/>
            <w:vAlign w:val="center"/>
            <w:hideMark/>
          </w:tcPr>
          <w:p w14:paraId="110AB9FA" w14:textId="77777777" w:rsidR="00004005" w:rsidRPr="00004005" w:rsidRDefault="00004005" w:rsidP="00004005">
            <w:pPr>
              <w:jc w:val="center"/>
              <w:rPr>
                <w:rFonts w:ascii="Century Gothic" w:hAnsi="Century Gothic" w:cs="Calibri"/>
                <w:b/>
                <w:bCs/>
                <w:sz w:val="20"/>
                <w:szCs w:val="20"/>
              </w:rPr>
            </w:pPr>
            <w:r w:rsidRPr="00004005">
              <w:rPr>
                <w:rFonts w:ascii="Century Gothic" w:hAnsi="Century Gothic" w:cs="Calibri"/>
                <w:b/>
                <w:bCs/>
                <w:sz w:val="20"/>
                <w:szCs w:val="20"/>
              </w:rPr>
              <w:t>Aceptable</w:t>
            </w:r>
          </w:p>
        </w:tc>
      </w:tr>
      <w:tr w:rsidR="00600D7E" w:rsidRPr="00004005" w14:paraId="48455836" w14:textId="77777777" w:rsidTr="00600D7E">
        <w:trPr>
          <w:trHeight w:val="385"/>
        </w:trPr>
        <w:tc>
          <w:tcPr>
            <w:tcW w:w="610" w:type="pct"/>
            <w:vMerge/>
            <w:vAlign w:val="center"/>
            <w:hideMark/>
          </w:tcPr>
          <w:p w14:paraId="42654E95"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43848158"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4D62F74B"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Auditorias de la marca Esencial Costa Rica. </w:t>
            </w:r>
          </w:p>
        </w:tc>
        <w:tc>
          <w:tcPr>
            <w:tcW w:w="374" w:type="pct"/>
            <w:shd w:val="clear" w:color="auto" w:fill="auto"/>
            <w:vAlign w:val="center"/>
            <w:hideMark/>
          </w:tcPr>
          <w:p w14:paraId="68B5C86B"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38" w:type="pct"/>
            <w:shd w:val="clear" w:color="auto" w:fill="auto"/>
            <w:vAlign w:val="center"/>
            <w:hideMark/>
          </w:tcPr>
          <w:p w14:paraId="20D69859"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639F6240"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509" w:type="pct"/>
            <w:vMerge/>
            <w:vAlign w:val="center"/>
            <w:hideMark/>
          </w:tcPr>
          <w:p w14:paraId="74891BDF"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4AFF260F"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3963E497" w14:textId="77777777" w:rsidR="00004005" w:rsidRPr="00004005" w:rsidRDefault="00004005" w:rsidP="00004005">
            <w:pPr>
              <w:rPr>
                <w:rFonts w:ascii="Century Gothic" w:hAnsi="Century Gothic" w:cs="Calibri"/>
                <w:b/>
                <w:bCs/>
                <w:sz w:val="20"/>
                <w:szCs w:val="20"/>
              </w:rPr>
            </w:pPr>
          </w:p>
        </w:tc>
      </w:tr>
      <w:tr w:rsidR="00600D7E" w:rsidRPr="00004005" w14:paraId="34ECAFA0" w14:textId="77777777" w:rsidTr="00600D7E">
        <w:trPr>
          <w:trHeight w:val="385"/>
        </w:trPr>
        <w:tc>
          <w:tcPr>
            <w:tcW w:w="610" w:type="pct"/>
            <w:vMerge/>
            <w:vAlign w:val="center"/>
            <w:hideMark/>
          </w:tcPr>
          <w:p w14:paraId="2755E3EA"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251548BF"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3C949ED4"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Seguimiento a la mejoras recibidas ante la Contraloría de Servicios.</w:t>
            </w:r>
          </w:p>
        </w:tc>
        <w:tc>
          <w:tcPr>
            <w:tcW w:w="374" w:type="pct"/>
            <w:shd w:val="clear" w:color="auto" w:fill="auto"/>
            <w:vAlign w:val="center"/>
            <w:hideMark/>
          </w:tcPr>
          <w:p w14:paraId="2C9E03E2"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38" w:type="pct"/>
            <w:shd w:val="clear" w:color="auto" w:fill="auto"/>
            <w:vAlign w:val="center"/>
            <w:hideMark/>
          </w:tcPr>
          <w:p w14:paraId="4507B8E9"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544DAB3E"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509" w:type="pct"/>
            <w:vMerge/>
            <w:vAlign w:val="center"/>
            <w:hideMark/>
          </w:tcPr>
          <w:p w14:paraId="42AF593E"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5BFF72B1"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71DFE1F7" w14:textId="77777777" w:rsidR="00004005" w:rsidRPr="00004005" w:rsidRDefault="00004005" w:rsidP="00004005">
            <w:pPr>
              <w:rPr>
                <w:rFonts w:ascii="Century Gothic" w:hAnsi="Century Gothic" w:cs="Calibri"/>
                <w:b/>
                <w:bCs/>
                <w:sz w:val="20"/>
                <w:szCs w:val="20"/>
              </w:rPr>
            </w:pPr>
          </w:p>
        </w:tc>
      </w:tr>
      <w:tr w:rsidR="00600D7E" w:rsidRPr="00004005" w14:paraId="6A93534A" w14:textId="77777777" w:rsidTr="00600D7E">
        <w:trPr>
          <w:trHeight w:val="706"/>
        </w:trPr>
        <w:tc>
          <w:tcPr>
            <w:tcW w:w="610" w:type="pct"/>
            <w:vMerge/>
            <w:vAlign w:val="center"/>
            <w:hideMark/>
          </w:tcPr>
          <w:p w14:paraId="771A605E"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49EFEEC8"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14A85995"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Evento de rendición de cuentas de los resultados anuales de la institución. </w:t>
            </w:r>
          </w:p>
        </w:tc>
        <w:tc>
          <w:tcPr>
            <w:tcW w:w="374" w:type="pct"/>
            <w:shd w:val="clear" w:color="auto" w:fill="auto"/>
            <w:vAlign w:val="center"/>
            <w:hideMark/>
          </w:tcPr>
          <w:p w14:paraId="19816453"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338" w:type="pct"/>
            <w:shd w:val="clear" w:color="auto" w:fill="auto"/>
            <w:vAlign w:val="center"/>
            <w:hideMark/>
          </w:tcPr>
          <w:p w14:paraId="13F28AAA"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489" w:type="pct"/>
            <w:shd w:val="clear" w:color="auto" w:fill="auto"/>
            <w:vAlign w:val="center"/>
            <w:hideMark/>
          </w:tcPr>
          <w:p w14:paraId="5ABE4C4F"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2</w:t>
            </w:r>
          </w:p>
        </w:tc>
        <w:tc>
          <w:tcPr>
            <w:tcW w:w="509" w:type="pct"/>
            <w:vMerge/>
            <w:vAlign w:val="center"/>
            <w:hideMark/>
          </w:tcPr>
          <w:p w14:paraId="51826783"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12C9ED40"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679F6FDD" w14:textId="77777777" w:rsidR="00004005" w:rsidRPr="00004005" w:rsidRDefault="00004005" w:rsidP="00004005">
            <w:pPr>
              <w:rPr>
                <w:rFonts w:ascii="Century Gothic" w:hAnsi="Century Gothic" w:cs="Calibri"/>
                <w:b/>
                <w:bCs/>
                <w:sz w:val="20"/>
                <w:szCs w:val="20"/>
              </w:rPr>
            </w:pPr>
          </w:p>
        </w:tc>
      </w:tr>
      <w:tr w:rsidR="00600D7E" w:rsidRPr="00004005" w14:paraId="0F3960A2" w14:textId="77777777" w:rsidTr="00600D7E">
        <w:trPr>
          <w:trHeight w:val="954"/>
        </w:trPr>
        <w:tc>
          <w:tcPr>
            <w:tcW w:w="610" w:type="pct"/>
            <w:vMerge/>
            <w:vAlign w:val="center"/>
            <w:hideMark/>
          </w:tcPr>
          <w:p w14:paraId="30EF2E34"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62CC3F14"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509CD953"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Participación de eventos de promoción que participa la Contraloría de Servicios.</w:t>
            </w:r>
          </w:p>
        </w:tc>
        <w:tc>
          <w:tcPr>
            <w:tcW w:w="374" w:type="pct"/>
            <w:shd w:val="clear" w:color="auto" w:fill="auto"/>
            <w:vAlign w:val="center"/>
            <w:hideMark/>
          </w:tcPr>
          <w:p w14:paraId="2C4A370B"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38" w:type="pct"/>
            <w:shd w:val="clear" w:color="auto" w:fill="auto"/>
            <w:vAlign w:val="center"/>
            <w:hideMark/>
          </w:tcPr>
          <w:p w14:paraId="362E7E6F"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30B52F35"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509" w:type="pct"/>
            <w:vMerge/>
            <w:vAlign w:val="center"/>
            <w:hideMark/>
          </w:tcPr>
          <w:p w14:paraId="31E0D7A6"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19BDDB84"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239B131F" w14:textId="77777777" w:rsidR="00004005" w:rsidRPr="00004005" w:rsidRDefault="00004005" w:rsidP="00004005">
            <w:pPr>
              <w:rPr>
                <w:rFonts w:ascii="Century Gothic" w:hAnsi="Century Gothic" w:cs="Calibri"/>
                <w:b/>
                <w:bCs/>
                <w:sz w:val="20"/>
                <w:szCs w:val="20"/>
              </w:rPr>
            </w:pPr>
          </w:p>
        </w:tc>
      </w:tr>
      <w:tr w:rsidR="00600D7E" w:rsidRPr="00004005" w14:paraId="04FB6066" w14:textId="77777777" w:rsidTr="00600D7E">
        <w:trPr>
          <w:trHeight w:val="905"/>
        </w:trPr>
        <w:tc>
          <w:tcPr>
            <w:tcW w:w="610" w:type="pct"/>
            <w:vMerge/>
            <w:vAlign w:val="center"/>
            <w:hideMark/>
          </w:tcPr>
          <w:p w14:paraId="273CEE8F"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6798B744"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68BBAB4E" w14:textId="7C85C210"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Publicaciones en las redes sociales sobre alerta de actos fraudulentos. </w:t>
            </w:r>
          </w:p>
        </w:tc>
        <w:tc>
          <w:tcPr>
            <w:tcW w:w="374" w:type="pct"/>
            <w:shd w:val="clear" w:color="auto" w:fill="auto"/>
            <w:vAlign w:val="center"/>
            <w:hideMark/>
          </w:tcPr>
          <w:p w14:paraId="02A7B5FE"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38" w:type="pct"/>
            <w:shd w:val="clear" w:color="auto" w:fill="auto"/>
            <w:vAlign w:val="center"/>
            <w:hideMark/>
          </w:tcPr>
          <w:p w14:paraId="76FD7EE7"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75FA5582"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509" w:type="pct"/>
            <w:vMerge/>
            <w:vAlign w:val="center"/>
            <w:hideMark/>
          </w:tcPr>
          <w:p w14:paraId="1FAF5B3B"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254BBBC7"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656F96DC" w14:textId="77777777" w:rsidR="00004005" w:rsidRPr="00004005" w:rsidRDefault="00004005" w:rsidP="00004005">
            <w:pPr>
              <w:rPr>
                <w:rFonts w:ascii="Century Gothic" w:hAnsi="Century Gothic" w:cs="Calibri"/>
                <w:b/>
                <w:bCs/>
                <w:sz w:val="20"/>
                <w:szCs w:val="20"/>
              </w:rPr>
            </w:pPr>
          </w:p>
        </w:tc>
      </w:tr>
      <w:tr w:rsidR="00600D7E" w:rsidRPr="00004005" w14:paraId="269E9077" w14:textId="77777777" w:rsidTr="00600D7E">
        <w:trPr>
          <w:trHeight w:val="657"/>
        </w:trPr>
        <w:tc>
          <w:tcPr>
            <w:tcW w:w="610" w:type="pct"/>
            <w:vMerge/>
            <w:vAlign w:val="center"/>
            <w:hideMark/>
          </w:tcPr>
          <w:p w14:paraId="3AADE0CD"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3B95F7B5"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034CAF6D"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Evaluación de la calidad de los servicios sustantivos.</w:t>
            </w:r>
          </w:p>
        </w:tc>
        <w:tc>
          <w:tcPr>
            <w:tcW w:w="374" w:type="pct"/>
            <w:shd w:val="clear" w:color="auto" w:fill="auto"/>
            <w:vAlign w:val="center"/>
            <w:hideMark/>
          </w:tcPr>
          <w:p w14:paraId="2FF2A5D1"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338" w:type="pct"/>
            <w:shd w:val="clear" w:color="auto" w:fill="auto"/>
            <w:vAlign w:val="center"/>
            <w:hideMark/>
          </w:tcPr>
          <w:p w14:paraId="0AD005C5"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489" w:type="pct"/>
            <w:shd w:val="clear" w:color="auto" w:fill="auto"/>
            <w:vAlign w:val="center"/>
            <w:hideMark/>
          </w:tcPr>
          <w:p w14:paraId="6979FB94"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2</w:t>
            </w:r>
          </w:p>
        </w:tc>
        <w:tc>
          <w:tcPr>
            <w:tcW w:w="509" w:type="pct"/>
            <w:vMerge/>
            <w:vAlign w:val="center"/>
            <w:hideMark/>
          </w:tcPr>
          <w:p w14:paraId="07B552A2"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522FB99D"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0BF08EAF" w14:textId="77777777" w:rsidR="00004005" w:rsidRPr="00004005" w:rsidRDefault="00004005" w:rsidP="00004005">
            <w:pPr>
              <w:rPr>
                <w:rFonts w:ascii="Century Gothic" w:hAnsi="Century Gothic" w:cs="Calibri"/>
                <w:b/>
                <w:bCs/>
                <w:sz w:val="20"/>
                <w:szCs w:val="20"/>
              </w:rPr>
            </w:pPr>
          </w:p>
        </w:tc>
      </w:tr>
      <w:tr w:rsidR="00600D7E" w:rsidRPr="00004005" w14:paraId="2DAB9E45" w14:textId="77777777" w:rsidTr="00600D7E">
        <w:trPr>
          <w:trHeight w:val="1180"/>
        </w:trPr>
        <w:tc>
          <w:tcPr>
            <w:tcW w:w="610" w:type="pct"/>
            <w:vMerge/>
            <w:vAlign w:val="center"/>
            <w:hideMark/>
          </w:tcPr>
          <w:p w14:paraId="2C18E43F"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51F91582"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5BBB0726"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Se cuenta con un profesional experto en ciberseguridad para la capacitación y seguimientos de actos sospechoso de fraude electrónico. </w:t>
            </w:r>
          </w:p>
        </w:tc>
        <w:tc>
          <w:tcPr>
            <w:tcW w:w="374" w:type="pct"/>
            <w:shd w:val="clear" w:color="auto" w:fill="auto"/>
            <w:vAlign w:val="center"/>
            <w:hideMark/>
          </w:tcPr>
          <w:p w14:paraId="310E1E5D"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38" w:type="pct"/>
            <w:shd w:val="clear" w:color="auto" w:fill="auto"/>
            <w:vAlign w:val="center"/>
            <w:hideMark/>
          </w:tcPr>
          <w:p w14:paraId="05AF9C4C"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3D0BC02A" w14:textId="5D1DC6FF"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 </w:t>
            </w:r>
            <w:r>
              <w:rPr>
                <w:rFonts w:ascii="Century Gothic" w:hAnsi="Century Gothic" w:cs="Calibri"/>
                <w:color w:val="000000"/>
                <w:sz w:val="20"/>
                <w:szCs w:val="20"/>
              </w:rPr>
              <w:t>3</w:t>
            </w:r>
          </w:p>
        </w:tc>
        <w:tc>
          <w:tcPr>
            <w:tcW w:w="509" w:type="pct"/>
            <w:vMerge/>
            <w:vAlign w:val="center"/>
            <w:hideMark/>
          </w:tcPr>
          <w:p w14:paraId="06D7D9B6"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21C7D56A"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0A530320" w14:textId="77777777" w:rsidR="00004005" w:rsidRPr="00004005" w:rsidRDefault="00004005" w:rsidP="00004005">
            <w:pPr>
              <w:rPr>
                <w:rFonts w:ascii="Century Gothic" w:hAnsi="Century Gothic" w:cs="Calibri"/>
                <w:b/>
                <w:bCs/>
                <w:sz w:val="20"/>
                <w:szCs w:val="20"/>
              </w:rPr>
            </w:pPr>
          </w:p>
        </w:tc>
      </w:tr>
      <w:tr w:rsidR="00600D7E" w:rsidRPr="00004005" w14:paraId="5DCB6F2B" w14:textId="77777777" w:rsidTr="00600D7E">
        <w:trPr>
          <w:trHeight w:val="513"/>
        </w:trPr>
        <w:tc>
          <w:tcPr>
            <w:tcW w:w="610" w:type="pct"/>
            <w:vMerge/>
            <w:vAlign w:val="center"/>
            <w:hideMark/>
          </w:tcPr>
          <w:p w14:paraId="2BE38706" w14:textId="77777777" w:rsidR="00004005" w:rsidRPr="00004005" w:rsidRDefault="00004005" w:rsidP="00004005">
            <w:pPr>
              <w:rPr>
                <w:rFonts w:ascii="Century Gothic" w:hAnsi="Century Gothic" w:cs="Calibri"/>
                <w:color w:val="000000"/>
                <w:sz w:val="20"/>
                <w:szCs w:val="20"/>
              </w:rPr>
            </w:pPr>
          </w:p>
        </w:tc>
        <w:tc>
          <w:tcPr>
            <w:tcW w:w="311" w:type="pct"/>
            <w:vMerge/>
            <w:vAlign w:val="center"/>
            <w:hideMark/>
          </w:tcPr>
          <w:p w14:paraId="52BFAF5F" w14:textId="77777777" w:rsidR="00004005" w:rsidRPr="00004005" w:rsidRDefault="00004005" w:rsidP="00004005">
            <w:pPr>
              <w:rPr>
                <w:rFonts w:ascii="Century Gothic" w:hAnsi="Century Gothic" w:cs="Calibri"/>
                <w:b/>
                <w:bCs/>
                <w:color w:val="404040"/>
                <w:sz w:val="20"/>
                <w:szCs w:val="20"/>
              </w:rPr>
            </w:pPr>
          </w:p>
        </w:tc>
        <w:tc>
          <w:tcPr>
            <w:tcW w:w="1610" w:type="pct"/>
            <w:shd w:val="clear" w:color="auto" w:fill="auto"/>
            <w:vAlign w:val="center"/>
            <w:hideMark/>
          </w:tcPr>
          <w:p w14:paraId="52ADC532" w14:textId="080EB0E8" w:rsidR="00004005" w:rsidRPr="00004005" w:rsidRDefault="00004005" w:rsidP="00004005">
            <w:pPr>
              <w:rPr>
                <w:rFonts w:ascii="Century Gothic" w:hAnsi="Century Gothic" w:cs="Calibri"/>
                <w:color w:val="000000"/>
                <w:sz w:val="20"/>
                <w:szCs w:val="22"/>
              </w:rPr>
            </w:pPr>
          </w:p>
          <w:p w14:paraId="02E56835" w14:textId="211CAA38"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Digitalización de las gestiones de los programas sustantivos.</w:t>
            </w:r>
          </w:p>
          <w:p w14:paraId="225DCB57" w14:textId="77777777" w:rsidR="00004005" w:rsidRPr="00004005" w:rsidRDefault="00004005" w:rsidP="00004005">
            <w:pPr>
              <w:rPr>
                <w:rFonts w:ascii="Century Gothic" w:hAnsi="Century Gothic" w:cs="Calibri"/>
                <w:color w:val="000000"/>
                <w:sz w:val="20"/>
                <w:szCs w:val="22"/>
              </w:rPr>
            </w:pPr>
          </w:p>
          <w:p w14:paraId="1EB7A036" w14:textId="14D2959B" w:rsidR="00004005" w:rsidRPr="00004005" w:rsidRDefault="00004005" w:rsidP="00004005">
            <w:pPr>
              <w:rPr>
                <w:rFonts w:ascii="Century Gothic" w:hAnsi="Century Gothic" w:cs="Calibri"/>
                <w:color w:val="000000"/>
                <w:sz w:val="20"/>
                <w:szCs w:val="22"/>
              </w:rPr>
            </w:pPr>
          </w:p>
        </w:tc>
        <w:tc>
          <w:tcPr>
            <w:tcW w:w="374" w:type="pct"/>
            <w:shd w:val="clear" w:color="auto" w:fill="auto"/>
            <w:vAlign w:val="center"/>
            <w:hideMark/>
          </w:tcPr>
          <w:p w14:paraId="058A0326"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w:t>
            </w:r>
          </w:p>
        </w:tc>
        <w:tc>
          <w:tcPr>
            <w:tcW w:w="338" w:type="pct"/>
            <w:shd w:val="clear" w:color="auto" w:fill="auto"/>
            <w:vAlign w:val="center"/>
            <w:hideMark/>
          </w:tcPr>
          <w:p w14:paraId="1AA77FE1"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89" w:type="pct"/>
            <w:shd w:val="clear" w:color="auto" w:fill="auto"/>
            <w:vAlign w:val="center"/>
            <w:hideMark/>
          </w:tcPr>
          <w:p w14:paraId="26E1A19F"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2,5</w:t>
            </w:r>
          </w:p>
        </w:tc>
        <w:tc>
          <w:tcPr>
            <w:tcW w:w="509" w:type="pct"/>
            <w:vMerge/>
            <w:vAlign w:val="center"/>
            <w:hideMark/>
          </w:tcPr>
          <w:p w14:paraId="39022428" w14:textId="77777777" w:rsidR="00004005" w:rsidRPr="00004005" w:rsidRDefault="00004005" w:rsidP="00004005">
            <w:pPr>
              <w:rPr>
                <w:rFonts w:ascii="Century Gothic" w:hAnsi="Century Gothic" w:cs="Calibri"/>
                <w:b/>
                <w:bCs/>
                <w:color w:val="000000"/>
                <w:sz w:val="20"/>
                <w:szCs w:val="20"/>
              </w:rPr>
            </w:pPr>
          </w:p>
        </w:tc>
        <w:tc>
          <w:tcPr>
            <w:tcW w:w="311" w:type="pct"/>
            <w:vMerge/>
            <w:vAlign w:val="center"/>
            <w:hideMark/>
          </w:tcPr>
          <w:p w14:paraId="2231F2BE" w14:textId="77777777" w:rsidR="00004005" w:rsidRPr="00004005" w:rsidRDefault="00004005" w:rsidP="00004005">
            <w:pPr>
              <w:rPr>
                <w:rFonts w:ascii="Century Gothic" w:hAnsi="Century Gothic" w:cs="Calibri"/>
                <w:b/>
                <w:bCs/>
                <w:color w:val="000000"/>
                <w:sz w:val="20"/>
                <w:szCs w:val="20"/>
              </w:rPr>
            </w:pPr>
          </w:p>
        </w:tc>
        <w:tc>
          <w:tcPr>
            <w:tcW w:w="448" w:type="pct"/>
            <w:vMerge/>
            <w:vAlign w:val="center"/>
            <w:hideMark/>
          </w:tcPr>
          <w:p w14:paraId="713A1F30" w14:textId="77777777" w:rsidR="00004005" w:rsidRPr="00004005" w:rsidRDefault="00004005" w:rsidP="00004005">
            <w:pPr>
              <w:rPr>
                <w:rFonts w:ascii="Century Gothic" w:hAnsi="Century Gothic" w:cs="Calibri"/>
                <w:b/>
                <w:bCs/>
                <w:sz w:val="20"/>
                <w:szCs w:val="20"/>
              </w:rPr>
            </w:pPr>
          </w:p>
        </w:tc>
      </w:tr>
      <w:tr w:rsidR="00600D7E" w:rsidRPr="00004005" w14:paraId="0AA7D5B5" w14:textId="77777777" w:rsidTr="00600D7E">
        <w:trPr>
          <w:trHeight w:val="722"/>
        </w:trPr>
        <w:tc>
          <w:tcPr>
            <w:tcW w:w="610" w:type="pct"/>
            <w:vMerge w:val="restart"/>
            <w:shd w:val="clear" w:color="auto" w:fill="auto"/>
            <w:vAlign w:val="center"/>
            <w:hideMark/>
          </w:tcPr>
          <w:p w14:paraId="6074B2D7"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lastRenderedPageBreak/>
              <w:t>Posibilidad de que ocurran actos de corrupción en los procesos de gestión institucional</w:t>
            </w:r>
          </w:p>
        </w:tc>
        <w:tc>
          <w:tcPr>
            <w:tcW w:w="311" w:type="pct"/>
            <w:vMerge w:val="restart"/>
            <w:shd w:val="clear" w:color="000000" w:fill="FFC000"/>
            <w:vAlign w:val="center"/>
            <w:hideMark/>
          </w:tcPr>
          <w:p w14:paraId="77FDC35C" w14:textId="77777777" w:rsidR="00004005" w:rsidRPr="00004005" w:rsidRDefault="00004005" w:rsidP="00004005">
            <w:pPr>
              <w:jc w:val="center"/>
              <w:rPr>
                <w:rFonts w:ascii="Century Gothic" w:hAnsi="Century Gothic" w:cs="Calibri"/>
                <w:b/>
                <w:bCs/>
                <w:color w:val="404040"/>
                <w:sz w:val="20"/>
                <w:szCs w:val="20"/>
              </w:rPr>
            </w:pPr>
            <w:r w:rsidRPr="00004005">
              <w:rPr>
                <w:rFonts w:ascii="Century Gothic" w:hAnsi="Century Gothic" w:cs="Calibri"/>
                <w:b/>
                <w:bCs/>
                <w:color w:val="404040"/>
                <w:sz w:val="20"/>
                <w:szCs w:val="20"/>
              </w:rPr>
              <w:t>8</w:t>
            </w:r>
          </w:p>
        </w:tc>
        <w:tc>
          <w:tcPr>
            <w:tcW w:w="1610" w:type="pct"/>
            <w:shd w:val="clear" w:color="auto" w:fill="auto"/>
            <w:vAlign w:val="center"/>
            <w:hideMark/>
          </w:tcPr>
          <w:p w14:paraId="5D3C97C8"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Implementación del Sistema de Control Interno </w:t>
            </w:r>
          </w:p>
        </w:tc>
        <w:tc>
          <w:tcPr>
            <w:tcW w:w="374" w:type="pct"/>
            <w:shd w:val="clear" w:color="auto" w:fill="auto"/>
            <w:vAlign w:val="center"/>
            <w:hideMark/>
          </w:tcPr>
          <w:p w14:paraId="7897BB21"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38" w:type="pct"/>
            <w:shd w:val="clear" w:color="auto" w:fill="auto"/>
            <w:vAlign w:val="center"/>
            <w:hideMark/>
          </w:tcPr>
          <w:p w14:paraId="6FF2DB45"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2</w:t>
            </w:r>
          </w:p>
        </w:tc>
        <w:tc>
          <w:tcPr>
            <w:tcW w:w="489" w:type="pct"/>
            <w:shd w:val="clear" w:color="auto" w:fill="auto"/>
            <w:vAlign w:val="center"/>
            <w:hideMark/>
          </w:tcPr>
          <w:p w14:paraId="52D2D0B0"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2,5</w:t>
            </w:r>
          </w:p>
        </w:tc>
        <w:tc>
          <w:tcPr>
            <w:tcW w:w="509" w:type="pct"/>
            <w:vMerge w:val="restart"/>
            <w:shd w:val="clear" w:color="auto" w:fill="auto"/>
            <w:vAlign w:val="center"/>
            <w:hideMark/>
          </w:tcPr>
          <w:p w14:paraId="7C9CDC0E"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2,625</w:t>
            </w:r>
          </w:p>
        </w:tc>
        <w:tc>
          <w:tcPr>
            <w:tcW w:w="311" w:type="pct"/>
            <w:vMerge w:val="restart"/>
            <w:shd w:val="clear" w:color="000000" w:fill="FFEFBD"/>
            <w:vAlign w:val="center"/>
            <w:hideMark/>
          </w:tcPr>
          <w:p w14:paraId="28B30969"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448" w:type="pct"/>
            <w:vMerge w:val="restart"/>
            <w:shd w:val="clear" w:color="000000" w:fill="FFFFFF"/>
            <w:vAlign w:val="center"/>
            <w:hideMark/>
          </w:tcPr>
          <w:p w14:paraId="777CD297" w14:textId="77777777" w:rsidR="00004005" w:rsidRPr="00004005" w:rsidRDefault="00004005" w:rsidP="00004005">
            <w:pPr>
              <w:jc w:val="center"/>
              <w:rPr>
                <w:rFonts w:ascii="Century Gothic" w:hAnsi="Century Gothic" w:cs="Calibri"/>
                <w:b/>
                <w:bCs/>
                <w:sz w:val="20"/>
                <w:szCs w:val="20"/>
              </w:rPr>
            </w:pPr>
            <w:r w:rsidRPr="00004005">
              <w:rPr>
                <w:rFonts w:ascii="Century Gothic" w:hAnsi="Century Gothic" w:cs="Calibri"/>
                <w:b/>
                <w:bCs/>
                <w:sz w:val="20"/>
                <w:szCs w:val="20"/>
              </w:rPr>
              <w:t>Aceptable</w:t>
            </w:r>
          </w:p>
        </w:tc>
      </w:tr>
      <w:tr w:rsidR="00600D7E" w:rsidRPr="00004005" w14:paraId="0D177331" w14:textId="77777777" w:rsidTr="00600D7E">
        <w:trPr>
          <w:trHeight w:val="562"/>
        </w:trPr>
        <w:tc>
          <w:tcPr>
            <w:tcW w:w="610" w:type="pct"/>
            <w:vMerge/>
            <w:vAlign w:val="center"/>
            <w:hideMark/>
          </w:tcPr>
          <w:p w14:paraId="63BE3520" w14:textId="77777777" w:rsidR="00004005" w:rsidRPr="00004005" w:rsidRDefault="00004005" w:rsidP="00004005">
            <w:pPr>
              <w:rPr>
                <w:rFonts w:ascii="Century Gothic" w:hAnsi="Century Gothic" w:cs="Calibri"/>
                <w:color w:val="000000"/>
              </w:rPr>
            </w:pPr>
          </w:p>
        </w:tc>
        <w:tc>
          <w:tcPr>
            <w:tcW w:w="311" w:type="pct"/>
            <w:vMerge/>
            <w:vAlign w:val="center"/>
            <w:hideMark/>
          </w:tcPr>
          <w:p w14:paraId="13090B8E" w14:textId="77777777" w:rsidR="00004005" w:rsidRPr="00004005" w:rsidRDefault="00004005" w:rsidP="00004005">
            <w:pPr>
              <w:rPr>
                <w:rFonts w:ascii="Century Gothic" w:hAnsi="Century Gothic" w:cs="Calibri"/>
                <w:b/>
                <w:bCs/>
                <w:color w:val="404040"/>
                <w:sz w:val="44"/>
                <w:szCs w:val="44"/>
              </w:rPr>
            </w:pPr>
          </w:p>
        </w:tc>
        <w:tc>
          <w:tcPr>
            <w:tcW w:w="1610" w:type="pct"/>
            <w:shd w:val="clear" w:color="auto" w:fill="auto"/>
            <w:vAlign w:val="center"/>
            <w:hideMark/>
          </w:tcPr>
          <w:p w14:paraId="5D0D14E2"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Auditoria Internas en los programas sustantivos y financiero contable </w:t>
            </w:r>
          </w:p>
        </w:tc>
        <w:tc>
          <w:tcPr>
            <w:tcW w:w="374" w:type="pct"/>
            <w:shd w:val="clear" w:color="auto" w:fill="auto"/>
            <w:vAlign w:val="center"/>
            <w:hideMark/>
          </w:tcPr>
          <w:p w14:paraId="59E71B2F"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38" w:type="pct"/>
            <w:shd w:val="clear" w:color="auto" w:fill="auto"/>
            <w:vAlign w:val="center"/>
            <w:hideMark/>
          </w:tcPr>
          <w:p w14:paraId="120AC84C"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489" w:type="pct"/>
            <w:shd w:val="clear" w:color="auto" w:fill="auto"/>
            <w:vAlign w:val="center"/>
            <w:hideMark/>
          </w:tcPr>
          <w:p w14:paraId="42B2C681"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509" w:type="pct"/>
            <w:vMerge/>
            <w:vAlign w:val="center"/>
            <w:hideMark/>
          </w:tcPr>
          <w:p w14:paraId="5F7613DC" w14:textId="77777777" w:rsidR="00004005" w:rsidRPr="00004005" w:rsidRDefault="00004005" w:rsidP="00004005">
            <w:pPr>
              <w:rPr>
                <w:rFonts w:ascii="Century Gothic" w:hAnsi="Century Gothic" w:cs="Calibri"/>
                <w:b/>
                <w:bCs/>
                <w:color w:val="000000"/>
              </w:rPr>
            </w:pPr>
          </w:p>
        </w:tc>
        <w:tc>
          <w:tcPr>
            <w:tcW w:w="311" w:type="pct"/>
            <w:vMerge/>
            <w:vAlign w:val="center"/>
            <w:hideMark/>
          </w:tcPr>
          <w:p w14:paraId="4FE4C653" w14:textId="77777777" w:rsidR="00004005" w:rsidRPr="00004005" w:rsidRDefault="00004005" w:rsidP="00004005">
            <w:pPr>
              <w:rPr>
                <w:rFonts w:ascii="Century Gothic" w:hAnsi="Century Gothic" w:cs="Calibri"/>
                <w:b/>
                <w:bCs/>
                <w:color w:val="000000"/>
                <w:sz w:val="36"/>
                <w:szCs w:val="36"/>
              </w:rPr>
            </w:pPr>
          </w:p>
        </w:tc>
        <w:tc>
          <w:tcPr>
            <w:tcW w:w="448" w:type="pct"/>
            <w:vMerge/>
            <w:vAlign w:val="center"/>
            <w:hideMark/>
          </w:tcPr>
          <w:p w14:paraId="16992B1B" w14:textId="77777777" w:rsidR="00004005" w:rsidRPr="00004005" w:rsidRDefault="00004005" w:rsidP="00004005">
            <w:pPr>
              <w:rPr>
                <w:rFonts w:ascii="Century Gothic" w:hAnsi="Century Gothic" w:cs="Calibri"/>
                <w:b/>
                <w:bCs/>
                <w:sz w:val="32"/>
                <w:szCs w:val="32"/>
              </w:rPr>
            </w:pPr>
          </w:p>
        </w:tc>
      </w:tr>
      <w:tr w:rsidR="00600D7E" w:rsidRPr="00004005" w14:paraId="4D06427E" w14:textId="77777777" w:rsidTr="00600D7E">
        <w:trPr>
          <w:trHeight w:val="706"/>
        </w:trPr>
        <w:tc>
          <w:tcPr>
            <w:tcW w:w="610" w:type="pct"/>
            <w:vMerge/>
            <w:vAlign w:val="center"/>
            <w:hideMark/>
          </w:tcPr>
          <w:p w14:paraId="57AAE41C" w14:textId="77777777" w:rsidR="00004005" w:rsidRPr="00004005" w:rsidRDefault="00004005" w:rsidP="00004005">
            <w:pPr>
              <w:rPr>
                <w:rFonts w:ascii="Century Gothic" w:hAnsi="Century Gothic" w:cs="Calibri"/>
                <w:color w:val="000000"/>
              </w:rPr>
            </w:pPr>
          </w:p>
        </w:tc>
        <w:tc>
          <w:tcPr>
            <w:tcW w:w="311" w:type="pct"/>
            <w:vMerge/>
            <w:vAlign w:val="center"/>
            <w:hideMark/>
          </w:tcPr>
          <w:p w14:paraId="51FDE0AF" w14:textId="77777777" w:rsidR="00004005" w:rsidRPr="00004005" w:rsidRDefault="00004005" w:rsidP="00004005">
            <w:pPr>
              <w:rPr>
                <w:rFonts w:ascii="Century Gothic" w:hAnsi="Century Gothic" w:cs="Calibri"/>
                <w:b/>
                <w:bCs/>
                <w:color w:val="404040"/>
                <w:sz w:val="44"/>
                <w:szCs w:val="44"/>
              </w:rPr>
            </w:pPr>
          </w:p>
        </w:tc>
        <w:tc>
          <w:tcPr>
            <w:tcW w:w="1610" w:type="pct"/>
            <w:shd w:val="clear" w:color="auto" w:fill="auto"/>
            <w:vAlign w:val="center"/>
            <w:hideMark/>
          </w:tcPr>
          <w:p w14:paraId="13A1839A"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Evaluaciones por parte de la Contraloría General de Republica por medio de índices. </w:t>
            </w:r>
          </w:p>
        </w:tc>
        <w:tc>
          <w:tcPr>
            <w:tcW w:w="374" w:type="pct"/>
            <w:shd w:val="clear" w:color="auto" w:fill="auto"/>
            <w:vAlign w:val="center"/>
            <w:hideMark/>
          </w:tcPr>
          <w:p w14:paraId="36425F3F"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38" w:type="pct"/>
            <w:shd w:val="clear" w:color="auto" w:fill="auto"/>
            <w:vAlign w:val="center"/>
            <w:hideMark/>
          </w:tcPr>
          <w:p w14:paraId="2B4CC57C"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1</w:t>
            </w:r>
          </w:p>
        </w:tc>
        <w:tc>
          <w:tcPr>
            <w:tcW w:w="489" w:type="pct"/>
            <w:shd w:val="clear" w:color="auto" w:fill="auto"/>
            <w:vAlign w:val="center"/>
            <w:hideMark/>
          </w:tcPr>
          <w:p w14:paraId="3B40F878"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2</w:t>
            </w:r>
          </w:p>
        </w:tc>
        <w:tc>
          <w:tcPr>
            <w:tcW w:w="509" w:type="pct"/>
            <w:vMerge/>
            <w:vAlign w:val="center"/>
            <w:hideMark/>
          </w:tcPr>
          <w:p w14:paraId="4688E5F1" w14:textId="77777777" w:rsidR="00004005" w:rsidRPr="00004005" w:rsidRDefault="00004005" w:rsidP="00004005">
            <w:pPr>
              <w:rPr>
                <w:rFonts w:ascii="Century Gothic" w:hAnsi="Century Gothic" w:cs="Calibri"/>
                <w:b/>
                <w:bCs/>
                <w:color w:val="000000"/>
              </w:rPr>
            </w:pPr>
          </w:p>
        </w:tc>
        <w:tc>
          <w:tcPr>
            <w:tcW w:w="311" w:type="pct"/>
            <w:vMerge/>
            <w:vAlign w:val="center"/>
            <w:hideMark/>
          </w:tcPr>
          <w:p w14:paraId="0CEA19EF" w14:textId="77777777" w:rsidR="00004005" w:rsidRPr="00004005" w:rsidRDefault="00004005" w:rsidP="00004005">
            <w:pPr>
              <w:rPr>
                <w:rFonts w:ascii="Century Gothic" w:hAnsi="Century Gothic" w:cs="Calibri"/>
                <w:b/>
                <w:bCs/>
                <w:color w:val="000000"/>
                <w:sz w:val="36"/>
                <w:szCs w:val="36"/>
              </w:rPr>
            </w:pPr>
          </w:p>
        </w:tc>
        <w:tc>
          <w:tcPr>
            <w:tcW w:w="448" w:type="pct"/>
            <w:vMerge/>
            <w:vAlign w:val="center"/>
            <w:hideMark/>
          </w:tcPr>
          <w:p w14:paraId="0BF18EF7" w14:textId="77777777" w:rsidR="00004005" w:rsidRPr="00004005" w:rsidRDefault="00004005" w:rsidP="00004005">
            <w:pPr>
              <w:rPr>
                <w:rFonts w:ascii="Century Gothic" w:hAnsi="Century Gothic" w:cs="Calibri"/>
                <w:b/>
                <w:bCs/>
                <w:sz w:val="32"/>
                <w:szCs w:val="32"/>
              </w:rPr>
            </w:pPr>
          </w:p>
        </w:tc>
      </w:tr>
      <w:tr w:rsidR="00600D7E" w:rsidRPr="00004005" w14:paraId="6BF682BB" w14:textId="77777777" w:rsidTr="00600D7E">
        <w:trPr>
          <w:trHeight w:val="658"/>
        </w:trPr>
        <w:tc>
          <w:tcPr>
            <w:tcW w:w="610" w:type="pct"/>
            <w:vMerge/>
            <w:vAlign w:val="center"/>
            <w:hideMark/>
          </w:tcPr>
          <w:p w14:paraId="0431AE6C" w14:textId="77777777" w:rsidR="00004005" w:rsidRPr="00004005" w:rsidRDefault="00004005" w:rsidP="00004005">
            <w:pPr>
              <w:rPr>
                <w:rFonts w:ascii="Century Gothic" w:hAnsi="Century Gothic" w:cs="Calibri"/>
                <w:color w:val="000000"/>
              </w:rPr>
            </w:pPr>
          </w:p>
        </w:tc>
        <w:tc>
          <w:tcPr>
            <w:tcW w:w="311" w:type="pct"/>
            <w:vMerge/>
            <w:vAlign w:val="center"/>
            <w:hideMark/>
          </w:tcPr>
          <w:p w14:paraId="00FD2620" w14:textId="77777777" w:rsidR="00004005" w:rsidRPr="00004005" w:rsidRDefault="00004005" w:rsidP="00004005">
            <w:pPr>
              <w:rPr>
                <w:rFonts w:ascii="Century Gothic" w:hAnsi="Century Gothic" w:cs="Calibri"/>
                <w:b/>
                <w:bCs/>
                <w:color w:val="404040"/>
                <w:sz w:val="44"/>
                <w:szCs w:val="44"/>
              </w:rPr>
            </w:pPr>
          </w:p>
        </w:tc>
        <w:tc>
          <w:tcPr>
            <w:tcW w:w="1610" w:type="pct"/>
            <w:shd w:val="clear" w:color="auto" w:fill="auto"/>
            <w:vAlign w:val="center"/>
            <w:hideMark/>
          </w:tcPr>
          <w:p w14:paraId="0AAC58A5"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 xml:space="preserve">Control de activos institucionales </w:t>
            </w:r>
          </w:p>
        </w:tc>
        <w:tc>
          <w:tcPr>
            <w:tcW w:w="374" w:type="pct"/>
            <w:shd w:val="clear" w:color="auto" w:fill="auto"/>
            <w:vAlign w:val="center"/>
            <w:hideMark/>
          </w:tcPr>
          <w:p w14:paraId="10D15C35"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38" w:type="pct"/>
            <w:shd w:val="clear" w:color="auto" w:fill="auto"/>
            <w:vAlign w:val="center"/>
            <w:hideMark/>
          </w:tcPr>
          <w:p w14:paraId="4ACB06F4"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489" w:type="pct"/>
            <w:shd w:val="clear" w:color="auto" w:fill="auto"/>
            <w:vAlign w:val="center"/>
            <w:hideMark/>
          </w:tcPr>
          <w:p w14:paraId="69D6887B"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509" w:type="pct"/>
            <w:vMerge/>
            <w:vAlign w:val="center"/>
            <w:hideMark/>
          </w:tcPr>
          <w:p w14:paraId="663EC3ED" w14:textId="77777777" w:rsidR="00004005" w:rsidRPr="00004005" w:rsidRDefault="00004005" w:rsidP="00004005">
            <w:pPr>
              <w:rPr>
                <w:rFonts w:ascii="Century Gothic" w:hAnsi="Century Gothic" w:cs="Calibri"/>
                <w:b/>
                <w:bCs/>
                <w:color w:val="000000"/>
              </w:rPr>
            </w:pPr>
          </w:p>
        </w:tc>
        <w:tc>
          <w:tcPr>
            <w:tcW w:w="311" w:type="pct"/>
            <w:vMerge/>
            <w:vAlign w:val="center"/>
            <w:hideMark/>
          </w:tcPr>
          <w:p w14:paraId="10EF54DC" w14:textId="77777777" w:rsidR="00004005" w:rsidRPr="00004005" w:rsidRDefault="00004005" w:rsidP="00004005">
            <w:pPr>
              <w:rPr>
                <w:rFonts w:ascii="Century Gothic" w:hAnsi="Century Gothic" w:cs="Calibri"/>
                <w:b/>
                <w:bCs/>
                <w:color w:val="000000"/>
                <w:sz w:val="36"/>
                <w:szCs w:val="36"/>
              </w:rPr>
            </w:pPr>
          </w:p>
        </w:tc>
        <w:tc>
          <w:tcPr>
            <w:tcW w:w="448" w:type="pct"/>
            <w:vMerge/>
            <w:vAlign w:val="center"/>
            <w:hideMark/>
          </w:tcPr>
          <w:p w14:paraId="489735C4" w14:textId="77777777" w:rsidR="00004005" w:rsidRPr="00004005" w:rsidRDefault="00004005" w:rsidP="00004005">
            <w:pPr>
              <w:rPr>
                <w:rFonts w:ascii="Century Gothic" w:hAnsi="Century Gothic" w:cs="Calibri"/>
                <w:b/>
                <w:bCs/>
                <w:sz w:val="32"/>
                <w:szCs w:val="32"/>
              </w:rPr>
            </w:pPr>
          </w:p>
        </w:tc>
      </w:tr>
    </w:tbl>
    <w:p w14:paraId="0E4E9044" w14:textId="77777777" w:rsidR="00F8181E" w:rsidRDefault="00F8181E" w:rsidP="00F8181E">
      <w:pPr>
        <w:jc w:val="center"/>
      </w:pPr>
    </w:p>
    <w:tbl>
      <w:tblPr>
        <w:tblW w:w="5488" w:type="pct"/>
        <w:tblInd w:w="-57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4A0" w:firstRow="1" w:lastRow="0" w:firstColumn="1" w:lastColumn="0" w:noHBand="0" w:noVBand="1"/>
      </w:tblPr>
      <w:tblGrid>
        <w:gridCol w:w="2059"/>
        <w:gridCol w:w="839"/>
        <w:gridCol w:w="4187"/>
        <w:gridCol w:w="986"/>
        <w:gridCol w:w="1142"/>
        <w:gridCol w:w="1134"/>
        <w:gridCol w:w="995"/>
        <w:gridCol w:w="1139"/>
        <w:gridCol w:w="1978"/>
      </w:tblGrid>
      <w:tr w:rsidR="00625B53" w:rsidRPr="00004005" w14:paraId="6D7E9F13" w14:textId="77777777" w:rsidTr="00600D7E">
        <w:trPr>
          <w:trHeight w:val="998"/>
          <w:tblHeader/>
        </w:trPr>
        <w:tc>
          <w:tcPr>
            <w:tcW w:w="712" w:type="pct"/>
            <w:vMerge w:val="restart"/>
            <w:shd w:val="clear" w:color="000000" w:fill="548235"/>
            <w:vAlign w:val="center"/>
            <w:hideMark/>
          </w:tcPr>
          <w:p w14:paraId="443CDB6D"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EVENTO DESENCADENANTE DEL RIESGO</w:t>
            </w:r>
          </w:p>
        </w:tc>
        <w:tc>
          <w:tcPr>
            <w:tcW w:w="290" w:type="pct"/>
            <w:vMerge w:val="restart"/>
            <w:shd w:val="clear" w:color="000000" w:fill="548235"/>
            <w:vAlign w:val="center"/>
            <w:hideMark/>
          </w:tcPr>
          <w:p w14:paraId="6DBAB811"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 xml:space="preserve">NIVEL DE RIESGOS SIN MEDIDAS </w:t>
            </w:r>
          </w:p>
        </w:tc>
        <w:tc>
          <w:tcPr>
            <w:tcW w:w="1448" w:type="pct"/>
            <w:vMerge w:val="restart"/>
            <w:shd w:val="clear" w:color="000000" w:fill="548235"/>
            <w:vAlign w:val="center"/>
            <w:hideMark/>
          </w:tcPr>
          <w:p w14:paraId="2F344B5A"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 xml:space="preserve">MEDIDAS ACTUALES PARA SU ADMINISTRACIÓN </w:t>
            </w:r>
          </w:p>
        </w:tc>
        <w:tc>
          <w:tcPr>
            <w:tcW w:w="341" w:type="pct"/>
            <w:vMerge w:val="restart"/>
            <w:shd w:val="clear" w:color="000000" w:fill="548235"/>
            <w:vAlign w:val="center"/>
            <w:hideMark/>
          </w:tcPr>
          <w:p w14:paraId="043B9A2F"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002060"/>
                <w:sz w:val="16"/>
                <w:szCs w:val="16"/>
              </w:rPr>
              <w:t>EFICIENCIA</w:t>
            </w:r>
            <w:r w:rsidRPr="00004005">
              <w:rPr>
                <w:rFonts w:ascii="Century Gothic" w:hAnsi="Century Gothic" w:cs="Calibri"/>
                <w:b/>
                <w:bCs/>
                <w:color w:val="FFFFFF"/>
                <w:sz w:val="16"/>
                <w:szCs w:val="16"/>
              </w:rPr>
              <w:t xml:space="preserve"> DE LAS MEDIDAS ACTUALES</w:t>
            </w:r>
          </w:p>
        </w:tc>
        <w:tc>
          <w:tcPr>
            <w:tcW w:w="395" w:type="pct"/>
            <w:vMerge w:val="restart"/>
            <w:shd w:val="clear" w:color="000000" w:fill="548235"/>
            <w:vAlign w:val="center"/>
            <w:hideMark/>
          </w:tcPr>
          <w:p w14:paraId="7D96B26B"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 xml:space="preserve">EFICACIA DE LAS MEDIDAS ACTUALES </w:t>
            </w:r>
          </w:p>
        </w:tc>
        <w:tc>
          <w:tcPr>
            <w:tcW w:w="736" w:type="pct"/>
            <w:gridSpan w:val="2"/>
            <w:shd w:val="clear" w:color="000000" w:fill="548235"/>
            <w:vAlign w:val="center"/>
            <w:hideMark/>
          </w:tcPr>
          <w:p w14:paraId="1947BFAA"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Funcionalidad (efectividad) de controles</w:t>
            </w:r>
          </w:p>
        </w:tc>
        <w:tc>
          <w:tcPr>
            <w:tcW w:w="394" w:type="pct"/>
            <w:vMerge w:val="restart"/>
            <w:shd w:val="clear" w:color="000000" w:fill="548235"/>
            <w:vAlign w:val="center"/>
            <w:hideMark/>
          </w:tcPr>
          <w:p w14:paraId="70909BEB"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NIVEL DE RIESGOS CON MEDIDAS</w:t>
            </w:r>
          </w:p>
        </w:tc>
        <w:tc>
          <w:tcPr>
            <w:tcW w:w="685" w:type="pct"/>
            <w:vMerge w:val="restart"/>
            <w:shd w:val="clear" w:color="000000" w:fill="548235"/>
            <w:vAlign w:val="center"/>
            <w:hideMark/>
          </w:tcPr>
          <w:p w14:paraId="76BA8B4A"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 xml:space="preserve">ACEPTABILIDAD DEL RIESGO  </w:t>
            </w:r>
            <w:r w:rsidRPr="00004005">
              <w:rPr>
                <w:rFonts w:ascii="Century Gothic" w:hAnsi="Century Gothic" w:cs="Calibri"/>
                <w:b/>
                <w:bCs/>
                <w:color w:val="FFFFFF"/>
                <w:sz w:val="16"/>
                <w:szCs w:val="16"/>
              </w:rPr>
              <w:br/>
              <w:t xml:space="preserve">CON CONTROLES </w:t>
            </w:r>
          </w:p>
        </w:tc>
      </w:tr>
      <w:tr w:rsidR="00625B53" w:rsidRPr="00004005" w14:paraId="616026DE" w14:textId="77777777" w:rsidTr="00600D7E">
        <w:trPr>
          <w:trHeight w:val="64"/>
          <w:tblHeader/>
        </w:trPr>
        <w:tc>
          <w:tcPr>
            <w:tcW w:w="712" w:type="pct"/>
            <w:vMerge/>
            <w:vAlign w:val="center"/>
            <w:hideMark/>
          </w:tcPr>
          <w:p w14:paraId="2DA98C39" w14:textId="77777777" w:rsidR="00004005" w:rsidRPr="00004005" w:rsidRDefault="00004005" w:rsidP="00004005">
            <w:pPr>
              <w:rPr>
                <w:rFonts w:ascii="Century Gothic" w:hAnsi="Century Gothic" w:cs="Calibri"/>
                <w:b/>
                <w:bCs/>
                <w:color w:val="FFFFFF"/>
                <w:sz w:val="28"/>
                <w:szCs w:val="28"/>
              </w:rPr>
            </w:pPr>
          </w:p>
        </w:tc>
        <w:tc>
          <w:tcPr>
            <w:tcW w:w="290" w:type="pct"/>
            <w:vMerge/>
            <w:vAlign w:val="center"/>
            <w:hideMark/>
          </w:tcPr>
          <w:p w14:paraId="5C7524F9" w14:textId="77777777" w:rsidR="00004005" w:rsidRPr="00004005" w:rsidRDefault="00004005" w:rsidP="00004005">
            <w:pPr>
              <w:rPr>
                <w:rFonts w:ascii="Century Gothic" w:hAnsi="Century Gothic" w:cs="Calibri"/>
                <w:b/>
                <w:bCs/>
                <w:color w:val="FFFFFF"/>
                <w:sz w:val="28"/>
                <w:szCs w:val="28"/>
              </w:rPr>
            </w:pPr>
          </w:p>
        </w:tc>
        <w:tc>
          <w:tcPr>
            <w:tcW w:w="1448" w:type="pct"/>
            <w:vMerge/>
            <w:vAlign w:val="center"/>
            <w:hideMark/>
          </w:tcPr>
          <w:p w14:paraId="15183C20" w14:textId="77777777" w:rsidR="00004005" w:rsidRPr="00004005" w:rsidRDefault="00004005" w:rsidP="00004005">
            <w:pPr>
              <w:rPr>
                <w:rFonts w:ascii="Century Gothic" w:hAnsi="Century Gothic" w:cs="Calibri"/>
                <w:b/>
                <w:bCs/>
                <w:color w:val="FFFFFF"/>
                <w:sz w:val="28"/>
                <w:szCs w:val="28"/>
              </w:rPr>
            </w:pPr>
          </w:p>
        </w:tc>
        <w:tc>
          <w:tcPr>
            <w:tcW w:w="341" w:type="pct"/>
            <w:vMerge/>
            <w:vAlign w:val="center"/>
            <w:hideMark/>
          </w:tcPr>
          <w:p w14:paraId="5DC75F08" w14:textId="77777777" w:rsidR="00004005" w:rsidRPr="00004005" w:rsidRDefault="00004005" w:rsidP="00004005">
            <w:pPr>
              <w:rPr>
                <w:rFonts w:ascii="Century Gothic" w:hAnsi="Century Gothic" w:cs="Calibri"/>
                <w:b/>
                <w:bCs/>
                <w:color w:val="FFFFFF"/>
                <w:sz w:val="28"/>
                <w:szCs w:val="28"/>
              </w:rPr>
            </w:pPr>
          </w:p>
        </w:tc>
        <w:tc>
          <w:tcPr>
            <w:tcW w:w="395" w:type="pct"/>
            <w:vMerge/>
            <w:vAlign w:val="center"/>
            <w:hideMark/>
          </w:tcPr>
          <w:p w14:paraId="449593B7" w14:textId="77777777" w:rsidR="00004005" w:rsidRPr="00004005" w:rsidRDefault="00004005" w:rsidP="00004005">
            <w:pPr>
              <w:rPr>
                <w:rFonts w:ascii="Century Gothic" w:hAnsi="Century Gothic" w:cs="Calibri"/>
                <w:b/>
                <w:bCs/>
                <w:color w:val="FFFFFF"/>
                <w:sz w:val="28"/>
                <w:szCs w:val="28"/>
              </w:rPr>
            </w:pPr>
          </w:p>
        </w:tc>
        <w:tc>
          <w:tcPr>
            <w:tcW w:w="392" w:type="pct"/>
            <w:shd w:val="clear" w:color="000000" w:fill="548235"/>
            <w:vAlign w:val="center"/>
            <w:hideMark/>
          </w:tcPr>
          <w:p w14:paraId="3950BD34"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 xml:space="preserve">Calificación </w:t>
            </w:r>
          </w:p>
        </w:tc>
        <w:tc>
          <w:tcPr>
            <w:tcW w:w="343" w:type="pct"/>
            <w:shd w:val="clear" w:color="000000" w:fill="548235"/>
            <w:vAlign w:val="center"/>
            <w:hideMark/>
          </w:tcPr>
          <w:p w14:paraId="6977590B" w14:textId="77777777" w:rsidR="00004005" w:rsidRPr="00004005" w:rsidRDefault="00004005" w:rsidP="00004005">
            <w:pPr>
              <w:jc w:val="center"/>
              <w:rPr>
                <w:rFonts w:ascii="Century Gothic" w:hAnsi="Century Gothic" w:cs="Calibri"/>
                <w:b/>
                <w:bCs/>
                <w:color w:val="FFFFFF"/>
                <w:sz w:val="16"/>
                <w:szCs w:val="16"/>
              </w:rPr>
            </w:pPr>
            <w:r w:rsidRPr="00004005">
              <w:rPr>
                <w:rFonts w:ascii="Century Gothic" w:hAnsi="Century Gothic" w:cs="Calibri"/>
                <w:b/>
                <w:bCs/>
                <w:color w:val="FFFFFF"/>
                <w:sz w:val="16"/>
                <w:szCs w:val="16"/>
              </w:rPr>
              <w:t>Promedio</w:t>
            </w:r>
          </w:p>
        </w:tc>
        <w:tc>
          <w:tcPr>
            <w:tcW w:w="394" w:type="pct"/>
            <w:vMerge/>
            <w:vAlign w:val="center"/>
            <w:hideMark/>
          </w:tcPr>
          <w:p w14:paraId="229FDD14" w14:textId="77777777" w:rsidR="00004005" w:rsidRPr="00004005" w:rsidRDefault="00004005" w:rsidP="00004005">
            <w:pPr>
              <w:rPr>
                <w:rFonts w:ascii="Century Gothic" w:hAnsi="Century Gothic" w:cs="Calibri"/>
                <w:b/>
                <w:bCs/>
                <w:color w:val="FFFFFF"/>
                <w:sz w:val="28"/>
                <w:szCs w:val="28"/>
              </w:rPr>
            </w:pPr>
          </w:p>
        </w:tc>
        <w:tc>
          <w:tcPr>
            <w:tcW w:w="685" w:type="pct"/>
            <w:vMerge/>
            <w:vAlign w:val="center"/>
            <w:hideMark/>
          </w:tcPr>
          <w:p w14:paraId="69F11930" w14:textId="77777777" w:rsidR="00004005" w:rsidRPr="00004005" w:rsidRDefault="00004005" w:rsidP="00004005">
            <w:pPr>
              <w:rPr>
                <w:rFonts w:ascii="Century Gothic" w:hAnsi="Century Gothic" w:cs="Calibri"/>
                <w:b/>
                <w:bCs/>
                <w:color w:val="FFFFFF"/>
                <w:sz w:val="22"/>
                <w:szCs w:val="22"/>
              </w:rPr>
            </w:pPr>
          </w:p>
        </w:tc>
      </w:tr>
      <w:tr w:rsidR="00625B53" w:rsidRPr="00004005" w14:paraId="62153F97" w14:textId="77777777" w:rsidTr="00600D7E">
        <w:trPr>
          <w:trHeight w:val="998"/>
        </w:trPr>
        <w:tc>
          <w:tcPr>
            <w:tcW w:w="712" w:type="pct"/>
            <w:vMerge w:val="restart"/>
            <w:shd w:val="clear" w:color="auto" w:fill="auto"/>
            <w:vAlign w:val="center"/>
            <w:hideMark/>
          </w:tcPr>
          <w:p w14:paraId="40C00A16" w14:textId="77777777" w:rsidR="00004005" w:rsidRPr="00004005" w:rsidRDefault="00004005" w:rsidP="00625B53">
            <w:pPr>
              <w:ind w:hanging="82"/>
              <w:jc w:val="center"/>
              <w:rPr>
                <w:rFonts w:ascii="Century Gothic" w:hAnsi="Century Gothic" w:cs="Calibri"/>
                <w:color w:val="000000"/>
                <w:sz w:val="20"/>
                <w:szCs w:val="20"/>
              </w:rPr>
            </w:pPr>
            <w:r w:rsidRPr="00004005">
              <w:rPr>
                <w:rFonts w:ascii="Century Gothic" w:hAnsi="Century Gothic" w:cs="Calibri"/>
                <w:color w:val="000000"/>
                <w:sz w:val="20"/>
                <w:szCs w:val="20"/>
              </w:rPr>
              <w:t xml:space="preserve">Posibilidad de vulnerabilidades en la plataforma tecnológica institucional. </w:t>
            </w:r>
          </w:p>
        </w:tc>
        <w:tc>
          <w:tcPr>
            <w:tcW w:w="290" w:type="pct"/>
            <w:vMerge w:val="restart"/>
            <w:shd w:val="clear" w:color="000000" w:fill="FF7575"/>
            <w:vAlign w:val="center"/>
            <w:hideMark/>
          </w:tcPr>
          <w:p w14:paraId="224FB600" w14:textId="77777777" w:rsidR="00004005" w:rsidRPr="00004005" w:rsidRDefault="00004005" w:rsidP="00004005">
            <w:pPr>
              <w:jc w:val="center"/>
              <w:rPr>
                <w:rFonts w:ascii="Century Gothic" w:hAnsi="Century Gothic" w:cs="Calibri"/>
                <w:b/>
                <w:bCs/>
                <w:color w:val="404040"/>
                <w:sz w:val="20"/>
                <w:szCs w:val="20"/>
              </w:rPr>
            </w:pPr>
            <w:r w:rsidRPr="00004005">
              <w:rPr>
                <w:rFonts w:ascii="Century Gothic" w:hAnsi="Century Gothic" w:cs="Calibri"/>
                <w:b/>
                <w:bCs/>
                <w:color w:val="404040"/>
                <w:sz w:val="20"/>
                <w:szCs w:val="20"/>
              </w:rPr>
              <w:t>16</w:t>
            </w:r>
          </w:p>
        </w:tc>
        <w:tc>
          <w:tcPr>
            <w:tcW w:w="1448" w:type="pct"/>
            <w:shd w:val="clear" w:color="auto" w:fill="auto"/>
            <w:vAlign w:val="center"/>
            <w:hideMark/>
          </w:tcPr>
          <w:p w14:paraId="6705E6D4"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Implementación y administración de herramientas de seguridad como firewall, IPS, antivirus, detección y respuesta y filtrador web.</w:t>
            </w:r>
          </w:p>
        </w:tc>
        <w:tc>
          <w:tcPr>
            <w:tcW w:w="341" w:type="pct"/>
            <w:shd w:val="clear" w:color="auto" w:fill="auto"/>
            <w:vAlign w:val="center"/>
            <w:hideMark/>
          </w:tcPr>
          <w:p w14:paraId="68754222"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7576FA80"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7074ECC5"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restart"/>
            <w:shd w:val="clear" w:color="auto" w:fill="auto"/>
            <w:vAlign w:val="center"/>
            <w:hideMark/>
          </w:tcPr>
          <w:p w14:paraId="50AC2D8A"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4" w:type="pct"/>
            <w:vMerge w:val="restart"/>
            <w:shd w:val="clear" w:color="000000" w:fill="FFC000"/>
            <w:vAlign w:val="center"/>
            <w:hideMark/>
          </w:tcPr>
          <w:p w14:paraId="785BD73A"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5</w:t>
            </w:r>
          </w:p>
        </w:tc>
        <w:tc>
          <w:tcPr>
            <w:tcW w:w="685" w:type="pct"/>
            <w:vMerge w:val="restart"/>
            <w:shd w:val="clear" w:color="000000" w:fill="FFFFFF"/>
            <w:vAlign w:val="center"/>
            <w:hideMark/>
          </w:tcPr>
          <w:p w14:paraId="765CD2F0" w14:textId="77777777" w:rsidR="00004005" w:rsidRPr="00004005" w:rsidRDefault="00004005" w:rsidP="00004005">
            <w:pPr>
              <w:jc w:val="center"/>
              <w:rPr>
                <w:rFonts w:ascii="Century Gothic" w:hAnsi="Century Gothic" w:cs="Calibri"/>
                <w:b/>
                <w:bCs/>
                <w:sz w:val="20"/>
                <w:szCs w:val="20"/>
              </w:rPr>
            </w:pPr>
            <w:r w:rsidRPr="00004005">
              <w:rPr>
                <w:rFonts w:ascii="Century Gothic" w:hAnsi="Century Gothic" w:cs="Calibri"/>
                <w:b/>
                <w:bCs/>
                <w:sz w:val="20"/>
                <w:szCs w:val="20"/>
              </w:rPr>
              <w:t>Aceptable</w:t>
            </w:r>
          </w:p>
        </w:tc>
      </w:tr>
      <w:tr w:rsidR="00625B53" w:rsidRPr="00004005" w14:paraId="05ED3D57" w14:textId="77777777" w:rsidTr="00600D7E">
        <w:trPr>
          <w:trHeight w:val="750"/>
        </w:trPr>
        <w:tc>
          <w:tcPr>
            <w:tcW w:w="712" w:type="pct"/>
            <w:vMerge/>
            <w:vAlign w:val="center"/>
            <w:hideMark/>
          </w:tcPr>
          <w:p w14:paraId="64356E2D" w14:textId="77777777" w:rsidR="00004005" w:rsidRPr="00004005" w:rsidRDefault="00004005" w:rsidP="00004005">
            <w:pPr>
              <w:rPr>
                <w:rFonts w:ascii="Century Gothic" w:hAnsi="Century Gothic" w:cs="Calibri"/>
                <w:color w:val="000000"/>
                <w:sz w:val="20"/>
                <w:szCs w:val="20"/>
              </w:rPr>
            </w:pPr>
          </w:p>
        </w:tc>
        <w:tc>
          <w:tcPr>
            <w:tcW w:w="290" w:type="pct"/>
            <w:vMerge/>
            <w:vAlign w:val="center"/>
            <w:hideMark/>
          </w:tcPr>
          <w:p w14:paraId="70D0AAE2" w14:textId="77777777" w:rsidR="00004005" w:rsidRPr="00004005" w:rsidRDefault="00004005" w:rsidP="00004005">
            <w:pPr>
              <w:rPr>
                <w:rFonts w:ascii="Century Gothic" w:hAnsi="Century Gothic" w:cs="Calibri"/>
                <w:b/>
                <w:bCs/>
                <w:color w:val="404040"/>
                <w:sz w:val="20"/>
                <w:szCs w:val="20"/>
              </w:rPr>
            </w:pPr>
          </w:p>
        </w:tc>
        <w:tc>
          <w:tcPr>
            <w:tcW w:w="1448" w:type="pct"/>
            <w:shd w:val="clear" w:color="auto" w:fill="auto"/>
            <w:vAlign w:val="center"/>
            <w:hideMark/>
          </w:tcPr>
          <w:p w14:paraId="10388795"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Monitoreo continuo de herramientas de ciberseguridad.</w:t>
            </w:r>
          </w:p>
        </w:tc>
        <w:tc>
          <w:tcPr>
            <w:tcW w:w="341" w:type="pct"/>
            <w:shd w:val="clear" w:color="auto" w:fill="auto"/>
            <w:vAlign w:val="center"/>
            <w:hideMark/>
          </w:tcPr>
          <w:p w14:paraId="63B60CC2"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5A146011"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5AB6541A"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1FC540D0" w14:textId="77777777" w:rsidR="00004005" w:rsidRPr="00004005" w:rsidRDefault="00004005" w:rsidP="00004005">
            <w:pPr>
              <w:rPr>
                <w:rFonts w:ascii="Century Gothic" w:hAnsi="Century Gothic" w:cs="Calibri"/>
                <w:b/>
                <w:bCs/>
                <w:color w:val="000000"/>
                <w:sz w:val="20"/>
                <w:szCs w:val="20"/>
              </w:rPr>
            </w:pPr>
          </w:p>
        </w:tc>
        <w:tc>
          <w:tcPr>
            <w:tcW w:w="394" w:type="pct"/>
            <w:vMerge/>
            <w:vAlign w:val="center"/>
            <w:hideMark/>
          </w:tcPr>
          <w:p w14:paraId="6D543D75" w14:textId="77777777" w:rsidR="00004005" w:rsidRPr="00004005" w:rsidRDefault="00004005" w:rsidP="00004005">
            <w:pPr>
              <w:rPr>
                <w:rFonts w:ascii="Century Gothic" w:hAnsi="Century Gothic" w:cs="Calibri"/>
                <w:b/>
                <w:bCs/>
                <w:color w:val="000000"/>
                <w:sz w:val="20"/>
                <w:szCs w:val="20"/>
              </w:rPr>
            </w:pPr>
          </w:p>
        </w:tc>
        <w:tc>
          <w:tcPr>
            <w:tcW w:w="685" w:type="pct"/>
            <w:vMerge/>
            <w:vAlign w:val="center"/>
            <w:hideMark/>
          </w:tcPr>
          <w:p w14:paraId="53C69FCC" w14:textId="77777777" w:rsidR="00004005" w:rsidRPr="00004005" w:rsidRDefault="00004005" w:rsidP="00004005">
            <w:pPr>
              <w:rPr>
                <w:rFonts w:ascii="Century Gothic" w:hAnsi="Century Gothic" w:cs="Calibri"/>
                <w:b/>
                <w:bCs/>
                <w:sz w:val="20"/>
                <w:szCs w:val="20"/>
              </w:rPr>
            </w:pPr>
          </w:p>
        </w:tc>
      </w:tr>
      <w:tr w:rsidR="00625B53" w:rsidRPr="00004005" w14:paraId="3BF77AFA" w14:textId="77777777" w:rsidTr="00600D7E">
        <w:trPr>
          <w:trHeight w:val="998"/>
        </w:trPr>
        <w:tc>
          <w:tcPr>
            <w:tcW w:w="712" w:type="pct"/>
            <w:vMerge/>
            <w:vAlign w:val="center"/>
            <w:hideMark/>
          </w:tcPr>
          <w:p w14:paraId="7956D91E" w14:textId="77777777" w:rsidR="00004005" w:rsidRPr="00004005" w:rsidRDefault="00004005" w:rsidP="00004005">
            <w:pPr>
              <w:rPr>
                <w:rFonts w:ascii="Century Gothic" w:hAnsi="Century Gothic" w:cs="Calibri"/>
                <w:color w:val="000000"/>
                <w:sz w:val="20"/>
                <w:szCs w:val="20"/>
              </w:rPr>
            </w:pPr>
          </w:p>
        </w:tc>
        <w:tc>
          <w:tcPr>
            <w:tcW w:w="290" w:type="pct"/>
            <w:vMerge/>
            <w:vAlign w:val="center"/>
            <w:hideMark/>
          </w:tcPr>
          <w:p w14:paraId="13D43BAD" w14:textId="77777777" w:rsidR="00004005" w:rsidRPr="00004005" w:rsidRDefault="00004005" w:rsidP="00004005">
            <w:pPr>
              <w:rPr>
                <w:rFonts w:ascii="Century Gothic" w:hAnsi="Century Gothic" w:cs="Calibri"/>
                <w:b/>
                <w:bCs/>
                <w:color w:val="404040"/>
                <w:sz w:val="20"/>
                <w:szCs w:val="20"/>
              </w:rPr>
            </w:pPr>
          </w:p>
        </w:tc>
        <w:tc>
          <w:tcPr>
            <w:tcW w:w="1448" w:type="pct"/>
            <w:shd w:val="clear" w:color="auto" w:fill="auto"/>
            <w:vAlign w:val="center"/>
            <w:hideMark/>
          </w:tcPr>
          <w:p w14:paraId="5002255A"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Culturización en temas de ciberseguridad a la población institucional.</w:t>
            </w:r>
          </w:p>
        </w:tc>
        <w:tc>
          <w:tcPr>
            <w:tcW w:w="341" w:type="pct"/>
            <w:shd w:val="clear" w:color="auto" w:fill="auto"/>
            <w:vAlign w:val="center"/>
            <w:hideMark/>
          </w:tcPr>
          <w:p w14:paraId="7D5FCECD"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5F8D77E5"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513D7BE9"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3EC76CD1" w14:textId="77777777" w:rsidR="00004005" w:rsidRPr="00004005" w:rsidRDefault="00004005" w:rsidP="00004005">
            <w:pPr>
              <w:rPr>
                <w:rFonts w:ascii="Century Gothic" w:hAnsi="Century Gothic" w:cs="Calibri"/>
                <w:b/>
                <w:bCs/>
                <w:color w:val="000000"/>
                <w:sz w:val="20"/>
                <w:szCs w:val="20"/>
              </w:rPr>
            </w:pPr>
          </w:p>
        </w:tc>
        <w:tc>
          <w:tcPr>
            <w:tcW w:w="394" w:type="pct"/>
            <w:vMerge/>
            <w:vAlign w:val="center"/>
            <w:hideMark/>
          </w:tcPr>
          <w:p w14:paraId="03A6593C" w14:textId="77777777" w:rsidR="00004005" w:rsidRPr="00004005" w:rsidRDefault="00004005" w:rsidP="00004005">
            <w:pPr>
              <w:rPr>
                <w:rFonts w:ascii="Century Gothic" w:hAnsi="Century Gothic" w:cs="Calibri"/>
                <w:b/>
                <w:bCs/>
                <w:color w:val="000000"/>
                <w:sz w:val="20"/>
                <w:szCs w:val="20"/>
              </w:rPr>
            </w:pPr>
          </w:p>
        </w:tc>
        <w:tc>
          <w:tcPr>
            <w:tcW w:w="685" w:type="pct"/>
            <w:vMerge/>
            <w:vAlign w:val="center"/>
            <w:hideMark/>
          </w:tcPr>
          <w:p w14:paraId="1FB9F4F7" w14:textId="77777777" w:rsidR="00004005" w:rsidRPr="00004005" w:rsidRDefault="00004005" w:rsidP="00004005">
            <w:pPr>
              <w:rPr>
                <w:rFonts w:ascii="Century Gothic" w:hAnsi="Century Gothic" w:cs="Calibri"/>
                <w:b/>
                <w:bCs/>
                <w:sz w:val="20"/>
                <w:szCs w:val="20"/>
              </w:rPr>
            </w:pPr>
          </w:p>
        </w:tc>
      </w:tr>
      <w:tr w:rsidR="00625B53" w:rsidRPr="00004005" w14:paraId="382E6D2E" w14:textId="77777777" w:rsidTr="00600D7E">
        <w:trPr>
          <w:trHeight w:val="998"/>
        </w:trPr>
        <w:tc>
          <w:tcPr>
            <w:tcW w:w="712" w:type="pct"/>
            <w:vMerge/>
            <w:vAlign w:val="center"/>
            <w:hideMark/>
          </w:tcPr>
          <w:p w14:paraId="20359B18" w14:textId="77777777" w:rsidR="00004005" w:rsidRPr="00004005" w:rsidRDefault="00004005" w:rsidP="00004005">
            <w:pPr>
              <w:rPr>
                <w:rFonts w:ascii="Century Gothic" w:hAnsi="Century Gothic" w:cs="Calibri"/>
                <w:color w:val="000000"/>
                <w:sz w:val="20"/>
                <w:szCs w:val="20"/>
              </w:rPr>
            </w:pPr>
          </w:p>
        </w:tc>
        <w:tc>
          <w:tcPr>
            <w:tcW w:w="290" w:type="pct"/>
            <w:vMerge/>
            <w:vAlign w:val="center"/>
            <w:hideMark/>
          </w:tcPr>
          <w:p w14:paraId="438BAC21" w14:textId="77777777" w:rsidR="00004005" w:rsidRPr="00004005" w:rsidRDefault="00004005" w:rsidP="00004005">
            <w:pPr>
              <w:rPr>
                <w:rFonts w:ascii="Century Gothic" w:hAnsi="Century Gothic" w:cs="Calibri"/>
                <w:b/>
                <w:bCs/>
                <w:color w:val="404040"/>
                <w:sz w:val="20"/>
                <w:szCs w:val="20"/>
              </w:rPr>
            </w:pPr>
          </w:p>
        </w:tc>
        <w:tc>
          <w:tcPr>
            <w:tcW w:w="1448" w:type="pct"/>
            <w:shd w:val="clear" w:color="auto" w:fill="auto"/>
            <w:vAlign w:val="center"/>
            <w:hideMark/>
          </w:tcPr>
          <w:p w14:paraId="6057419B"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Actualizaciones continuas de sistema operativo y aplicaciones en equipos de cómputo y servidores.</w:t>
            </w:r>
          </w:p>
        </w:tc>
        <w:tc>
          <w:tcPr>
            <w:tcW w:w="341" w:type="pct"/>
            <w:shd w:val="clear" w:color="auto" w:fill="auto"/>
            <w:vAlign w:val="center"/>
            <w:hideMark/>
          </w:tcPr>
          <w:p w14:paraId="0E7CCC6D"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64BB2166"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79FD41E8"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03D66B27" w14:textId="77777777" w:rsidR="00004005" w:rsidRPr="00004005" w:rsidRDefault="00004005" w:rsidP="00004005">
            <w:pPr>
              <w:rPr>
                <w:rFonts w:ascii="Century Gothic" w:hAnsi="Century Gothic" w:cs="Calibri"/>
                <w:b/>
                <w:bCs/>
                <w:color w:val="000000"/>
                <w:sz w:val="20"/>
                <w:szCs w:val="20"/>
              </w:rPr>
            </w:pPr>
          </w:p>
        </w:tc>
        <w:tc>
          <w:tcPr>
            <w:tcW w:w="394" w:type="pct"/>
            <w:vMerge/>
            <w:vAlign w:val="center"/>
            <w:hideMark/>
          </w:tcPr>
          <w:p w14:paraId="53D97309" w14:textId="77777777" w:rsidR="00004005" w:rsidRPr="00004005" w:rsidRDefault="00004005" w:rsidP="00004005">
            <w:pPr>
              <w:rPr>
                <w:rFonts w:ascii="Century Gothic" w:hAnsi="Century Gothic" w:cs="Calibri"/>
                <w:b/>
                <w:bCs/>
                <w:color w:val="000000"/>
                <w:sz w:val="20"/>
                <w:szCs w:val="20"/>
              </w:rPr>
            </w:pPr>
          </w:p>
        </w:tc>
        <w:tc>
          <w:tcPr>
            <w:tcW w:w="685" w:type="pct"/>
            <w:vMerge/>
            <w:vAlign w:val="center"/>
            <w:hideMark/>
          </w:tcPr>
          <w:p w14:paraId="581EFF21" w14:textId="77777777" w:rsidR="00004005" w:rsidRPr="00004005" w:rsidRDefault="00004005" w:rsidP="00004005">
            <w:pPr>
              <w:rPr>
                <w:rFonts w:ascii="Century Gothic" w:hAnsi="Century Gothic" w:cs="Calibri"/>
                <w:b/>
                <w:bCs/>
                <w:sz w:val="20"/>
                <w:szCs w:val="20"/>
              </w:rPr>
            </w:pPr>
          </w:p>
        </w:tc>
      </w:tr>
      <w:tr w:rsidR="00625B53" w:rsidRPr="00004005" w14:paraId="765855A7" w14:textId="77777777" w:rsidTr="00600D7E">
        <w:trPr>
          <w:trHeight w:val="998"/>
        </w:trPr>
        <w:tc>
          <w:tcPr>
            <w:tcW w:w="712" w:type="pct"/>
            <w:vMerge/>
            <w:vAlign w:val="center"/>
            <w:hideMark/>
          </w:tcPr>
          <w:p w14:paraId="681F4F88" w14:textId="77777777" w:rsidR="00004005" w:rsidRPr="00004005" w:rsidRDefault="00004005" w:rsidP="00004005">
            <w:pPr>
              <w:rPr>
                <w:rFonts w:ascii="Century Gothic" w:hAnsi="Century Gothic" w:cs="Calibri"/>
                <w:color w:val="000000"/>
                <w:sz w:val="20"/>
                <w:szCs w:val="20"/>
              </w:rPr>
            </w:pPr>
          </w:p>
        </w:tc>
        <w:tc>
          <w:tcPr>
            <w:tcW w:w="290" w:type="pct"/>
            <w:vMerge/>
            <w:vAlign w:val="center"/>
            <w:hideMark/>
          </w:tcPr>
          <w:p w14:paraId="143AFBBC" w14:textId="77777777" w:rsidR="00004005" w:rsidRPr="00004005" w:rsidRDefault="00004005" w:rsidP="00004005">
            <w:pPr>
              <w:rPr>
                <w:rFonts w:ascii="Century Gothic" w:hAnsi="Century Gothic" w:cs="Calibri"/>
                <w:b/>
                <w:bCs/>
                <w:color w:val="404040"/>
                <w:sz w:val="20"/>
                <w:szCs w:val="20"/>
              </w:rPr>
            </w:pPr>
          </w:p>
        </w:tc>
        <w:tc>
          <w:tcPr>
            <w:tcW w:w="1448" w:type="pct"/>
            <w:shd w:val="clear" w:color="auto" w:fill="auto"/>
            <w:vAlign w:val="center"/>
            <w:hideMark/>
          </w:tcPr>
          <w:p w14:paraId="35D82148"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Implementación de controles de acceso para los equipos y sistemas de información, actualización periódica de claves, uso de doble factor de autenticación.</w:t>
            </w:r>
          </w:p>
        </w:tc>
        <w:tc>
          <w:tcPr>
            <w:tcW w:w="341" w:type="pct"/>
            <w:shd w:val="clear" w:color="auto" w:fill="auto"/>
            <w:vAlign w:val="center"/>
            <w:hideMark/>
          </w:tcPr>
          <w:p w14:paraId="3F8193A9"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690A7F54"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52C3978D"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3499D47D" w14:textId="77777777" w:rsidR="00004005" w:rsidRPr="00004005" w:rsidRDefault="00004005" w:rsidP="00004005">
            <w:pPr>
              <w:rPr>
                <w:rFonts w:ascii="Century Gothic" w:hAnsi="Century Gothic" w:cs="Calibri"/>
                <w:b/>
                <w:bCs/>
                <w:color w:val="000000"/>
                <w:sz w:val="20"/>
                <w:szCs w:val="20"/>
              </w:rPr>
            </w:pPr>
          </w:p>
        </w:tc>
        <w:tc>
          <w:tcPr>
            <w:tcW w:w="394" w:type="pct"/>
            <w:vMerge/>
            <w:vAlign w:val="center"/>
            <w:hideMark/>
          </w:tcPr>
          <w:p w14:paraId="0C799834" w14:textId="77777777" w:rsidR="00004005" w:rsidRPr="00004005" w:rsidRDefault="00004005" w:rsidP="00004005">
            <w:pPr>
              <w:rPr>
                <w:rFonts w:ascii="Century Gothic" w:hAnsi="Century Gothic" w:cs="Calibri"/>
                <w:b/>
                <w:bCs/>
                <w:color w:val="000000"/>
                <w:sz w:val="20"/>
                <w:szCs w:val="20"/>
              </w:rPr>
            </w:pPr>
          </w:p>
        </w:tc>
        <w:tc>
          <w:tcPr>
            <w:tcW w:w="685" w:type="pct"/>
            <w:vMerge/>
            <w:vAlign w:val="center"/>
            <w:hideMark/>
          </w:tcPr>
          <w:p w14:paraId="2FD0BFBC" w14:textId="77777777" w:rsidR="00004005" w:rsidRPr="00004005" w:rsidRDefault="00004005" w:rsidP="00004005">
            <w:pPr>
              <w:rPr>
                <w:rFonts w:ascii="Century Gothic" w:hAnsi="Century Gothic" w:cs="Calibri"/>
                <w:b/>
                <w:bCs/>
                <w:sz w:val="20"/>
                <w:szCs w:val="20"/>
              </w:rPr>
            </w:pPr>
          </w:p>
        </w:tc>
      </w:tr>
      <w:tr w:rsidR="00625B53" w:rsidRPr="00004005" w14:paraId="250E0931" w14:textId="77777777" w:rsidTr="00600D7E">
        <w:trPr>
          <w:trHeight w:val="520"/>
        </w:trPr>
        <w:tc>
          <w:tcPr>
            <w:tcW w:w="712" w:type="pct"/>
            <w:vMerge/>
            <w:vAlign w:val="center"/>
            <w:hideMark/>
          </w:tcPr>
          <w:p w14:paraId="35DAD703" w14:textId="77777777" w:rsidR="00004005" w:rsidRPr="00004005" w:rsidRDefault="00004005" w:rsidP="00004005">
            <w:pPr>
              <w:rPr>
                <w:rFonts w:ascii="Century Gothic" w:hAnsi="Century Gothic" w:cs="Calibri"/>
                <w:color w:val="000000"/>
                <w:sz w:val="20"/>
                <w:szCs w:val="20"/>
              </w:rPr>
            </w:pPr>
          </w:p>
        </w:tc>
        <w:tc>
          <w:tcPr>
            <w:tcW w:w="290" w:type="pct"/>
            <w:vMerge/>
            <w:vAlign w:val="center"/>
            <w:hideMark/>
          </w:tcPr>
          <w:p w14:paraId="277764EF" w14:textId="77777777" w:rsidR="00004005" w:rsidRPr="00004005" w:rsidRDefault="00004005" w:rsidP="00004005">
            <w:pPr>
              <w:rPr>
                <w:rFonts w:ascii="Century Gothic" w:hAnsi="Century Gothic" w:cs="Calibri"/>
                <w:b/>
                <w:bCs/>
                <w:color w:val="404040"/>
                <w:sz w:val="20"/>
                <w:szCs w:val="20"/>
              </w:rPr>
            </w:pPr>
          </w:p>
        </w:tc>
        <w:tc>
          <w:tcPr>
            <w:tcW w:w="1448" w:type="pct"/>
            <w:shd w:val="clear" w:color="auto" w:fill="auto"/>
            <w:vAlign w:val="center"/>
            <w:hideMark/>
          </w:tcPr>
          <w:p w14:paraId="2A67EC4F"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cuenta con certificado SSL para el sitio web institucional.</w:t>
            </w:r>
          </w:p>
        </w:tc>
        <w:tc>
          <w:tcPr>
            <w:tcW w:w="341" w:type="pct"/>
            <w:shd w:val="clear" w:color="auto" w:fill="auto"/>
            <w:vAlign w:val="center"/>
            <w:hideMark/>
          </w:tcPr>
          <w:p w14:paraId="6FE1511D"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5" w:type="pct"/>
            <w:shd w:val="clear" w:color="auto" w:fill="auto"/>
            <w:vAlign w:val="center"/>
            <w:hideMark/>
          </w:tcPr>
          <w:p w14:paraId="31F1AB24"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2" w:type="pct"/>
            <w:shd w:val="clear" w:color="auto" w:fill="auto"/>
            <w:vAlign w:val="center"/>
            <w:hideMark/>
          </w:tcPr>
          <w:p w14:paraId="1F3F433F"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343" w:type="pct"/>
            <w:vMerge/>
            <w:vAlign w:val="center"/>
            <w:hideMark/>
          </w:tcPr>
          <w:p w14:paraId="59038015" w14:textId="77777777" w:rsidR="00004005" w:rsidRPr="00004005" w:rsidRDefault="00004005" w:rsidP="00004005">
            <w:pPr>
              <w:rPr>
                <w:rFonts w:ascii="Century Gothic" w:hAnsi="Century Gothic" w:cs="Calibri"/>
                <w:b/>
                <w:bCs/>
                <w:color w:val="000000"/>
                <w:sz w:val="20"/>
                <w:szCs w:val="20"/>
              </w:rPr>
            </w:pPr>
          </w:p>
        </w:tc>
        <w:tc>
          <w:tcPr>
            <w:tcW w:w="394" w:type="pct"/>
            <w:vMerge/>
            <w:vAlign w:val="center"/>
            <w:hideMark/>
          </w:tcPr>
          <w:p w14:paraId="7655884E" w14:textId="77777777" w:rsidR="00004005" w:rsidRPr="00004005" w:rsidRDefault="00004005" w:rsidP="00004005">
            <w:pPr>
              <w:rPr>
                <w:rFonts w:ascii="Century Gothic" w:hAnsi="Century Gothic" w:cs="Calibri"/>
                <w:b/>
                <w:bCs/>
                <w:color w:val="000000"/>
                <w:sz w:val="20"/>
                <w:szCs w:val="20"/>
              </w:rPr>
            </w:pPr>
          </w:p>
        </w:tc>
        <w:tc>
          <w:tcPr>
            <w:tcW w:w="685" w:type="pct"/>
            <w:vMerge/>
            <w:vAlign w:val="center"/>
            <w:hideMark/>
          </w:tcPr>
          <w:p w14:paraId="4A5B2101" w14:textId="77777777" w:rsidR="00004005" w:rsidRPr="00004005" w:rsidRDefault="00004005" w:rsidP="00004005">
            <w:pPr>
              <w:rPr>
                <w:rFonts w:ascii="Century Gothic" w:hAnsi="Century Gothic" w:cs="Calibri"/>
                <w:b/>
                <w:bCs/>
                <w:sz w:val="20"/>
                <w:szCs w:val="20"/>
              </w:rPr>
            </w:pPr>
          </w:p>
        </w:tc>
      </w:tr>
      <w:tr w:rsidR="00625B53" w:rsidRPr="00004005" w14:paraId="5CFC7259" w14:textId="77777777" w:rsidTr="00600D7E">
        <w:trPr>
          <w:trHeight w:val="560"/>
        </w:trPr>
        <w:tc>
          <w:tcPr>
            <w:tcW w:w="712" w:type="pct"/>
            <w:vMerge/>
            <w:vAlign w:val="center"/>
            <w:hideMark/>
          </w:tcPr>
          <w:p w14:paraId="268370DF" w14:textId="77777777" w:rsidR="00004005" w:rsidRPr="00004005" w:rsidRDefault="00004005" w:rsidP="00004005">
            <w:pPr>
              <w:rPr>
                <w:rFonts w:ascii="Century Gothic" w:hAnsi="Century Gothic" w:cs="Calibri"/>
                <w:color w:val="000000"/>
              </w:rPr>
            </w:pPr>
          </w:p>
        </w:tc>
        <w:tc>
          <w:tcPr>
            <w:tcW w:w="290" w:type="pct"/>
            <w:vMerge/>
            <w:vAlign w:val="center"/>
            <w:hideMark/>
          </w:tcPr>
          <w:p w14:paraId="1B8DED36"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2ED1EE0F"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Se siguen las recomendaciones de ciberseguridad que continuamente remite el CSIRT-MICITT.</w:t>
            </w:r>
          </w:p>
        </w:tc>
        <w:tc>
          <w:tcPr>
            <w:tcW w:w="341" w:type="pct"/>
            <w:shd w:val="clear" w:color="auto" w:fill="auto"/>
            <w:vAlign w:val="center"/>
            <w:hideMark/>
          </w:tcPr>
          <w:p w14:paraId="46A68D31"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5" w:type="pct"/>
            <w:shd w:val="clear" w:color="auto" w:fill="auto"/>
            <w:vAlign w:val="center"/>
            <w:hideMark/>
          </w:tcPr>
          <w:p w14:paraId="7E835F2C"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2" w:type="pct"/>
            <w:shd w:val="clear" w:color="auto" w:fill="auto"/>
            <w:vAlign w:val="center"/>
            <w:hideMark/>
          </w:tcPr>
          <w:p w14:paraId="10E71B0A"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343" w:type="pct"/>
            <w:vMerge/>
            <w:vAlign w:val="center"/>
            <w:hideMark/>
          </w:tcPr>
          <w:p w14:paraId="0D051272" w14:textId="77777777" w:rsidR="00004005" w:rsidRPr="00004005" w:rsidRDefault="00004005" w:rsidP="00004005">
            <w:pPr>
              <w:rPr>
                <w:rFonts w:ascii="Century Gothic" w:hAnsi="Century Gothic" w:cs="Calibri"/>
                <w:b/>
                <w:bCs/>
                <w:color w:val="000000"/>
                <w:sz w:val="22"/>
              </w:rPr>
            </w:pPr>
          </w:p>
        </w:tc>
        <w:tc>
          <w:tcPr>
            <w:tcW w:w="394" w:type="pct"/>
            <w:vMerge/>
            <w:vAlign w:val="center"/>
            <w:hideMark/>
          </w:tcPr>
          <w:p w14:paraId="16A161A7" w14:textId="77777777" w:rsidR="00004005" w:rsidRPr="00004005" w:rsidRDefault="00004005" w:rsidP="00004005">
            <w:pPr>
              <w:rPr>
                <w:rFonts w:ascii="Century Gothic" w:hAnsi="Century Gothic" w:cs="Calibri"/>
                <w:b/>
                <w:bCs/>
                <w:color w:val="000000"/>
                <w:sz w:val="22"/>
                <w:szCs w:val="36"/>
              </w:rPr>
            </w:pPr>
          </w:p>
        </w:tc>
        <w:tc>
          <w:tcPr>
            <w:tcW w:w="685" w:type="pct"/>
            <w:vMerge/>
            <w:vAlign w:val="center"/>
            <w:hideMark/>
          </w:tcPr>
          <w:p w14:paraId="482C0D06" w14:textId="77777777" w:rsidR="00004005" w:rsidRPr="00004005" w:rsidRDefault="00004005" w:rsidP="00004005">
            <w:pPr>
              <w:rPr>
                <w:rFonts w:ascii="Century Gothic" w:hAnsi="Century Gothic" w:cs="Calibri"/>
                <w:b/>
                <w:bCs/>
                <w:sz w:val="22"/>
                <w:szCs w:val="32"/>
              </w:rPr>
            </w:pPr>
          </w:p>
        </w:tc>
      </w:tr>
      <w:tr w:rsidR="00625B53" w:rsidRPr="00004005" w14:paraId="7ACF92B5" w14:textId="77777777" w:rsidTr="00600D7E">
        <w:trPr>
          <w:trHeight w:val="514"/>
        </w:trPr>
        <w:tc>
          <w:tcPr>
            <w:tcW w:w="712" w:type="pct"/>
            <w:vMerge/>
            <w:vAlign w:val="center"/>
            <w:hideMark/>
          </w:tcPr>
          <w:p w14:paraId="5BBBB1FF" w14:textId="77777777" w:rsidR="00004005" w:rsidRPr="00004005" w:rsidRDefault="00004005" w:rsidP="00004005">
            <w:pPr>
              <w:rPr>
                <w:rFonts w:ascii="Century Gothic" w:hAnsi="Century Gothic" w:cs="Calibri"/>
                <w:color w:val="000000"/>
              </w:rPr>
            </w:pPr>
          </w:p>
        </w:tc>
        <w:tc>
          <w:tcPr>
            <w:tcW w:w="290" w:type="pct"/>
            <w:vMerge/>
            <w:vAlign w:val="center"/>
            <w:hideMark/>
          </w:tcPr>
          <w:p w14:paraId="4AA87288"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3B3E9EA7" w14:textId="77777777" w:rsidR="00004005" w:rsidRPr="00004005" w:rsidRDefault="00004005" w:rsidP="00004005">
            <w:pPr>
              <w:rPr>
                <w:rFonts w:ascii="Century Gothic" w:hAnsi="Century Gothic" w:cs="Calibri"/>
                <w:color w:val="000000"/>
                <w:sz w:val="20"/>
                <w:szCs w:val="22"/>
              </w:rPr>
            </w:pPr>
            <w:r w:rsidRPr="00004005">
              <w:rPr>
                <w:rFonts w:ascii="Century Gothic" w:hAnsi="Century Gothic" w:cs="Calibri"/>
                <w:color w:val="000000"/>
                <w:sz w:val="20"/>
                <w:szCs w:val="22"/>
              </w:rPr>
              <w:t>Se cuenta con protocolos de respuesta ante incidentes de ciberseguridad.</w:t>
            </w:r>
          </w:p>
        </w:tc>
        <w:tc>
          <w:tcPr>
            <w:tcW w:w="341" w:type="pct"/>
            <w:shd w:val="clear" w:color="auto" w:fill="auto"/>
            <w:vAlign w:val="center"/>
            <w:hideMark/>
          </w:tcPr>
          <w:p w14:paraId="6C593EF0"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5" w:type="pct"/>
            <w:shd w:val="clear" w:color="auto" w:fill="auto"/>
            <w:vAlign w:val="center"/>
            <w:hideMark/>
          </w:tcPr>
          <w:p w14:paraId="36D067F6"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2" w:type="pct"/>
            <w:shd w:val="clear" w:color="auto" w:fill="auto"/>
            <w:vAlign w:val="center"/>
            <w:hideMark/>
          </w:tcPr>
          <w:p w14:paraId="74311C0F"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343" w:type="pct"/>
            <w:vMerge/>
            <w:vAlign w:val="center"/>
            <w:hideMark/>
          </w:tcPr>
          <w:p w14:paraId="1B0E6788" w14:textId="77777777" w:rsidR="00004005" w:rsidRPr="00004005" w:rsidRDefault="00004005" w:rsidP="00004005">
            <w:pPr>
              <w:rPr>
                <w:rFonts w:ascii="Century Gothic" w:hAnsi="Century Gothic" w:cs="Calibri"/>
                <w:b/>
                <w:bCs/>
                <w:color w:val="000000"/>
                <w:sz w:val="22"/>
              </w:rPr>
            </w:pPr>
          </w:p>
        </w:tc>
        <w:tc>
          <w:tcPr>
            <w:tcW w:w="394" w:type="pct"/>
            <w:vMerge/>
            <w:vAlign w:val="center"/>
            <w:hideMark/>
          </w:tcPr>
          <w:p w14:paraId="12A69E75" w14:textId="77777777" w:rsidR="00004005" w:rsidRPr="00004005" w:rsidRDefault="00004005" w:rsidP="00004005">
            <w:pPr>
              <w:rPr>
                <w:rFonts w:ascii="Century Gothic" w:hAnsi="Century Gothic" w:cs="Calibri"/>
                <w:b/>
                <w:bCs/>
                <w:color w:val="000000"/>
                <w:sz w:val="22"/>
                <w:szCs w:val="36"/>
              </w:rPr>
            </w:pPr>
          </w:p>
        </w:tc>
        <w:tc>
          <w:tcPr>
            <w:tcW w:w="685" w:type="pct"/>
            <w:vMerge/>
            <w:vAlign w:val="center"/>
            <w:hideMark/>
          </w:tcPr>
          <w:p w14:paraId="1D199E03" w14:textId="77777777" w:rsidR="00004005" w:rsidRPr="00004005" w:rsidRDefault="00004005" w:rsidP="00004005">
            <w:pPr>
              <w:rPr>
                <w:rFonts w:ascii="Century Gothic" w:hAnsi="Century Gothic" w:cs="Calibri"/>
                <w:b/>
                <w:bCs/>
                <w:sz w:val="22"/>
                <w:szCs w:val="32"/>
              </w:rPr>
            </w:pPr>
          </w:p>
        </w:tc>
      </w:tr>
      <w:tr w:rsidR="00625B53" w:rsidRPr="00004005" w14:paraId="69BC17D0" w14:textId="77777777" w:rsidTr="00600D7E">
        <w:trPr>
          <w:trHeight w:val="540"/>
        </w:trPr>
        <w:tc>
          <w:tcPr>
            <w:tcW w:w="712" w:type="pct"/>
            <w:vMerge w:val="restart"/>
            <w:shd w:val="clear" w:color="auto" w:fill="auto"/>
            <w:vAlign w:val="center"/>
            <w:hideMark/>
          </w:tcPr>
          <w:p w14:paraId="083C1DBF" w14:textId="77777777" w:rsidR="00004005" w:rsidRPr="00004005" w:rsidRDefault="00004005" w:rsidP="00004005">
            <w:pPr>
              <w:jc w:val="center"/>
              <w:rPr>
                <w:rFonts w:ascii="Century Gothic" w:hAnsi="Century Gothic" w:cs="Calibri"/>
                <w:color w:val="000000"/>
                <w:sz w:val="22"/>
                <w:szCs w:val="22"/>
              </w:rPr>
            </w:pPr>
            <w:r w:rsidRPr="00004005">
              <w:rPr>
                <w:rFonts w:ascii="Century Gothic" w:hAnsi="Century Gothic" w:cs="Calibri"/>
                <w:color w:val="000000"/>
                <w:sz w:val="22"/>
                <w:szCs w:val="22"/>
              </w:rPr>
              <w:t xml:space="preserve">Posibilidad de presentar problemas o daños en la plataforma tecnológica institucional. </w:t>
            </w:r>
          </w:p>
        </w:tc>
        <w:tc>
          <w:tcPr>
            <w:tcW w:w="290" w:type="pct"/>
            <w:vMerge w:val="restart"/>
            <w:shd w:val="clear" w:color="000000" w:fill="FF7575"/>
            <w:vAlign w:val="center"/>
            <w:hideMark/>
          </w:tcPr>
          <w:p w14:paraId="054DE2C3" w14:textId="77777777" w:rsidR="00004005" w:rsidRPr="00004005" w:rsidRDefault="00004005" w:rsidP="00004005">
            <w:pPr>
              <w:jc w:val="center"/>
              <w:rPr>
                <w:rFonts w:ascii="Century Gothic" w:hAnsi="Century Gothic" w:cs="Calibri"/>
                <w:b/>
                <w:bCs/>
                <w:color w:val="404040"/>
                <w:sz w:val="22"/>
                <w:szCs w:val="22"/>
              </w:rPr>
            </w:pPr>
            <w:r w:rsidRPr="00004005">
              <w:rPr>
                <w:rFonts w:ascii="Century Gothic" w:hAnsi="Century Gothic" w:cs="Calibri"/>
                <w:b/>
                <w:bCs/>
                <w:color w:val="404040"/>
                <w:sz w:val="22"/>
                <w:szCs w:val="22"/>
              </w:rPr>
              <w:t>12</w:t>
            </w:r>
          </w:p>
        </w:tc>
        <w:tc>
          <w:tcPr>
            <w:tcW w:w="1448" w:type="pct"/>
            <w:shd w:val="clear" w:color="auto" w:fill="auto"/>
            <w:vAlign w:val="center"/>
            <w:hideMark/>
          </w:tcPr>
          <w:p w14:paraId="1800F310"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realizan pruebas de continuidad al menos una vez al año.</w:t>
            </w:r>
          </w:p>
        </w:tc>
        <w:tc>
          <w:tcPr>
            <w:tcW w:w="341" w:type="pct"/>
            <w:shd w:val="clear" w:color="auto" w:fill="auto"/>
            <w:vAlign w:val="center"/>
            <w:hideMark/>
          </w:tcPr>
          <w:p w14:paraId="77796455"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5" w:type="pct"/>
            <w:shd w:val="clear" w:color="auto" w:fill="auto"/>
            <w:vAlign w:val="center"/>
            <w:hideMark/>
          </w:tcPr>
          <w:p w14:paraId="070B0193" w14:textId="77777777" w:rsidR="00004005" w:rsidRPr="00625B53" w:rsidRDefault="00004005" w:rsidP="00004005">
            <w:pPr>
              <w:jc w:val="center"/>
              <w:rPr>
                <w:rFonts w:ascii="Century Gothic" w:hAnsi="Century Gothic" w:cs="Calibri"/>
                <w:b/>
                <w:bCs/>
                <w:color w:val="000000"/>
                <w:sz w:val="20"/>
                <w:szCs w:val="20"/>
              </w:rPr>
            </w:pPr>
            <w:r w:rsidRPr="00625B53">
              <w:rPr>
                <w:rFonts w:ascii="Century Gothic" w:hAnsi="Century Gothic" w:cs="Calibri"/>
                <w:b/>
                <w:bCs/>
                <w:color w:val="000000"/>
                <w:sz w:val="20"/>
                <w:szCs w:val="20"/>
              </w:rPr>
              <w:t>3</w:t>
            </w:r>
          </w:p>
        </w:tc>
        <w:tc>
          <w:tcPr>
            <w:tcW w:w="392" w:type="pct"/>
            <w:shd w:val="clear" w:color="auto" w:fill="auto"/>
            <w:vAlign w:val="center"/>
            <w:hideMark/>
          </w:tcPr>
          <w:p w14:paraId="4C481F12" w14:textId="77777777" w:rsidR="00004005" w:rsidRPr="00625B53" w:rsidRDefault="00004005" w:rsidP="00004005">
            <w:pPr>
              <w:jc w:val="center"/>
              <w:rPr>
                <w:rFonts w:ascii="Century Gothic" w:hAnsi="Century Gothic" w:cs="Calibri"/>
                <w:color w:val="000000"/>
                <w:sz w:val="20"/>
                <w:szCs w:val="20"/>
              </w:rPr>
            </w:pPr>
            <w:r w:rsidRPr="00625B53">
              <w:rPr>
                <w:rFonts w:ascii="Century Gothic" w:hAnsi="Century Gothic" w:cs="Calibri"/>
                <w:color w:val="000000"/>
                <w:sz w:val="20"/>
                <w:szCs w:val="20"/>
              </w:rPr>
              <w:t>3</w:t>
            </w:r>
          </w:p>
        </w:tc>
        <w:tc>
          <w:tcPr>
            <w:tcW w:w="343" w:type="pct"/>
            <w:vMerge w:val="restart"/>
            <w:shd w:val="clear" w:color="auto" w:fill="auto"/>
            <w:vAlign w:val="center"/>
            <w:hideMark/>
          </w:tcPr>
          <w:p w14:paraId="05DCD800" w14:textId="77777777" w:rsidR="00004005" w:rsidRPr="00004005" w:rsidRDefault="00004005" w:rsidP="00004005">
            <w:pPr>
              <w:jc w:val="center"/>
              <w:rPr>
                <w:rFonts w:ascii="Century Gothic" w:hAnsi="Century Gothic" w:cs="Calibri"/>
                <w:b/>
                <w:bCs/>
                <w:color w:val="000000"/>
                <w:sz w:val="22"/>
                <w:szCs w:val="22"/>
              </w:rPr>
            </w:pPr>
            <w:r w:rsidRPr="00004005">
              <w:rPr>
                <w:rFonts w:ascii="Century Gothic" w:hAnsi="Century Gothic" w:cs="Calibri"/>
                <w:b/>
                <w:bCs/>
                <w:color w:val="000000"/>
                <w:sz w:val="22"/>
                <w:szCs w:val="22"/>
              </w:rPr>
              <w:t>3</w:t>
            </w:r>
          </w:p>
        </w:tc>
        <w:tc>
          <w:tcPr>
            <w:tcW w:w="394" w:type="pct"/>
            <w:vMerge w:val="restart"/>
            <w:shd w:val="clear" w:color="000000" w:fill="FFEFBD"/>
            <w:vAlign w:val="center"/>
            <w:hideMark/>
          </w:tcPr>
          <w:p w14:paraId="04571F0B" w14:textId="77777777" w:rsidR="00004005" w:rsidRPr="00004005" w:rsidRDefault="00004005" w:rsidP="00004005">
            <w:pPr>
              <w:jc w:val="center"/>
              <w:rPr>
                <w:rFonts w:ascii="Century Gothic" w:hAnsi="Century Gothic" w:cs="Calibri"/>
                <w:b/>
                <w:bCs/>
                <w:color w:val="000000"/>
                <w:sz w:val="22"/>
                <w:szCs w:val="22"/>
              </w:rPr>
            </w:pPr>
            <w:r w:rsidRPr="00004005">
              <w:rPr>
                <w:rFonts w:ascii="Century Gothic" w:hAnsi="Century Gothic" w:cs="Calibri"/>
                <w:b/>
                <w:bCs/>
                <w:color w:val="000000"/>
                <w:sz w:val="22"/>
                <w:szCs w:val="22"/>
              </w:rPr>
              <w:t>4</w:t>
            </w:r>
          </w:p>
        </w:tc>
        <w:tc>
          <w:tcPr>
            <w:tcW w:w="685" w:type="pct"/>
            <w:vMerge w:val="restart"/>
            <w:shd w:val="clear" w:color="000000" w:fill="FFFFFF"/>
            <w:vAlign w:val="center"/>
            <w:hideMark/>
          </w:tcPr>
          <w:p w14:paraId="1D4E8E76" w14:textId="77777777" w:rsidR="00004005" w:rsidRPr="00004005" w:rsidRDefault="00004005" w:rsidP="00004005">
            <w:pPr>
              <w:jc w:val="center"/>
              <w:rPr>
                <w:rFonts w:ascii="Century Gothic" w:hAnsi="Century Gothic" w:cs="Calibri"/>
                <w:b/>
                <w:bCs/>
                <w:sz w:val="22"/>
                <w:szCs w:val="22"/>
              </w:rPr>
            </w:pPr>
            <w:r w:rsidRPr="00004005">
              <w:rPr>
                <w:rFonts w:ascii="Century Gothic" w:hAnsi="Century Gothic" w:cs="Calibri"/>
                <w:b/>
                <w:bCs/>
                <w:sz w:val="22"/>
                <w:szCs w:val="22"/>
              </w:rPr>
              <w:t>Aceptable</w:t>
            </w:r>
          </w:p>
        </w:tc>
      </w:tr>
      <w:tr w:rsidR="00625B53" w:rsidRPr="00004005" w14:paraId="1F05626F" w14:textId="77777777" w:rsidTr="00600D7E">
        <w:trPr>
          <w:trHeight w:val="998"/>
        </w:trPr>
        <w:tc>
          <w:tcPr>
            <w:tcW w:w="712" w:type="pct"/>
            <w:vMerge/>
            <w:vAlign w:val="center"/>
            <w:hideMark/>
          </w:tcPr>
          <w:p w14:paraId="6FEA6352" w14:textId="77777777" w:rsidR="00004005" w:rsidRPr="00004005" w:rsidRDefault="00004005" w:rsidP="00004005">
            <w:pPr>
              <w:rPr>
                <w:rFonts w:ascii="Century Gothic" w:hAnsi="Century Gothic" w:cs="Calibri"/>
                <w:color w:val="000000"/>
              </w:rPr>
            </w:pPr>
          </w:p>
        </w:tc>
        <w:tc>
          <w:tcPr>
            <w:tcW w:w="290" w:type="pct"/>
            <w:vMerge/>
            <w:vAlign w:val="center"/>
            <w:hideMark/>
          </w:tcPr>
          <w:p w14:paraId="0DF13C0D"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7A996A8D"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cuenta con el servicio de un centro de datos externo, que permite mantener cierto nivel de redundancia para el tema de respaldos.</w:t>
            </w:r>
          </w:p>
        </w:tc>
        <w:tc>
          <w:tcPr>
            <w:tcW w:w="341" w:type="pct"/>
            <w:shd w:val="clear" w:color="auto" w:fill="auto"/>
            <w:vAlign w:val="center"/>
            <w:hideMark/>
          </w:tcPr>
          <w:p w14:paraId="6A99AD63"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249DAD12"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500559EA"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78573FB2" w14:textId="77777777" w:rsidR="00004005" w:rsidRPr="00004005" w:rsidRDefault="00004005" w:rsidP="00004005">
            <w:pPr>
              <w:rPr>
                <w:rFonts w:ascii="Century Gothic" w:hAnsi="Century Gothic" w:cs="Calibri"/>
                <w:b/>
                <w:bCs/>
                <w:color w:val="000000"/>
              </w:rPr>
            </w:pPr>
          </w:p>
        </w:tc>
        <w:tc>
          <w:tcPr>
            <w:tcW w:w="394" w:type="pct"/>
            <w:vMerge/>
            <w:vAlign w:val="center"/>
            <w:hideMark/>
          </w:tcPr>
          <w:p w14:paraId="463379C3" w14:textId="77777777" w:rsidR="00004005" w:rsidRPr="00004005" w:rsidRDefault="00004005" w:rsidP="00004005">
            <w:pPr>
              <w:rPr>
                <w:rFonts w:ascii="Century Gothic" w:hAnsi="Century Gothic" w:cs="Calibri"/>
                <w:b/>
                <w:bCs/>
                <w:color w:val="000000"/>
                <w:sz w:val="36"/>
                <w:szCs w:val="36"/>
              </w:rPr>
            </w:pPr>
          </w:p>
        </w:tc>
        <w:tc>
          <w:tcPr>
            <w:tcW w:w="685" w:type="pct"/>
            <w:vMerge/>
            <w:vAlign w:val="center"/>
            <w:hideMark/>
          </w:tcPr>
          <w:p w14:paraId="3FD30F79" w14:textId="77777777" w:rsidR="00004005" w:rsidRPr="00004005" w:rsidRDefault="00004005" w:rsidP="00004005">
            <w:pPr>
              <w:rPr>
                <w:rFonts w:ascii="Century Gothic" w:hAnsi="Century Gothic" w:cs="Calibri"/>
                <w:b/>
                <w:bCs/>
                <w:sz w:val="32"/>
                <w:szCs w:val="32"/>
              </w:rPr>
            </w:pPr>
          </w:p>
        </w:tc>
      </w:tr>
      <w:tr w:rsidR="00625B53" w:rsidRPr="00004005" w14:paraId="27DD884F" w14:textId="77777777" w:rsidTr="00600D7E">
        <w:trPr>
          <w:trHeight w:val="998"/>
        </w:trPr>
        <w:tc>
          <w:tcPr>
            <w:tcW w:w="712" w:type="pct"/>
            <w:vMerge/>
            <w:vAlign w:val="center"/>
            <w:hideMark/>
          </w:tcPr>
          <w:p w14:paraId="2C9E0F1F" w14:textId="77777777" w:rsidR="00004005" w:rsidRPr="00004005" w:rsidRDefault="00004005" w:rsidP="00004005">
            <w:pPr>
              <w:rPr>
                <w:rFonts w:ascii="Century Gothic" w:hAnsi="Century Gothic" w:cs="Calibri"/>
                <w:color w:val="000000"/>
              </w:rPr>
            </w:pPr>
          </w:p>
        </w:tc>
        <w:tc>
          <w:tcPr>
            <w:tcW w:w="290" w:type="pct"/>
            <w:vMerge/>
            <w:vAlign w:val="center"/>
            <w:hideMark/>
          </w:tcPr>
          <w:p w14:paraId="46B6E716"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71CC1420"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realizan respaldos automáticos de las bases de datos, tanto localmente como en la nube.</w:t>
            </w:r>
          </w:p>
        </w:tc>
        <w:tc>
          <w:tcPr>
            <w:tcW w:w="341" w:type="pct"/>
            <w:shd w:val="clear" w:color="auto" w:fill="auto"/>
            <w:vAlign w:val="center"/>
            <w:hideMark/>
          </w:tcPr>
          <w:p w14:paraId="3D2D075C"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03803875"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6902806C"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2005979D" w14:textId="77777777" w:rsidR="00004005" w:rsidRPr="00004005" w:rsidRDefault="00004005" w:rsidP="00004005">
            <w:pPr>
              <w:rPr>
                <w:rFonts w:ascii="Century Gothic" w:hAnsi="Century Gothic" w:cs="Calibri"/>
                <w:b/>
                <w:bCs/>
                <w:color w:val="000000"/>
              </w:rPr>
            </w:pPr>
          </w:p>
        </w:tc>
        <w:tc>
          <w:tcPr>
            <w:tcW w:w="394" w:type="pct"/>
            <w:vMerge/>
            <w:vAlign w:val="center"/>
            <w:hideMark/>
          </w:tcPr>
          <w:p w14:paraId="1196167D" w14:textId="77777777" w:rsidR="00004005" w:rsidRPr="00004005" w:rsidRDefault="00004005" w:rsidP="00004005">
            <w:pPr>
              <w:rPr>
                <w:rFonts w:ascii="Century Gothic" w:hAnsi="Century Gothic" w:cs="Calibri"/>
                <w:b/>
                <w:bCs/>
                <w:color w:val="000000"/>
                <w:sz w:val="36"/>
                <w:szCs w:val="36"/>
              </w:rPr>
            </w:pPr>
          </w:p>
        </w:tc>
        <w:tc>
          <w:tcPr>
            <w:tcW w:w="685" w:type="pct"/>
            <w:vMerge/>
            <w:vAlign w:val="center"/>
            <w:hideMark/>
          </w:tcPr>
          <w:p w14:paraId="45E97295" w14:textId="77777777" w:rsidR="00004005" w:rsidRPr="00004005" w:rsidRDefault="00004005" w:rsidP="00004005">
            <w:pPr>
              <w:rPr>
                <w:rFonts w:ascii="Century Gothic" w:hAnsi="Century Gothic" w:cs="Calibri"/>
                <w:b/>
                <w:bCs/>
                <w:sz w:val="32"/>
                <w:szCs w:val="32"/>
              </w:rPr>
            </w:pPr>
          </w:p>
        </w:tc>
      </w:tr>
      <w:tr w:rsidR="00625B53" w:rsidRPr="00004005" w14:paraId="53966068" w14:textId="77777777" w:rsidTr="00600D7E">
        <w:trPr>
          <w:trHeight w:val="998"/>
        </w:trPr>
        <w:tc>
          <w:tcPr>
            <w:tcW w:w="712" w:type="pct"/>
            <w:vMerge/>
            <w:vAlign w:val="center"/>
            <w:hideMark/>
          </w:tcPr>
          <w:p w14:paraId="78C311CB" w14:textId="77777777" w:rsidR="00004005" w:rsidRPr="00004005" w:rsidRDefault="00004005" w:rsidP="00004005">
            <w:pPr>
              <w:rPr>
                <w:rFonts w:ascii="Century Gothic" w:hAnsi="Century Gothic" w:cs="Calibri"/>
                <w:color w:val="000000"/>
              </w:rPr>
            </w:pPr>
          </w:p>
        </w:tc>
        <w:tc>
          <w:tcPr>
            <w:tcW w:w="290" w:type="pct"/>
            <w:vMerge/>
            <w:vAlign w:val="center"/>
            <w:hideMark/>
          </w:tcPr>
          <w:p w14:paraId="6E8E8371"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6C557910"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cuenta con un ambiente de desarrollo para hacer pruebas antes de publicar sistemas nuevos o mejoras a los mismos.</w:t>
            </w:r>
          </w:p>
        </w:tc>
        <w:tc>
          <w:tcPr>
            <w:tcW w:w="341" w:type="pct"/>
            <w:shd w:val="clear" w:color="auto" w:fill="auto"/>
            <w:vAlign w:val="center"/>
            <w:hideMark/>
          </w:tcPr>
          <w:p w14:paraId="26125420"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2832061A"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2220C8F2"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5EC9B9EA" w14:textId="77777777" w:rsidR="00004005" w:rsidRPr="00004005" w:rsidRDefault="00004005" w:rsidP="00004005">
            <w:pPr>
              <w:rPr>
                <w:rFonts w:ascii="Century Gothic" w:hAnsi="Century Gothic" w:cs="Calibri"/>
                <w:b/>
                <w:bCs/>
                <w:color w:val="000000"/>
              </w:rPr>
            </w:pPr>
          </w:p>
        </w:tc>
        <w:tc>
          <w:tcPr>
            <w:tcW w:w="394" w:type="pct"/>
            <w:vMerge/>
            <w:vAlign w:val="center"/>
            <w:hideMark/>
          </w:tcPr>
          <w:p w14:paraId="7BEE2337" w14:textId="77777777" w:rsidR="00004005" w:rsidRPr="00004005" w:rsidRDefault="00004005" w:rsidP="00004005">
            <w:pPr>
              <w:rPr>
                <w:rFonts w:ascii="Century Gothic" w:hAnsi="Century Gothic" w:cs="Calibri"/>
                <w:b/>
                <w:bCs/>
                <w:color w:val="000000"/>
                <w:sz w:val="36"/>
                <w:szCs w:val="36"/>
              </w:rPr>
            </w:pPr>
          </w:p>
        </w:tc>
        <w:tc>
          <w:tcPr>
            <w:tcW w:w="685" w:type="pct"/>
            <w:vMerge/>
            <w:vAlign w:val="center"/>
            <w:hideMark/>
          </w:tcPr>
          <w:p w14:paraId="79C9F3AE" w14:textId="77777777" w:rsidR="00004005" w:rsidRPr="00004005" w:rsidRDefault="00004005" w:rsidP="00004005">
            <w:pPr>
              <w:rPr>
                <w:rFonts w:ascii="Century Gothic" w:hAnsi="Century Gothic" w:cs="Calibri"/>
                <w:b/>
                <w:bCs/>
                <w:sz w:val="32"/>
                <w:szCs w:val="32"/>
              </w:rPr>
            </w:pPr>
          </w:p>
        </w:tc>
      </w:tr>
      <w:tr w:rsidR="00625B53" w:rsidRPr="00004005" w14:paraId="310D5B6F" w14:textId="77777777" w:rsidTr="00600D7E">
        <w:trPr>
          <w:trHeight w:val="998"/>
        </w:trPr>
        <w:tc>
          <w:tcPr>
            <w:tcW w:w="712" w:type="pct"/>
            <w:vMerge/>
            <w:vAlign w:val="center"/>
            <w:hideMark/>
          </w:tcPr>
          <w:p w14:paraId="4AFD5BE8" w14:textId="77777777" w:rsidR="00004005" w:rsidRPr="00004005" w:rsidRDefault="00004005" w:rsidP="00004005">
            <w:pPr>
              <w:rPr>
                <w:rFonts w:ascii="Century Gothic" w:hAnsi="Century Gothic" w:cs="Calibri"/>
                <w:color w:val="000000"/>
              </w:rPr>
            </w:pPr>
          </w:p>
        </w:tc>
        <w:tc>
          <w:tcPr>
            <w:tcW w:w="290" w:type="pct"/>
            <w:vMerge/>
            <w:vAlign w:val="center"/>
            <w:hideMark/>
          </w:tcPr>
          <w:p w14:paraId="74BBC339" w14:textId="77777777" w:rsidR="00004005" w:rsidRPr="00004005" w:rsidRDefault="00004005" w:rsidP="00004005">
            <w:pPr>
              <w:rPr>
                <w:rFonts w:ascii="Century Gothic" w:hAnsi="Century Gothic" w:cs="Calibri"/>
                <w:b/>
                <w:bCs/>
                <w:color w:val="404040"/>
                <w:sz w:val="44"/>
                <w:szCs w:val="44"/>
              </w:rPr>
            </w:pPr>
          </w:p>
        </w:tc>
        <w:tc>
          <w:tcPr>
            <w:tcW w:w="1448" w:type="pct"/>
            <w:shd w:val="clear" w:color="auto" w:fill="auto"/>
            <w:vAlign w:val="center"/>
            <w:hideMark/>
          </w:tcPr>
          <w:p w14:paraId="623D49C8" w14:textId="77777777" w:rsidR="00004005" w:rsidRPr="00004005" w:rsidRDefault="00004005" w:rsidP="00004005">
            <w:pPr>
              <w:rPr>
                <w:rFonts w:ascii="Century Gothic" w:hAnsi="Century Gothic" w:cs="Calibri"/>
                <w:color w:val="000000"/>
                <w:sz w:val="20"/>
                <w:szCs w:val="20"/>
              </w:rPr>
            </w:pPr>
            <w:r w:rsidRPr="00004005">
              <w:rPr>
                <w:rFonts w:ascii="Century Gothic" w:hAnsi="Century Gothic" w:cs="Calibri"/>
                <w:color w:val="000000"/>
                <w:sz w:val="20"/>
                <w:szCs w:val="20"/>
              </w:rPr>
              <w:t>Se cuenta con contratos activos de servicios continuos,  relacionados con la seguridad ambiental del centro de datos local (aires acondicionados y UPSs.)</w:t>
            </w:r>
          </w:p>
        </w:tc>
        <w:tc>
          <w:tcPr>
            <w:tcW w:w="341" w:type="pct"/>
            <w:shd w:val="clear" w:color="auto" w:fill="auto"/>
            <w:vAlign w:val="center"/>
            <w:hideMark/>
          </w:tcPr>
          <w:p w14:paraId="64446308"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5" w:type="pct"/>
            <w:shd w:val="clear" w:color="auto" w:fill="auto"/>
            <w:vAlign w:val="center"/>
            <w:hideMark/>
          </w:tcPr>
          <w:p w14:paraId="2E9820E5" w14:textId="77777777" w:rsidR="00004005" w:rsidRPr="00004005" w:rsidRDefault="00004005" w:rsidP="00004005">
            <w:pPr>
              <w:jc w:val="center"/>
              <w:rPr>
                <w:rFonts w:ascii="Century Gothic" w:hAnsi="Century Gothic" w:cs="Calibri"/>
                <w:b/>
                <w:bCs/>
                <w:color w:val="000000"/>
                <w:sz w:val="20"/>
                <w:szCs w:val="20"/>
              </w:rPr>
            </w:pPr>
            <w:r w:rsidRPr="00004005">
              <w:rPr>
                <w:rFonts w:ascii="Century Gothic" w:hAnsi="Century Gothic" w:cs="Calibri"/>
                <w:b/>
                <w:bCs/>
                <w:color w:val="000000"/>
                <w:sz w:val="20"/>
                <w:szCs w:val="20"/>
              </w:rPr>
              <w:t>3</w:t>
            </w:r>
          </w:p>
        </w:tc>
        <w:tc>
          <w:tcPr>
            <w:tcW w:w="392" w:type="pct"/>
            <w:shd w:val="clear" w:color="auto" w:fill="auto"/>
            <w:vAlign w:val="center"/>
            <w:hideMark/>
          </w:tcPr>
          <w:p w14:paraId="1D32B5C1" w14:textId="77777777" w:rsidR="00004005" w:rsidRPr="00004005" w:rsidRDefault="00004005" w:rsidP="00004005">
            <w:pPr>
              <w:jc w:val="center"/>
              <w:rPr>
                <w:rFonts w:ascii="Century Gothic" w:hAnsi="Century Gothic" w:cs="Calibri"/>
                <w:color w:val="000000"/>
                <w:sz w:val="20"/>
                <w:szCs w:val="20"/>
              </w:rPr>
            </w:pPr>
            <w:r w:rsidRPr="00004005">
              <w:rPr>
                <w:rFonts w:ascii="Century Gothic" w:hAnsi="Century Gothic" w:cs="Calibri"/>
                <w:color w:val="000000"/>
                <w:sz w:val="20"/>
                <w:szCs w:val="20"/>
              </w:rPr>
              <w:t>3</w:t>
            </w:r>
          </w:p>
        </w:tc>
        <w:tc>
          <w:tcPr>
            <w:tcW w:w="343" w:type="pct"/>
            <w:vMerge/>
            <w:vAlign w:val="center"/>
            <w:hideMark/>
          </w:tcPr>
          <w:p w14:paraId="3D73684F" w14:textId="77777777" w:rsidR="00004005" w:rsidRPr="00004005" w:rsidRDefault="00004005" w:rsidP="00004005">
            <w:pPr>
              <w:rPr>
                <w:rFonts w:ascii="Century Gothic" w:hAnsi="Century Gothic" w:cs="Calibri"/>
                <w:b/>
                <w:bCs/>
                <w:color w:val="000000"/>
              </w:rPr>
            </w:pPr>
          </w:p>
        </w:tc>
        <w:tc>
          <w:tcPr>
            <w:tcW w:w="394" w:type="pct"/>
            <w:vMerge/>
            <w:vAlign w:val="center"/>
            <w:hideMark/>
          </w:tcPr>
          <w:p w14:paraId="0F756536" w14:textId="77777777" w:rsidR="00004005" w:rsidRPr="00004005" w:rsidRDefault="00004005" w:rsidP="00004005">
            <w:pPr>
              <w:rPr>
                <w:rFonts w:ascii="Century Gothic" w:hAnsi="Century Gothic" w:cs="Calibri"/>
                <w:b/>
                <w:bCs/>
                <w:color w:val="000000"/>
                <w:sz w:val="36"/>
                <w:szCs w:val="36"/>
              </w:rPr>
            </w:pPr>
          </w:p>
        </w:tc>
        <w:tc>
          <w:tcPr>
            <w:tcW w:w="685" w:type="pct"/>
            <w:vMerge/>
            <w:vAlign w:val="center"/>
            <w:hideMark/>
          </w:tcPr>
          <w:p w14:paraId="25B8792C" w14:textId="77777777" w:rsidR="00004005" w:rsidRPr="00004005" w:rsidRDefault="00004005" w:rsidP="00004005">
            <w:pPr>
              <w:rPr>
                <w:rFonts w:ascii="Century Gothic" w:hAnsi="Century Gothic" w:cs="Calibri"/>
                <w:b/>
                <w:bCs/>
                <w:sz w:val="32"/>
                <w:szCs w:val="32"/>
              </w:rPr>
            </w:pPr>
          </w:p>
        </w:tc>
      </w:tr>
    </w:tbl>
    <w:p w14:paraId="14EDD8B7" w14:textId="71A48488" w:rsidR="0087076D" w:rsidRDefault="0087076D" w:rsidP="00C1155B"/>
    <w:p w14:paraId="4DA85116" w14:textId="3F7F6D67" w:rsidR="001F181F" w:rsidRDefault="001F181F" w:rsidP="00C1155B">
      <w:pPr>
        <w:rPr>
          <w:noProof/>
        </w:rPr>
      </w:pPr>
    </w:p>
    <w:p w14:paraId="1694EACD" w14:textId="68BC36B0" w:rsidR="00004005" w:rsidRDefault="00004005" w:rsidP="00C1155B">
      <w:pPr>
        <w:rPr>
          <w:noProof/>
        </w:rPr>
      </w:pPr>
    </w:p>
    <w:tbl>
      <w:tblPr>
        <w:tblW w:w="5417" w:type="pct"/>
        <w:tblInd w:w="-57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2415"/>
        <w:gridCol w:w="908"/>
        <w:gridCol w:w="3819"/>
        <w:gridCol w:w="1170"/>
        <w:gridCol w:w="1053"/>
        <w:gridCol w:w="1407"/>
        <w:gridCol w:w="956"/>
        <w:gridCol w:w="968"/>
        <w:gridCol w:w="1576"/>
      </w:tblGrid>
      <w:tr w:rsidR="00625B53" w:rsidRPr="00D95A97" w14:paraId="7440E520" w14:textId="77777777" w:rsidTr="00600D7E">
        <w:trPr>
          <w:trHeight w:val="932"/>
          <w:tblHeader/>
        </w:trPr>
        <w:tc>
          <w:tcPr>
            <w:tcW w:w="846" w:type="pct"/>
            <w:vMerge w:val="restart"/>
            <w:shd w:val="clear" w:color="000000" w:fill="548235"/>
            <w:vAlign w:val="center"/>
            <w:hideMark/>
          </w:tcPr>
          <w:p w14:paraId="3F9E5558"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lastRenderedPageBreak/>
              <w:t>EVENTO DESENCADENANTE DEL RIESGO</w:t>
            </w:r>
          </w:p>
        </w:tc>
        <w:tc>
          <w:tcPr>
            <w:tcW w:w="318" w:type="pct"/>
            <w:vMerge w:val="restart"/>
            <w:shd w:val="clear" w:color="000000" w:fill="548235"/>
            <w:vAlign w:val="center"/>
            <w:hideMark/>
          </w:tcPr>
          <w:p w14:paraId="383CF4B3"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 xml:space="preserve">NIVEL DE RIESGOS SIN MEDIDAS </w:t>
            </w:r>
          </w:p>
        </w:tc>
        <w:tc>
          <w:tcPr>
            <w:tcW w:w="1338" w:type="pct"/>
            <w:vMerge w:val="restart"/>
            <w:shd w:val="clear" w:color="000000" w:fill="548235"/>
            <w:vAlign w:val="center"/>
            <w:hideMark/>
          </w:tcPr>
          <w:p w14:paraId="158447CE"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 xml:space="preserve">MEDIDAS ACTUALES PARA SU ADMINISTRACIÓN </w:t>
            </w:r>
          </w:p>
        </w:tc>
        <w:tc>
          <w:tcPr>
            <w:tcW w:w="410" w:type="pct"/>
            <w:vMerge w:val="restart"/>
            <w:shd w:val="clear" w:color="000000" w:fill="548235"/>
            <w:vAlign w:val="center"/>
            <w:hideMark/>
          </w:tcPr>
          <w:p w14:paraId="0EC355F9"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002060"/>
                <w:sz w:val="16"/>
                <w:szCs w:val="18"/>
              </w:rPr>
              <w:t>EFICIENCIA</w:t>
            </w:r>
            <w:r w:rsidRPr="00D95A97">
              <w:rPr>
                <w:rFonts w:ascii="Century Gothic" w:hAnsi="Century Gothic" w:cs="Calibri"/>
                <w:b/>
                <w:bCs/>
                <w:color w:val="FFFFFF"/>
                <w:sz w:val="16"/>
                <w:szCs w:val="18"/>
              </w:rPr>
              <w:t xml:space="preserve"> DE LAS MEDIDAS ACTUALES</w:t>
            </w:r>
          </w:p>
        </w:tc>
        <w:tc>
          <w:tcPr>
            <w:tcW w:w="369" w:type="pct"/>
            <w:vMerge w:val="restart"/>
            <w:shd w:val="clear" w:color="000000" w:fill="548235"/>
            <w:vAlign w:val="center"/>
            <w:hideMark/>
          </w:tcPr>
          <w:p w14:paraId="76C5E468"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 xml:space="preserve">EFICACIA DE LAS MEDIDAS ACTUALES </w:t>
            </w:r>
          </w:p>
        </w:tc>
        <w:tc>
          <w:tcPr>
            <w:tcW w:w="828" w:type="pct"/>
            <w:gridSpan w:val="2"/>
            <w:shd w:val="clear" w:color="000000" w:fill="548235"/>
            <w:vAlign w:val="center"/>
            <w:hideMark/>
          </w:tcPr>
          <w:p w14:paraId="20D85767"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Funcionalidad (efectividad) de controles</w:t>
            </w:r>
          </w:p>
        </w:tc>
        <w:tc>
          <w:tcPr>
            <w:tcW w:w="339" w:type="pct"/>
            <w:vMerge w:val="restart"/>
            <w:shd w:val="clear" w:color="000000" w:fill="548235"/>
            <w:vAlign w:val="center"/>
            <w:hideMark/>
          </w:tcPr>
          <w:p w14:paraId="269DDA5E"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NIVEL DE RIESGOS CON MEDIDAS</w:t>
            </w:r>
          </w:p>
        </w:tc>
        <w:tc>
          <w:tcPr>
            <w:tcW w:w="552" w:type="pct"/>
            <w:vMerge w:val="restart"/>
            <w:shd w:val="clear" w:color="000000" w:fill="548235"/>
            <w:vAlign w:val="center"/>
            <w:hideMark/>
          </w:tcPr>
          <w:p w14:paraId="10CF1AB9" w14:textId="77777777" w:rsidR="00D95A97" w:rsidRPr="00D95A97" w:rsidRDefault="00D95A97" w:rsidP="00D95A97">
            <w:pPr>
              <w:jc w:val="center"/>
              <w:rPr>
                <w:rFonts w:ascii="Century Gothic" w:hAnsi="Century Gothic" w:cs="Calibri"/>
                <w:b/>
                <w:bCs/>
                <w:color w:val="FFFFFF"/>
                <w:sz w:val="16"/>
                <w:szCs w:val="18"/>
              </w:rPr>
            </w:pPr>
            <w:r w:rsidRPr="00D95A97">
              <w:rPr>
                <w:rFonts w:ascii="Century Gothic" w:hAnsi="Century Gothic" w:cs="Calibri"/>
                <w:b/>
                <w:bCs/>
                <w:color w:val="FFFFFF"/>
                <w:sz w:val="16"/>
                <w:szCs w:val="18"/>
              </w:rPr>
              <w:t xml:space="preserve">ACEPTABILIDAD DEL RIESGO  </w:t>
            </w:r>
            <w:r w:rsidRPr="00D95A97">
              <w:rPr>
                <w:rFonts w:ascii="Century Gothic" w:hAnsi="Century Gothic" w:cs="Calibri"/>
                <w:b/>
                <w:bCs/>
                <w:color w:val="FFFFFF"/>
                <w:sz w:val="16"/>
                <w:szCs w:val="18"/>
              </w:rPr>
              <w:br/>
              <w:t xml:space="preserve">CON CONTROLES </w:t>
            </w:r>
          </w:p>
        </w:tc>
      </w:tr>
      <w:tr w:rsidR="00600D7E" w:rsidRPr="00D95A97" w14:paraId="6C77286F" w14:textId="77777777" w:rsidTr="00600D7E">
        <w:trPr>
          <w:trHeight w:val="59"/>
          <w:tblHeader/>
        </w:trPr>
        <w:tc>
          <w:tcPr>
            <w:tcW w:w="846" w:type="pct"/>
            <w:vMerge/>
            <w:vAlign w:val="center"/>
            <w:hideMark/>
          </w:tcPr>
          <w:p w14:paraId="78A2E61F" w14:textId="77777777" w:rsidR="00D95A97" w:rsidRPr="00D95A97" w:rsidRDefault="00D95A97" w:rsidP="00D95A97">
            <w:pPr>
              <w:rPr>
                <w:rFonts w:ascii="Century Gothic" w:hAnsi="Century Gothic" w:cs="Calibri"/>
                <w:b/>
                <w:bCs/>
                <w:color w:val="FFFFFF"/>
                <w:sz w:val="28"/>
                <w:szCs w:val="28"/>
              </w:rPr>
            </w:pPr>
          </w:p>
        </w:tc>
        <w:tc>
          <w:tcPr>
            <w:tcW w:w="318" w:type="pct"/>
            <w:vMerge/>
            <w:vAlign w:val="center"/>
            <w:hideMark/>
          </w:tcPr>
          <w:p w14:paraId="1C6329E0" w14:textId="77777777" w:rsidR="00D95A97" w:rsidRPr="00D95A97" w:rsidRDefault="00D95A97" w:rsidP="00D95A97">
            <w:pPr>
              <w:rPr>
                <w:rFonts w:ascii="Century Gothic" w:hAnsi="Century Gothic" w:cs="Calibri"/>
                <w:b/>
                <w:bCs/>
                <w:color w:val="FFFFFF"/>
                <w:sz w:val="28"/>
                <w:szCs w:val="28"/>
              </w:rPr>
            </w:pPr>
          </w:p>
        </w:tc>
        <w:tc>
          <w:tcPr>
            <w:tcW w:w="1338" w:type="pct"/>
            <w:vMerge/>
            <w:vAlign w:val="center"/>
            <w:hideMark/>
          </w:tcPr>
          <w:p w14:paraId="234A3E88" w14:textId="77777777" w:rsidR="00D95A97" w:rsidRPr="00D95A97" w:rsidRDefault="00D95A97" w:rsidP="00D95A97">
            <w:pPr>
              <w:rPr>
                <w:rFonts w:ascii="Century Gothic" w:hAnsi="Century Gothic" w:cs="Calibri"/>
                <w:b/>
                <w:bCs/>
                <w:color w:val="FFFFFF"/>
                <w:sz w:val="28"/>
                <w:szCs w:val="28"/>
              </w:rPr>
            </w:pPr>
          </w:p>
        </w:tc>
        <w:tc>
          <w:tcPr>
            <w:tcW w:w="410" w:type="pct"/>
            <w:vMerge/>
            <w:vAlign w:val="center"/>
            <w:hideMark/>
          </w:tcPr>
          <w:p w14:paraId="724DBE2C" w14:textId="77777777" w:rsidR="00D95A97" w:rsidRPr="00D95A97" w:rsidRDefault="00D95A97" w:rsidP="00D95A97">
            <w:pPr>
              <w:rPr>
                <w:rFonts w:ascii="Century Gothic" w:hAnsi="Century Gothic" w:cs="Calibri"/>
                <w:b/>
                <w:bCs/>
                <w:color w:val="FFFFFF"/>
                <w:sz w:val="28"/>
                <w:szCs w:val="28"/>
              </w:rPr>
            </w:pPr>
          </w:p>
        </w:tc>
        <w:tc>
          <w:tcPr>
            <w:tcW w:w="369" w:type="pct"/>
            <w:vMerge/>
            <w:vAlign w:val="center"/>
            <w:hideMark/>
          </w:tcPr>
          <w:p w14:paraId="2B8584DD" w14:textId="77777777" w:rsidR="00D95A97" w:rsidRPr="00D95A97" w:rsidRDefault="00D95A97" w:rsidP="00D95A97">
            <w:pPr>
              <w:rPr>
                <w:rFonts w:ascii="Century Gothic" w:hAnsi="Century Gothic" w:cs="Calibri"/>
                <w:b/>
                <w:bCs/>
                <w:color w:val="FFFFFF"/>
                <w:sz w:val="28"/>
                <w:szCs w:val="28"/>
              </w:rPr>
            </w:pPr>
          </w:p>
        </w:tc>
        <w:tc>
          <w:tcPr>
            <w:tcW w:w="493" w:type="pct"/>
            <w:shd w:val="clear" w:color="000000" w:fill="548235"/>
            <w:vAlign w:val="center"/>
            <w:hideMark/>
          </w:tcPr>
          <w:p w14:paraId="3C46D4E6" w14:textId="77777777" w:rsidR="00D95A97" w:rsidRPr="00D95A97" w:rsidRDefault="00D95A97" w:rsidP="00D95A97">
            <w:pPr>
              <w:jc w:val="center"/>
              <w:rPr>
                <w:rFonts w:ascii="Century Gothic" w:hAnsi="Century Gothic" w:cs="Calibri"/>
                <w:b/>
                <w:bCs/>
                <w:color w:val="FFFFFF"/>
                <w:sz w:val="16"/>
                <w:szCs w:val="16"/>
              </w:rPr>
            </w:pPr>
            <w:r w:rsidRPr="00D95A97">
              <w:rPr>
                <w:rFonts w:ascii="Century Gothic" w:hAnsi="Century Gothic" w:cs="Calibri"/>
                <w:b/>
                <w:bCs/>
                <w:color w:val="FFFFFF"/>
                <w:sz w:val="16"/>
                <w:szCs w:val="16"/>
              </w:rPr>
              <w:t xml:space="preserve">Calificación </w:t>
            </w:r>
          </w:p>
        </w:tc>
        <w:tc>
          <w:tcPr>
            <w:tcW w:w="335" w:type="pct"/>
            <w:shd w:val="clear" w:color="000000" w:fill="548235"/>
            <w:vAlign w:val="center"/>
            <w:hideMark/>
          </w:tcPr>
          <w:p w14:paraId="04624164" w14:textId="77777777" w:rsidR="00D95A97" w:rsidRPr="00D95A97" w:rsidRDefault="00D95A97" w:rsidP="00D95A97">
            <w:pPr>
              <w:jc w:val="center"/>
              <w:rPr>
                <w:rFonts w:ascii="Century Gothic" w:hAnsi="Century Gothic" w:cs="Calibri"/>
                <w:b/>
                <w:bCs/>
                <w:color w:val="FFFFFF"/>
                <w:sz w:val="16"/>
                <w:szCs w:val="16"/>
              </w:rPr>
            </w:pPr>
            <w:r w:rsidRPr="00D95A97">
              <w:rPr>
                <w:rFonts w:ascii="Century Gothic" w:hAnsi="Century Gothic" w:cs="Calibri"/>
                <w:b/>
                <w:bCs/>
                <w:color w:val="FFFFFF"/>
                <w:sz w:val="16"/>
                <w:szCs w:val="16"/>
              </w:rPr>
              <w:t>Promedio</w:t>
            </w:r>
          </w:p>
        </w:tc>
        <w:tc>
          <w:tcPr>
            <w:tcW w:w="339" w:type="pct"/>
            <w:vMerge/>
            <w:vAlign w:val="center"/>
            <w:hideMark/>
          </w:tcPr>
          <w:p w14:paraId="487357E5" w14:textId="77777777" w:rsidR="00D95A97" w:rsidRPr="00D95A97" w:rsidRDefault="00D95A97" w:rsidP="00D95A97">
            <w:pPr>
              <w:rPr>
                <w:rFonts w:ascii="Century Gothic" w:hAnsi="Century Gothic" w:cs="Calibri"/>
                <w:b/>
                <w:bCs/>
                <w:color w:val="FFFFFF"/>
                <w:sz w:val="28"/>
                <w:szCs w:val="28"/>
              </w:rPr>
            </w:pPr>
          </w:p>
        </w:tc>
        <w:tc>
          <w:tcPr>
            <w:tcW w:w="552" w:type="pct"/>
            <w:vMerge/>
            <w:vAlign w:val="center"/>
            <w:hideMark/>
          </w:tcPr>
          <w:p w14:paraId="0BFFB95F" w14:textId="77777777" w:rsidR="00D95A97" w:rsidRPr="00D95A97" w:rsidRDefault="00D95A97" w:rsidP="00D95A97">
            <w:pPr>
              <w:rPr>
                <w:rFonts w:ascii="Century Gothic" w:hAnsi="Century Gothic" w:cs="Calibri"/>
                <w:b/>
                <w:bCs/>
                <w:color w:val="FFFFFF"/>
                <w:sz w:val="22"/>
                <w:szCs w:val="22"/>
              </w:rPr>
            </w:pPr>
          </w:p>
        </w:tc>
      </w:tr>
      <w:tr w:rsidR="00625B53" w:rsidRPr="00D95A97" w14:paraId="19EB36F7" w14:textId="77777777" w:rsidTr="00600D7E">
        <w:trPr>
          <w:trHeight w:val="350"/>
        </w:trPr>
        <w:tc>
          <w:tcPr>
            <w:tcW w:w="846" w:type="pct"/>
            <w:vMerge w:val="restart"/>
            <w:shd w:val="clear" w:color="auto" w:fill="auto"/>
            <w:vAlign w:val="center"/>
            <w:hideMark/>
          </w:tcPr>
          <w:p w14:paraId="325709A2"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 xml:space="preserve">Disminución de la capacidad financiera para cumplir con los compromisos institucionales </w:t>
            </w:r>
          </w:p>
        </w:tc>
        <w:tc>
          <w:tcPr>
            <w:tcW w:w="318" w:type="pct"/>
            <w:vMerge w:val="restart"/>
            <w:shd w:val="clear" w:color="000000" w:fill="FF7575"/>
            <w:vAlign w:val="center"/>
            <w:hideMark/>
          </w:tcPr>
          <w:p w14:paraId="5019677D" w14:textId="77777777" w:rsidR="00D95A97" w:rsidRPr="00D95A97" w:rsidRDefault="00D95A97" w:rsidP="00D95A97">
            <w:pPr>
              <w:jc w:val="center"/>
              <w:rPr>
                <w:rFonts w:ascii="Century Gothic" w:hAnsi="Century Gothic" w:cs="Calibri"/>
                <w:b/>
                <w:bCs/>
                <w:color w:val="404040"/>
                <w:sz w:val="20"/>
                <w:szCs w:val="20"/>
              </w:rPr>
            </w:pPr>
            <w:r w:rsidRPr="00D95A97">
              <w:rPr>
                <w:rFonts w:ascii="Century Gothic" w:hAnsi="Century Gothic" w:cs="Calibri"/>
                <w:b/>
                <w:bCs/>
                <w:color w:val="404040"/>
                <w:sz w:val="20"/>
                <w:szCs w:val="20"/>
              </w:rPr>
              <w:t>12</w:t>
            </w:r>
          </w:p>
        </w:tc>
        <w:tc>
          <w:tcPr>
            <w:tcW w:w="1338" w:type="pct"/>
            <w:shd w:val="clear" w:color="000000" w:fill="FFFFFF"/>
            <w:vAlign w:val="center"/>
            <w:hideMark/>
          </w:tcPr>
          <w:p w14:paraId="79A405DE" w14:textId="77777777" w:rsidR="00D95A97" w:rsidRPr="00D95A97" w:rsidRDefault="00D95A97" w:rsidP="00D95A97">
            <w:pPr>
              <w:jc w:val="both"/>
              <w:rPr>
                <w:rFonts w:ascii="Century Gothic" w:hAnsi="Century Gothic" w:cs="Calibri"/>
                <w:color w:val="000000"/>
                <w:sz w:val="20"/>
                <w:szCs w:val="20"/>
              </w:rPr>
            </w:pPr>
            <w:r w:rsidRPr="00D95A97">
              <w:rPr>
                <w:rFonts w:ascii="Century Gothic" w:hAnsi="Century Gothic" w:cs="Calibri"/>
                <w:color w:val="000000"/>
                <w:sz w:val="20"/>
                <w:szCs w:val="20"/>
              </w:rPr>
              <w:t>1) Seguimiento a la asignación de recursos.</w:t>
            </w:r>
          </w:p>
        </w:tc>
        <w:tc>
          <w:tcPr>
            <w:tcW w:w="410" w:type="pct"/>
            <w:shd w:val="clear" w:color="auto" w:fill="auto"/>
            <w:vAlign w:val="bottom"/>
            <w:hideMark/>
          </w:tcPr>
          <w:p w14:paraId="2481FF39"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auto" w:fill="auto"/>
            <w:vAlign w:val="bottom"/>
            <w:hideMark/>
          </w:tcPr>
          <w:p w14:paraId="2A290500"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02B19BEF"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2</w:t>
            </w:r>
          </w:p>
        </w:tc>
        <w:tc>
          <w:tcPr>
            <w:tcW w:w="335" w:type="pct"/>
            <w:vMerge w:val="restart"/>
            <w:shd w:val="clear" w:color="auto" w:fill="auto"/>
            <w:vAlign w:val="center"/>
            <w:hideMark/>
          </w:tcPr>
          <w:p w14:paraId="72B7C583"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39" w:type="pct"/>
            <w:vMerge w:val="restart"/>
            <w:shd w:val="clear" w:color="000000" w:fill="FFC000"/>
            <w:vAlign w:val="center"/>
            <w:hideMark/>
          </w:tcPr>
          <w:p w14:paraId="0F211A72"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6</w:t>
            </w:r>
          </w:p>
        </w:tc>
        <w:tc>
          <w:tcPr>
            <w:tcW w:w="552" w:type="pct"/>
            <w:vMerge w:val="restart"/>
            <w:shd w:val="clear" w:color="000000" w:fill="FFFFFF"/>
            <w:vAlign w:val="center"/>
            <w:hideMark/>
          </w:tcPr>
          <w:p w14:paraId="04004888" w14:textId="77777777" w:rsidR="00D95A97" w:rsidRPr="00D95A97" w:rsidRDefault="00D95A97" w:rsidP="00D95A97">
            <w:pPr>
              <w:jc w:val="center"/>
              <w:rPr>
                <w:rFonts w:ascii="Century Gothic" w:hAnsi="Century Gothic" w:cs="Calibri"/>
                <w:b/>
                <w:bCs/>
                <w:sz w:val="20"/>
                <w:szCs w:val="20"/>
              </w:rPr>
            </w:pPr>
            <w:r w:rsidRPr="00D95A97">
              <w:rPr>
                <w:rFonts w:ascii="Century Gothic" w:hAnsi="Century Gothic" w:cs="Calibri"/>
                <w:b/>
                <w:bCs/>
                <w:sz w:val="20"/>
                <w:szCs w:val="20"/>
              </w:rPr>
              <w:t>Aceptable</w:t>
            </w:r>
          </w:p>
        </w:tc>
      </w:tr>
      <w:tr w:rsidR="00600D7E" w:rsidRPr="00D95A97" w14:paraId="7A60ABE4" w14:textId="77777777" w:rsidTr="00600D7E">
        <w:trPr>
          <w:trHeight w:val="616"/>
        </w:trPr>
        <w:tc>
          <w:tcPr>
            <w:tcW w:w="846" w:type="pct"/>
            <w:vMerge/>
            <w:vAlign w:val="center"/>
            <w:hideMark/>
          </w:tcPr>
          <w:p w14:paraId="6FA865FD" w14:textId="77777777" w:rsidR="00D95A97" w:rsidRPr="00D95A97" w:rsidRDefault="00D95A97" w:rsidP="00D95A97">
            <w:pPr>
              <w:rPr>
                <w:rFonts w:ascii="Century Gothic" w:hAnsi="Century Gothic" w:cs="Calibri"/>
                <w:color w:val="000000"/>
                <w:sz w:val="20"/>
                <w:szCs w:val="20"/>
              </w:rPr>
            </w:pPr>
          </w:p>
        </w:tc>
        <w:tc>
          <w:tcPr>
            <w:tcW w:w="318" w:type="pct"/>
            <w:vMerge/>
            <w:vAlign w:val="center"/>
            <w:hideMark/>
          </w:tcPr>
          <w:p w14:paraId="2A5D86F5" w14:textId="77777777" w:rsidR="00D95A97" w:rsidRPr="00D95A97" w:rsidRDefault="00D95A97" w:rsidP="00D95A97">
            <w:pPr>
              <w:rPr>
                <w:rFonts w:ascii="Century Gothic" w:hAnsi="Century Gothic" w:cs="Calibri"/>
                <w:b/>
                <w:bCs/>
                <w:color w:val="404040"/>
                <w:sz w:val="20"/>
                <w:szCs w:val="20"/>
              </w:rPr>
            </w:pPr>
          </w:p>
        </w:tc>
        <w:tc>
          <w:tcPr>
            <w:tcW w:w="1338" w:type="pct"/>
            <w:shd w:val="clear" w:color="000000" w:fill="FFFFFF"/>
            <w:vAlign w:val="center"/>
            <w:hideMark/>
          </w:tcPr>
          <w:p w14:paraId="610F3C25"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 xml:space="preserve">2) Control presupuestario para la maximización de la ejecución de los recursos asignados. </w:t>
            </w:r>
          </w:p>
        </w:tc>
        <w:tc>
          <w:tcPr>
            <w:tcW w:w="410" w:type="pct"/>
            <w:shd w:val="clear" w:color="auto" w:fill="auto"/>
            <w:vAlign w:val="bottom"/>
            <w:hideMark/>
          </w:tcPr>
          <w:p w14:paraId="20833ACC"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auto" w:fill="auto"/>
            <w:vAlign w:val="bottom"/>
            <w:hideMark/>
          </w:tcPr>
          <w:p w14:paraId="65737867"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19DEEE86"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2</w:t>
            </w:r>
          </w:p>
        </w:tc>
        <w:tc>
          <w:tcPr>
            <w:tcW w:w="335" w:type="pct"/>
            <w:vMerge/>
            <w:vAlign w:val="center"/>
            <w:hideMark/>
          </w:tcPr>
          <w:p w14:paraId="18713BC3" w14:textId="77777777" w:rsidR="00D95A97" w:rsidRPr="00D95A97" w:rsidRDefault="00D95A97" w:rsidP="00D95A97">
            <w:pPr>
              <w:rPr>
                <w:rFonts w:ascii="Century Gothic" w:hAnsi="Century Gothic" w:cs="Calibri"/>
                <w:b/>
                <w:bCs/>
                <w:color w:val="000000"/>
                <w:sz w:val="20"/>
                <w:szCs w:val="20"/>
              </w:rPr>
            </w:pPr>
          </w:p>
        </w:tc>
        <w:tc>
          <w:tcPr>
            <w:tcW w:w="339" w:type="pct"/>
            <w:vMerge/>
            <w:vAlign w:val="center"/>
            <w:hideMark/>
          </w:tcPr>
          <w:p w14:paraId="4B0E5A57" w14:textId="77777777" w:rsidR="00D95A97" w:rsidRPr="00D95A97" w:rsidRDefault="00D95A97" w:rsidP="00D95A97">
            <w:pPr>
              <w:rPr>
                <w:rFonts w:ascii="Century Gothic" w:hAnsi="Century Gothic" w:cs="Calibri"/>
                <w:b/>
                <w:bCs/>
                <w:color w:val="000000"/>
                <w:sz w:val="20"/>
                <w:szCs w:val="20"/>
              </w:rPr>
            </w:pPr>
          </w:p>
        </w:tc>
        <w:tc>
          <w:tcPr>
            <w:tcW w:w="552" w:type="pct"/>
            <w:vMerge/>
            <w:vAlign w:val="center"/>
            <w:hideMark/>
          </w:tcPr>
          <w:p w14:paraId="00ACA5C8" w14:textId="77777777" w:rsidR="00D95A97" w:rsidRPr="00D95A97" w:rsidRDefault="00D95A97" w:rsidP="00D95A97">
            <w:pPr>
              <w:rPr>
                <w:rFonts w:ascii="Century Gothic" w:hAnsi="Century Gothic" w:cs="Calibri"/>
                <w:b/>
                <w:bCs/>
                <w:sz w:val="20"/>
                <w:szCs w:val="20"/>
              </w:rPr>
            </w:pPr>
          </w:p>
        </w:tc>
      </w:tr>
      <w:tr w:rsidR="00600D7E" w:rsidRPr="00D95A97" w14:paraId="1AFFE0EF" w14:textId="77777777" w:rsidTr="00600D7E">
        <w:trPr>
          <w:trHeight w:val="616"/>
        </w:trPr>
        <w:tc>
          <w:tcPr>
            <w:tcW w:w="846" w:type="pct"/>
            <w:vMerge/>
            <w:vAlign w:val="center"/>
            <w:hideMark/>
          </w:tcPr>
          <w:p w14:paraId="69AF398C" w14:textId="77777777" w:rsidR="00D95A97" w:rsidRPr="00D95A97" w:rsidRDefault="00D95A97" w:rsidP="00D95A97">
            <w:pPr>
              <w:rPr>
                <w:rFonts w:ascii="Century Gothic" w:hAnsi="Century Gothic" w:cs="Calibri"/>
                <w:color w:val="000000"/>
                <w:sz w:val="20"/>
                <w:szCs w:val="20"/>
              </w:rPr>
            </w:pPr>
          </w:p>
        </w:tc>
        <w:tc>
          <w:tcPr>
            <w:tcW w:w="318" w:type="pct"/>
            <w:vMerge/>
            <w:vAlign w:val="center"/>
            <w:hideMark/>
          </w:tcPr>
          <w:p w14:paraId="023F8EA6" w14:textId="77777777" w:rsidR="00D95A97" w:rsidRPr="00D95A97" w:rsidRDefault="00D95A97" w:rsidP="00D95A97">
            <w:pPr>
              <w:rPr>
                <w:rFonts w:ascii="Century Gothic" w:hAnsi="Century Gothic" w:cs="Calibri"/>
                <w:b/>
                <w:bCs/>
                <w:color w:val="404040"/>
                <w:sz w:val="20"/>
                <w:szCs w:val="20"/>
              </w:rPr>
            </w:pPr>
          </w:p>
        </w:tc>
        <w:tc>
          <w:tcPr>
            <w:tcW w:w="1338" w:type="pct"/>
            <w:shd w:val="clear" w:color="000000" w:fill="FFFFFF"/>
            <w:vAlign w:val="center"/>
            <w:hideMark/>
          </w:tcPr>
          <w:p w14:paraId="5B50212A" w14:textId="688518FB" w:rsidR="00D95A97" w:rsidRPr="00D95A97" w:rsidRDefault="00D95A97" w:rsidP="00D95A97">
            <w:pPr>
              <w:jc w:val="both"/>
              <w:rPr>
                <w:rFonts w:ascii="Century Gothic" w:hAnsi="Century Gothic" w:cs="Calibri"/>
                <w:color w:val="000000"/>
                <w:sz w:val="20"/>
                <w:szCs w:val="20"/>
              </w:rPr>
            </w:pPr>
            <w:r w:rsidRPr="00D95A97">
              <w:rPr>
                <w:rFonts w:ascii="Century Gothic" w:hAnsi="Century Gothic" w:cs="Calibri"/>
                <w:color w:val="000000"/>
                <w:sz w:val="20"/>
                <w:szCs w:val="20"/>
              </w:rPr>
              <w:t xml:space="preserve">3) </w:t>
            </w:r>
            <w:r w:rsidRPr="00625B53">
              <w:rPr>
                <w:rFonts w:ascii="Century Gothic" w:hAnsi="Century Gothic" w:cs="Calibri"/>
                <w:color w:val="000000"/>
                <w:sz w:val="20"/>
                <w:szCs w:val="20"/>
              </w:rPr>
              <w:t>Búsqueda</w:t>
            </w:r>
            <w:r w:rsidRPr="00D95A97">
              <w:rPr>
                <w:rFonts w:ascii="Century Gothic" w:hAnsi="Century Gothic" w:cs="Calibri"/>
                <w:color w:val="000000"/>
                <w:sz w:val="20"/>
                <w:szCs w:val="20"/>
              </w:rPr>
              <w:t xml:space="preserve"> de recursos complementarios al impuesto a los combustibles y canon de agua.</w:t>
            </w:r>
          </w:p>
        </w:tc>
        <w:tc>
          <w:tcPr>
            <w:tcW w:w="410" w:type="pct"/>
            <w:shd w:val="clear" w:color="auto" w:fill="auto"/>
            <w:vAlign w:val="bottom"/>
            <w:hideMark/>
          </w:tcPr>
          <w:p w14:paraId="2C151E34"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auto" w:fill="auto"/>
            <w:vAlign w:val="bottom"/>
            <w:hideMark/>
          </w:tcPr>
          <w:p w14:paraId="4134887B"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1764BD7D"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2</w:t>
            </w:r>
          </w:p>
        </w:tc>
        <w:tc>
          <w:tcPr>
            <w:tcW w:w="335" w:type="pct"/>
            <w:vMerge/>
            <w:vAlign w:val="center"/>
            <w:hideMark/>
          </w:tcPr>
          <w:p w14:paraId="0EC61FFB" w14:textId="77777777" w:rsidR="00D95A97" w:rsidRPr="00D95A97" w:rsidRDefault="00D95A97" w:rsidP="00D95A97">
            <w:pPr>
              <w:rPr>
                <w:rFonts w:ascii="Century Gothic" w:hAnsi="Century Gothic" w:cs="Calibri"/>
                <w:b/>
                <w:bCs/>
                <w:color w:val="000000"/>
                <w:sz w:val="20"/>
                <w:szCs w:val="20"/>
              </w:rPr>
            </w:pPr>
          </w:p>
        </w:tc>
        <w:tc>
          <w:tcPr>
            <w:tcW w:w="339" w:type="pct"/>
            <w:vMerge/>
            <w:vAlign w:val="center"/>
            <w:hideMark/>
          </w:tcPr>
          <w:p w14:paraId="61C5A32B" w14:textId="77777777" w:rsidR="00D95A97" w:rsidRPr="00D95A97" w:rsidRDefault="00D95A97" w:rsidP="00D95A97">
            <w:pPr>
              <w:rPr>
                <w:rFonts w:ascii="Century Gothic" w:hAnsi="Century Gothic" w:cs="Calibri"/>
                <w:b/>
                <w:bCs/>
                <w:color w:val="000000"/>
                <w:sz w:val="20"/>
                <w:szCs w:val="20"/>
              </w:rPr>
            </w:pPr>
          </w:p>
        </w:tc>
        <w:tc>
          <w:tcPr>
            <w:tcW w:w="552" w:type="pct"/>
            <w:vMerge/>
            <w:vAlign w:val="center"/>
            <w:hideMark/>
          </w:tcPr>
          <w:p w14:paraId="7611914B" w14:textId="77777777" w:rsidR="00D95A97" w:rsidRPr="00D95A97" w:rsidRDefault="00D95A97" w:rsidP="00D95A97">
            <w:pPr>
              <w:rPr>
                <w:rFonts w:ascii="Century Gothic" w:hAnsi="Century Gothic" w:cs="Calibri"/>
                <w:b/>
                <w:bCs/>
                <w:sz w:val="20"/>
                <w:szCs w:val="20"/>
              </w:rPr>
            </w:pPr>
          </w:p>
        </w:tc>
      </w:tr>
      <w:tr w:rsidR="00625B53" w:rsidRPr="00D95A97" w14:paraId="505B4553" w14:textId="77777777" w:rsidTr="00600D7E">
        <w:trPr>
          <w:trHeight w:val="1569"/>
        </w:trPr>
        <w:tc>
          <w:tcPr>
            <w:tcW w:w="846" w:type="pct"/>
            <w:shd w:val="clear" w:color="auto" w:fill="auto"/>
            <w:vAlign w:val="center"/>
            <w:hideMark/>
          </w:tcPr>
          <w:p w14:paraId="6564FFDF"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No disponer del personal experto adecuado para cumplir oportunamente con los objetivos institucionales</w:t>
            </w:r>
          </w:p>
        </w:tc>
        <w:tc>
          <w:tcPr>
            <w:tcW w:w="318" w:type="pct"/>
            <w:shd w:val="clear" w:color="000000" w:fill="FFFFC1"/>
            <w:vAlign w:val="center"/>
            <w:hideMark/>
          </w:tcPr>
          <w:p w14:paraId="6EB9000D" w14:textId="77777777" w:rsidR="00D95A97" w:rsidRPr="00D95A97" w:rsidRDefault="00D95A97" w:rsidP="00D95A97">
            <w:pPr>
              <w:jc w:val="center"/>
              <w:rPr>
                <w:rFonts w:ascii="Century Gothic" w:hAnsi="Century Gothic" w:cs="Calibri"/>
                <w:b/>
                <w:bCs/>
                <w:color w:val="404040"/>
                <w:sz w:val="20"/>
                <w:szCs w:val="20"/>
              </w:rPr>
            </w:pPr>
            <w:r w:rsidRPr="00D95A97">
              <w:rPr>
                <w:rFonts w:ascii="Century Gothic" w:hAnsi="Century Gothic" w:cs="Calibri"/>
                <w:b/>
                <w:bCs/>
                <w:color w:val="404040"/>
                <w:sz w:val="20"/>
                <w:szCs w:val="20"/>
              </w:rPr>
              <w:t>4</w:t>
            </w:r>
          </w:p>
        </w:tc>
        <w:tc>
          <w:tcPr>
            <w:tcW w:w="1338" w:type="pct"/>
            <w:shd w:val="clear" w:color="000000" w:fill="FFFFFF"/>
            <w:vAlign w:val="center"/>
            <w:hideMark/>
          </w:tcPr>
          <w:p w14:paraId="4A43DE18"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Distribución de funciones</w:t>
            </w:r>
          </w:p>
        </w:tc>
        <w:tc>
          <w:tcPr>
            <w:tcW w:w="410" w:type="pct"/>
            <w:shd w:val="clear" w:color="auto" w:fill="auto"/>
            <w:vAlign w:val="center"/>
            <w:hideMark/>
          </w:tcPr>
          <w:p w14:paraId="28AC23CC"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369" w:type="pct"/>
            <w:shd w:val="clear" w:color="auto" w:fill="auto"/>
            <w:vAlign w:val="center"/>
            <w:hideMark/>
          </w:tcPr>
          <w:p w14:paraId="6EE62438"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493" w:type="pct"/>
            <w:shd w:val="clear" w:color="auto" w:fill="auto"/>
            <w:vAlign w:val="center"/>
            <w:hideMark/>
          </w:tcPr>
          <w:p w14:paraId="0E0873C1"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1</w:t>
            </w:r>
          </w:p>
        </w:tc>
        <w:tc>
          <w:tcPr>
            <w:tcW w:w="335" w:type="pct"/>
            <w:shd w:val="clear" w:color="auto" w:fill="auto"/>
            <w:vAlign w:val="center"/>
            <w:hideMark/>
          </w:tcPr>
          <w:p w14:paraId="754D6CE1"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339" w:type="pct"/>
            <w:shd w:val="clear" w:color="000000" w:fill="FFEFBD"/>
            <w:vAlign w:val="center"/>
            <w:hideMark/>
          </w:tcPr>
          <w:p w14:paraId="3656F5AA"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4</w:t>
            </w:r>
          </w:p>
        </w:tc>
        <w:tc>
          <w:tcPr>
            <w:tcW w:w="552" w:type="pct"/>
            <w:shd w:val="clear" w:color="000000" w:fill="FFFFFF"/>
            <w:vAlign w:val="center"/>
            <w:hideMark/>
          </w:tcPr>
          <w:p w14:paraId="411B5366" w14:textId="77777777" w:rsidR="00D95A97" w:rsidRPr="00D95A97" w:rsidRDefault="00D95A97" w:rsidP="00D95A97">
            <w:pPr>
              <w:jc w:val="center"/>
              <w:rPr>
                <w:rFonts w:ascii="Century Gothic" w:hAnsi="Century Gothic" w:cs="Calibri"/>
                <w:b/>
                <w:bCs/>
                <w:sz w:val="20"/>
                <w:szCs w:val="20"/>
              </w:rPr>
            </w:pPr>
            <w:r w:rsidRPr="00D95A97">
              <w:rPr>
                <w:rFonts w:ascii="Century Gothic" w:hAnsi="Century Gothic" w:cs="Calibri"/>
                <w:b/>
                <w:bCs/>
                <w:sz w:val="20"/>
                <w:szCs w:val="20"/>
              </w:rPr>
              <w:t>Aceptable</w:t>
            </w:r>
          </w:p>
        </w:tc>
      </w:tr>
      <w:tr w:rsidR="00625B53" w:rsidRPr="00D95A97" w14:paraId="34F4C364" w14:textId="77777777" w:rsidTr="00600D7E">
        <w:trPr>
          <w:trHeight w:val="1709"/>
        </w:trPr>
        <w:tc>
          <w:tcPr>
            <w:tcW w:w="846" w:type="pct"/>
            <w:shd w:val="clear" w:color="auto" w:fill="auto"/>
            <w:vAlign w:val="center"/>
            <w:hideMark/>
          </w:tcPr>
          <w:p w14:paraId="587F4FC0"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Rezago institucional en la innovación tecnológica y científica para la gestión de los servicios ecosistémicos.</w:t>
            </w:r>
          </w:p>
        </w:tc>
        <w:tc>
          <w:tcPr>
            <w:tcW w:w="318" w:type="pct"/>
            <w:shd w:val="clear" w:color="000000" w:fill="FFC000"/>
            <w:vAlign w:val="center"/>
            <w:hideMark/>
          </w:tcPr>
          <w:p w14:paraId="27236759" w14:textId="77777777" w:rsidR="00D95A97" w:rsidRPr="00D95A97" w:rsidRDefault="00D95A97" w:rsidP="00D95A97">
            <w:pPr>
              <w:jc w:val="center"/>
              <w:rPr>
                <w:rFonts w:ascii="Century Gothic" w:hAnsi="Century Gothic" w:cs="Calibri"/>
                <w:b/>
                <w:bCs/>
                <w:color w:val="404040"/>
                <w:sz w:val="20"/>
                <w:szCs w:val="20"/>
              </w:rPr>
            </w:pPr>
            <w:r w:rsidRPr="00D95A97">
              <w:rPr>
                <w:rFonts w:ascii="Century Gothic" w:hAnsi="Century Gothic" w:cs="Calibri"/>
                <w:b/>
                <w:bCs/>
                <w:color w:val="404040"/>
                <w:sz w:val="20"/>
                <w:szCs w:val="20"/>
              </w:rPr>
              <w:t>6</w:t>
            </w:r>
          </w:p>
        </w:tc>
        <w:tc>
          <w:tcPr>
            <w:tcW w:w="1338" w:type="pct"/>
            <w:shd w:val="clear" w:color="000000" w:fill="FFFFFF"/>
            <w:vAlign w:val="center"/>
            <w:hideMark/>
          </w:tcPr>
          <w:p w14:paraId="144078B5"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Se está trabajando para crear e implementar herramientas y metodologías de uso y generación de datos de monitoreo de la biodiversidad.</w:t>
            </w:r>
          </w:p>
        </w:tc>
        <w:tc>
          <w:tcPr>
            <w:tcW w:w="410" w:type="pct"/>
            <w:shd w:val="clear" w:color="000000" w:fill="FFFFFF"/>
            <w:vAlign w:val="center"/>
            <w:hideMark/>
          </w:tcPr>
          <w:p w14:paraId="08637426"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000000" w:fill="FFFFFF"/>
            <w:vAlign w:val="center"/>
            <w:hideMark/>
          </w:tcPr>
          <w:p w14:paraId="6A6B98B7"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3CCE8630"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2</w:t>
            </w:r>
          </w:p>
        </w:tc>
        <w:tc>
          <w:tcPr>
            <w:tcW w:w="335" w:type="pct"/>
            <w:shd w:val="clear" w:color="auto" w:fill="auto"/>
            <w:vAlign w:val="center"/>
            <w:hideMark/>
          </w:tcPr>
          <w:p w14:paraId="59FEB3E1"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39" w:type="pct"/>
            <w:shd w:val="clear" w:color="000000" w:fill="FFEFBD"/>
            <w:vAlign w:val="center"/>
            <w:hideMark/>
          </w:tcPr>
          <w:p w14:paraId="1B47B3C7"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3</w:t>
            </w:r>
          </w:p>
        </w:tc>
        <w:tc>
          <w:tcPr>
            <w:tcW w:w="552" w:type="pct"/>
            <w:shd w:val="clear" w:color="000000" w:fill="FFFFFF"/>
            <w:vAlign w:val="center"/>
            <w:hideMark/>
          </w:tcPr>
          <w:p w14:paraId="28C8A87E" w14:textId="77777777" w:rsidR="00D95A97" w:rsidRPr="00D95A97" w:rsidRDefault="00D95A97" w:rsidP="00D95A97">
            <w:pPr>
              <w:jc w:val="center"/>
              <w:rPr>
                <w:rFonts w:ascii="Century Gothic" w:hAnsi="Century Gothic" w:cs="Calibri"/>
                <w:b/>
                <w:bCs/>
                <w:sz w:val="20"/>
                <w:szCs w:val="20"/>
              </w:rPr>
            </w:pPr>
            <w:r w:rsidRPr="00D95A97">
              <w:rPr>
                <w:rFonts w:ascii="Century Gothic" w:hAnsi="Century Gothic" w:cs="Calibri"/>
                <w:b/>
                <w:bCs/>
                <w:sz w:val="20"/>
                <w:szCs w:val="20"/>
              </w:rPr>
              <w:t>Aceptable</w:t>
            </w:r>
          </w:p>
        </w:tc>
        <w:bookmarkStart w:id="13" w:name="_GoBack"/>
        <w:bookmarkEnd w:id="13"/>
      </w:tr>
      <w:tr w:rsidR="00625B53" w:rsidRPr="00D95A97" w14:paraId="58C5FAA9" w14:textId="77777777" w:rsidTr="00600D7E">
        <w:trPr>
          <w:trHeight w:val="504"/>
        </w:trPr>
        <w:tc>
          <w:tcPr>
            <w:tcW w:w="846" w:type="pct"/>
            <w:vMerge w:val="restart"/>
            <w:shd w:val="clear" w:color="auto" w:fill="auto"/>
            <w:vAlign w:val="center"/>
            <w:hideMark/>
          </w:tcPr>
          <w:p w14:paraId="2CF89019"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t>Incumplimiento de pago por parte de los deudores de la cartera de crédito forestal.</w:t>
            </w:r>
          </w:p>
        </w:tc>
        <w:tc>
          <w:tcPr>
            <w:tcW w:w="318" w:type="pct"/>
            <w:vMerge w:val="restart"/>
            <w:shd w:val="clear" w:color="000000" w:fill="FFC000"/>
            <w:vAlign w:val="center"/>
            <w:hideMark/>
          </w:tcPr>
          <w:p w14:paraId="56BCCE78" w14:textId="77777777" w:rsidR="00D95A97" w:rsidRPr="00D95A97" w:rsidRDefault="00D95A97" w:rsidP="00D95A97">
            <w:pPr>
              <w:jc w:val="center"/>
              <w:rPr>
                <w:rFonts w:ascii="Century Gothic" w:hAnsi="Century Gothic" w:cs="Calibri"/>
                <w:b/>
                <w:bCs/>
                <w:color w:val="404040"/>
                <w:sz w:val="20"/>
                <w:szCs w:val="20"/>
              </w:rPr>
            </w:pPr>
            <w:r w:rsidRPr="00D95A97">
              <w:rPr>
                <w:rFonts w:ascii="Century Gothic" w:hAnsi="Century Gothic" w:cs="Calibri"/>
                <w:b/>
                <w:bCs/>
                <w:color w:val="404040"/>
                <w:sz w:val="20"/>
                <w:szCs w:val="20"/>
              </w:rPr>
              <w:t>9</w:t>
            </w:r>
          </w:p>
        </w:tc>
        <w:tc>
          <w:tcPr>
            <w:tcW w:w="1338" w:type="pct"/>
            <w:shd w:val="clear" w:color="000000" w:fill="FFFFFF"/>
            <w:vAlign w:val="center"/>
            <w:hideMark/>
          </w:tcPr>
          <w:p w14:paraId="2449C50F"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 xml:space="preserve">Distribución de la cartera para una atención para personalizada </w:t>
            </w:r>
          </w:p>
        </w:tc>
        <w:tc>
          <w:tcPr>
            <w:tcW w:w="410" w:type="pct"/>
            <w:shd w:val="clear" w:color="000000" w:fill="FFFFFF"/>
            <w:vAlign w:val="center"/>
            <w:hideMark/>
          </w:tcPr>
          <w:p w14:paraId="3D19A6C4"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000000" w:fill="FFFFFF"/>
            <w:vAlign w:val="center"/>
            <w:hideMark/>
          </w:tcPr>
          <w:p w14:paraId="1C1F90A3"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01FC721E"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35" w:type="pct"/>
            <w:vMerge w:val="restart"/>
            <w:shd w:val="clear" w:color="auto" w:fill="auto"/>
            <w:vAlign w:val="center"/>
            <w:hideMark/>
          </w:tcPr>
          <w:p w14:paraId="4CB2A584"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39" w:type="pct"/>
            <w:vMerge w:val="restart"/>
            <w:shd w:val="clear" w:color="000000" w:fill="FFC000"/>
            <w:vAlign w:val="center"/>
            <w:hideMark/>
          </w:tcPr>
          <w:p w14:paraId="7C8490C5"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5</w:t>
            </w:r>
          </w:p>
        </w:tc>
        <w:tc>
          <w:tcPr>
            <w:tcW w:w="552" w:type="pct"/>
            <w:vMerge w:val="restart"/>
            <w:shd w:val="clear" w:color="000000" w:fill="D0CECE"/>
            <w:vAlign w:val="center"/>
            <w:hideMark/>
          </w:tcPr>
          <w:p w14:paraId="04B2C1EB" w14:textId="77777777" w:rsidR="00D95A97" w:rsidRPr="00D95A97" w:rsidRDefault="00D95A97" w:rsidP="00D95A97">
            <w:pPr>
              <w:jc w:val="center"/>
              <w:rPr>
                <w:rFonts w:ascii="Century Gothic" w:hAnsi="Century Gothic" w:cs="Calibri"/>
                <w:b/>
                <w:bCs/>
                <w:sz w:val="20"/>
                <w:szCs w:val="20"/>
              </w:rPr>
            </w:pPr>
            <w:r w:rsidRPr="00D95A97">
              <w:rPr>
                <w:rFonts w:ascii="Century Gothic" w:hAnsi="Century Gothic" w:cs="Calibri"/>
                <w:b/>
                <w:bCs/>
                <w:sz w:val="20"/>
                <w:szCs w:val="20"/>
              </w:rPr>
              <w:t>Aceptable</w:t>
            </w:r>
          </w:p>
        </w:tc>
      </w:tr>
      <w:tr w:rsidR="00600D7E" w:rsidRPr="00D95A97" w14:paraId="211BFB80" w14:textId="77777777" w:rsidTr="00600D7E">
        <w:trPr>
          <w:trHeight w:val="434"/>
        </w:trPr>
        <w:tc>
          <w:tcPr>
            <w:tcW w:w="846" w:type="pct"/>
            <w:vMerge/>
            <w:vAlign w:val="center"/>
            <w:hideMark/>
          </w:tcPr>
          <w:p w14:paraId="3E2DF844" w14:textId="77777777" w:rsidR="00D95A97" w:rsidRPr="00D95A97" w:rsidRDefault="00D95A97" w:rsidP="00D95A97">
            <w:pPr>
              <w:rPr>
                <w:rFonts w:ascii="Century Gothic" w:hAnsi="Century Gothic" w:cs="Calibri"/>
                <w:color w:val="000000"/>
                <w:sz w:val="22"/>
                <w:szCs w:val="22"/>
              </w:rPr>
            </w:pPr>
          </w:p>
        </w:tc>
        <w:tc>
          <w:tcPr>
            <w:tcW w:w="318" w:type="pct"/>
            <w:vMerge/>
            <w:vAlign w:val="center"/>
            <w:hideMark/>
          </w:tcPr>
          <w:p w14:paraId="049A1E80" w14:textId="77777777" w:rsidR="00D95A97" w:rsidRPr="00D95A97" w:rsidRDefault="00D95A97" w:rsidP="00D95A97">
            <w:pPr>
              <w:rPr>
                <w:rFonts w:ascii="Century Gothic" w:hAnsi="Century Gothic" w:cs="Calibri"/>
                <w:b/>
                <w:bCs/>
                <w:color w:val="404040"/>
                <w:sz w:val="22"/>
                <w:szCs w:val="22"/>
              </w:rPr>
            </w:pPr>
          </w:p>
        </w:tc>
        <w:tc>
          <w:tcPr>
            <w:tcW w:w="1338" w:type="pct"/>
            <w:shd w:val="clear" w:color="000000" w:fill="FFFFFF"/>
            <w:vAlign w:val="center"/>
            <w:hideMark/>
          </w:tcPr>
          <w:p w14:paraId="2790C727" w14:textId="77777777" w:rsidR="00D95A97" w:rsidRPr="00D95A97" w:rsidRDefault="00D95A97" w:rsidP="00D95A97">
            <w:pPr>
              <w:rPr>
                <w:rFonts w:ascii="Century Gothic" w:hAnsi="Century Gothic" w:cs="Calibri"/>
                <w:color w:val="000000"/>
                <w:sz w:val="22"/>
                <w:szCs w:val="22"/>
              </w:rPr>
            </w:pPr>
            <w:r w:rsidRPr="00D95A97">
              <w:rPr>
                <w:rFonts w:ascii="Century Gothic" w:hAnsi="Century Gothic" w:cs="Calibri"/>
                <w:color w:val="000000"/>
                <w:sz w:val="22"/>
                <w:szCs w:val="22"/>
              </w:rPr>
              <w:t xml:space="preserve">Seguimiento mensual de los indicadores financieros de la cartera. </w:t>
            </w:r>
          </w:p>
        </w:tc>
        <w:tc>
          <w:tcPr>
            <w:tcW w:w="410" w:type="pct"/>
            <w:shd w:val="clear" w:color="000000" w:fill="FFFFFF"/>
            <w:vAlign w:val="center"/>
            <w:hideMark/>
          </w:tcPr>
          <w:p w14:paraId="7834F4E9"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369" w:type="pct"/>
            <w:shd w:val="clear" w:color="000000" w:fill="FFFFFF"/>
            <w:vAlign w:val="center"/>
            <w:hideMark/>
          </w:tcPr>
          <w:p w14:paraId="22A4955E"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493" w:type="pct"/>
            <w:shd w:val="clear" w:color="auto" w:fill="auto"/>
            <w:vAlign w:val="center"/>
            <w:hideMark/>
          </w:tcPr>
          <w:p w14:paraId="1F030168"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335" w:type="pct"/>
            <w:vMerge/>
            <w:vAlign w:val="center"/>
            <w:hideMark/>
          </w:tcPr>
          <w:p w14:paraId="5159A67B" w14:textId="77777777" w:rsidR="00D95A97" w:rsidRPr="00D95A97" w:rsidRDefault="00D95A97" w:rsidP="00D95A97">
            <w:pPr>
              <w:rPr>
                <w:rFonts w:ascii="Century Gothic" w:hAnsi="Century Gothic" w:cs="Calibri"/>
                <w:b/>
                <w:bCs/>
                <w:color w:val="000000"/>
                <w:sz w:val="22"/>
                <w:szCs w:val="22"/>
              </w:rPr>
            </w:pPr>
          </w:p>
        </w:tc>
        <w:tc>
          <w:tcPr>
            <w:tcW w:w="339" w:type="pct"/>
            <w:vMerge/>
            <w:vAlign w:val="center"/>
            <w:hideMark/>
          </w:tcPr>
          <w:p w14:paraId="7754A342" w14:textId="77777777" w:rsidR="00D95A97" w:rsidRPr="00D95A97" w:rsidRDefault="00D95A97" w:rsidP="00D95A97">
            <w:pPr>
              <w:rPr>
                <w:rFonts w:ascii="Century Gothic" w:hAnsi="Century Gothic" w:cs="Calibri"/>
                <w:b/>
                <w:bCs/>
                <w:color w:val="000000"/>
                <w:sz w:val="22"/>
                <w:szCs w:val="22"/>
              </w:rPr>
            </w:pPr>
          </w:p>
        </w:tc>
        <w:tc>
          <w:tcPr>
            <w:tcW w:w="552" w:type="pct"/>
            <w:vMerge/>
            <w:vAlign w:val="center"/>
            <w:hideMark/>
          </w:tcPr>
          <w:p w14:paraId="05080E5F" w14:textId="77777777" w:rsidR="00D95A97" w:rsidRPr="00D95A97" w:rsidRDefault="00D95A97" w:rsidP="00D95A97">
            <w:pPr>
              <w:rPr>
                <w:rFonts w:ascii="Century Gothic" w:hAnsi="Century Gothic" w:cs="Calibri"/>
                <w:b/>
                <w:bCs/>
                <w:sz w:val="22"/>
                <w:szCs w:val="22"/>
              </w:rPr>
            </w:pPr>
          </w:p>
        </w:tc>
      </w:tr>
      <w:tr w:rsidR="00600D7E" w:rsidRPr="00D95A97" w14:paraId="03F439C0" w14:textId="77777777" w:rsidTr="00600D7E">
        <w:trPr>
          <w:trHeight w:val="588"/>
        </w:trPr>
        <w:tc>
          <w:tcPr>
            <w:tcW w:w="846" w:type="pct"/>
            <w:vMerge/>
            <w:vAlign w:val="center"/>
            <w:hideMark/>
          </w:tcPr>
          <w:p w14:paraId="498C1EB0" w14:textId="77777777" w:rsidR="00D95A97" w:rsidRPr="00D95A97" w:rsidRDefault="00D95A97" w:rsidP="00D95A97">
            <w:pPr>
              <w:rPr>
                <w:rFonts w:ascii="Century Gothic" w:hAnsi="Century Gothic" w:cs="Calibri"/>
                <w:color w:val="000000"/>
                <w:sz w:val="22"/>
                <w:szCs w:val="22"/>
              </w:rPr>
            </w:pPr>
          </w:p>
        </w:tc>
        <w:tc>
          <w:tcPr>
            <w:tcW w:w="318" w:type="pct"/>
            <w:vMerge/>
            <w:vAlign w:val="center"/>
            <w:hideMark/>
          </w:tcPr>
          <w:p w14:paraId="1F8220D4" w14:textId="77777777" w:rsidR="00D95A97" w:rsidRPr="00D95A97" w:rsidRDefault="00D95A97" w:rsidP="00D95A97">
            <w:pPr>
              <w:rPr>
                <w:rFonts w:ascii="Century Gothic" w:hAnsi="Century Gothic" w:cs="Calibri"/>
                <w:b/>
                <w:bCs/>
                <w:color w:val="404040"/>
                <w:sz w:val="22"/>
                <w:szCs w:val="22"/>
              </w:rPr>
            </w:pPr>
          </w:p>
        </w:tc>
        <w:tc>
          <w:tcPr>
            <w:tcW w:w="1338" w:type="pct"/>
            <w:shd w:val="clear" w:color="000000" w:fill="FFFFFF"/>
            <w:vAlign w:val="center"/>
            <w:hideMark/>
          </w:tcPr>
          <w:p w14:paraId="44D39A88" w14:textId="77777777" w:rsidR="00D95A97" w:rsidRDefault="00D95A97" w:rsidP="00D95A97">
            <w:pPr>
              <w:rPr>
                <w:rFonts w:ascii="Century Gothic" w:hAnsi="Century Gothic" w:cs="Calibri"/>
                <w:color w:val="000000"/>
                <w:sz w:val="22"/>
                <w:szCs w:val="22"/>
              </w:rPr>
            </w:pPr>
            <w:r w:rsidRPr="00D95A97">
              <w:rPr>
                <w:rFonts w:ascii="Century Gothic" w:hAnsi="Century Gothic" w:cs="Calibri"/>
                <w:color w:val="000000"/>
                <w:sz w:val="22"/>
                <w:szCs w:val="22"/>
              </w:rPr>
              <w:t>Recordatorios por SMS del pago de la OP</w:t>
            </w:r>
          </w:p>
          <w:p w14:paraId="5933680A" w14:textId="77777777" w:rsidR="00625B53" w:rsidRDefault="00625B53" w:rsidP="00D95A97">
            <w:pPr>
              <w:rPr>
                <w:rFonts w:ascii="Century Gothic" w:hAnsi="Century Gothic" w:cs="Calibri"/>
                <w:color w:val="000000"/>
                <w:sz w:val="22"/>
                <w:szCs w:val="22"/>
              </w:rPr>
            </w:pPr>
          </w:p>
          <w:p w14:paraId="28BD2E8B" w14:textId="77777777" w:rsidR="00625B53" w:rsidRDefault="00625B53" w:rsidP="00D95A97">
            <w:pPr>
              <w:rPr>
                <w:rFonts w:ascii="Century Gothic" w:hAnsi="Century Gothic" w:cs="Calibri"/>
                <w:color w:val="000000"/>
                <w:sz w:val="22"/>
                <w:szCs w:val="22"/>
              </w:rPr>
            </w:pPr>
          </w:p>
          <w:p w14:paraId="047A3718" w14:textId="77777777" w:rsidR="00625B53" w:rsidRDefault="00625B53" w:rsidP="00D95A97">
            <w:pPr>
              <w:rPr>
                <w:rFonts w:ascii="Century Gothic" w:hAnsi="Century Gothic" w:cs="Calibri"/>
                <w:color w:val="000000"/>
                <w:sz w:val="22"/>
                <w:szCs w:val="22"/>
              </w:rPr>
            </w:pPr>
          </w:p>
          <w:p w14:paraId="5E322527" w14:textId="09BF21A4" w:rsidR="00625B53" w:rsidRPr="00D95A97" w:rsidRDefault="00625B53" w:rsidP="00D95A97">
            <w:pPr>
              <w:rPr>
                <w:rFonts w:ascii="Century Gothic" w:hAnsi="Century Gothic" w:cs="Calibri"/>
                <w:color w:val="000000"/>
                <w:sz w:val="22"/>
                <w:szCs w:val="22"/>
              </w:rPr>
            </w:pPr>
          </w:p>
        </w:tc>
        <w:tc>
          <w:tcPr>
            <w:tcW w:w="410" w:type="pct"/>
            <w:shd w:val="clear" w:color="000000" w:fill="FFFFFF"/>
            <w:vAlign w:val="center"/>
            <w:hideMark/>
          </w:tcPr>
          <w:p w14:paraId="44C83597"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369" w:type="pct"/>
            <w:shd w:val="clear" w:color="000000" w:fill="FFFFFF"/>
            <w:vAlign w:val="center"/>
            <w:hideMark/>
          </w:tcPr>
          <w:p w14:paraId="4FBCB553"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493" w:type="pct"/>
            <w:shd w:val="clear" w:color="auto" w:fill="auto"/>
            <w:vAlign w:val="center"/>
            <w:hideMark/>
          </w:tcPr>
          <w:p w14:paraId="15851855"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2</w:t>
            </w:r>
          </w:p>
        </w:tc>
        <w:tc>
          <w:tcPr>
            <w:tcW w:w="335" w:type="pct"/>
            <w:vMerge/>
            <w:vAlign w:val="center"/>
            <w:hideMark/>
          </w:tcPr>
          <w:p w14:paraId="2E032CED" w14:textId="77777777" w:rsidR="00D95A97" w:rsidRPr="00D95A97" w:rsidRDefault="00D95A97" w:rsidP="00D95A97">
            <w:pPr>
              <w:rPr>
                <w:rFonts w:ascii="Century Gothic" w:hAnsi="Century Gothic" w:cs="Calibri"/>
                <w:b/>
                <w:bCs/>
                <w:color w:val="000000"/>
                <w:sz w:val="22"/>
                <w:szCs w:val="22"/>
              </w:rPr>
            </w:pPr>
          </w:p>
        </w:tc>
        <w:tc>
          <w:tcPr>
            <w:tcW w:w="339" w:type="pct"/>
            <w:vMerge/>
            <w:vAlign w:val="center"/>
            <w:hideMark/>
          </w:tcPr>
          <w:p w14:paraId="4ADF54D7" w14:textId="77777777" w:rsidR="00D95A97" w:rsidRPr="00D95A97" w:rsidRDefault="00D95A97" w:rsidP="00D95A97">
            <w:pPr>
              <w:rPr>
                <w:rFonts w:ascii="Century Gothic" w:hAnsi="Century Gothic" w:cs="Calibri"/>
                <w:b/>
                <w:bCs/>
                <w:color w:val="000000"/>
                <w:sz w:val="22"/>
                <w:szCs w:val="22"/>
              </w:rPr>
            </w:pPr>
          </w:p>
        </w:tc>
        <w:tc>
          <w:tcPr>
            <w:tcW w:w="552" w:type="pct"/>
            <w:vMerge/>
            <w:vAlign w:val="center"/>
            <w:hideMark/>
          </w:tcPr>
          <w:p w14:paraId="74C6A6A7" w14:textId="77777777" w:rsidR="00D95A97" w:rsidRPr="00D95A97" w:rsidRDefault="00D95A97" w:rsidP="00D95A97">
            <w:pPr>
              <w:rPr>
                <w:rFonts w:ascii="Century Gothic" w:hAnsi="Century Gothic" w:cs="Calibri"/>
                <w:b/>
                <w:bCs/>
                <w:sz w:val="22"/>
                <w:szCs w:val="22"/>
              </w:rPr>
            </w:pPr>
          </w:p>
        </w:tc>
      </w:tr>
      <w:tr w:rsidR="00625B53" w:rsidRPr="00D95A97" w14:paraId="7BDE3D70" w14:textId="77777777" w:rsidTr="00600D7E">
        <w:trPr>
          <w:trHeight w:val="455"/>
        </w:trPr>
        <w:tc>
          <w:tcPr>
            <w:tcW w:w="846" w:type="pct"/>
            <w:vMerge w:val="restart"/>
            <w:shd w:val="clear" w:color="auto" w:fill="auto"/>
            <w:vAlign w:val="center"/>
            <w:hideMark/>
          </w:tcPr>
          <w:p w14:paraId="4B582F93" w14:textId="77777777" w:rsidR="00D95A97" w:rsidRPr="00D95A97" w:rsidRDefault="00D95A97" w:rsidP="00D95A97">
            <w:pPr>
              <w:jc w:val="center"/>
              <w:rPr>
                <w:rFonts w:ascii="Century Gothic" w:hAnsi="Century Gothic" w:cs="Calibri"/>
                <w:color w:val="000000"/>
                <w:sz w:val="20"/>
                <w:szCs w:val="20"/>
              </w:rPr>
            </w:pPr>
            <w:r w:rsidRPr="00D95A97">
              <w:rPr>
                <w:rFonts w:ascii="Century Gothic" w:hAnsi="Century Gothic" w:cs="Calibri"/>
                <w:color w:val="000000"/>
                <w:sz w:val="20"/>
                <w:szCs w:val="20"/>
              </w:rPr>
              <w:lastRenderedPageBreak/>
              <w:t xml:space="preserve">Pérdida del posicionamiento del Fonafifo para captar recursos adicionales </w:t>
            </w:r>
          </w:p>
        </w:tc>
        <w:tc>
          <w:tcPr>
            <w:tcW w:w="318" w:type="pct"/>
            <w:vMerge w:val="restart"/>
            <w:shd w:val="clear" w:color="000000" w:fill="FFC000"/>
            <w:vAlign w:val="center"/>
            <w:hideMark/>
          </w:tcPr>
          <w:p w14:paraId="1125F66B" w14:textId="77777777" w:rsidR="00D95A97" w:rsidRPr="00D95A97" w:rsidRDefault="00D95A97" w:rsidP="00D95A97">
            <w:pPr>
              <w:jc w:val="center"/>
              <w:rPr>
                <w:rFonts w:ascii="Century Gothic" w:hAnsi="Century Gothic" w:cs="Calibri"/>
                <w:b/>
                <w:bCs/>
                <w:color w:val="404040"/>
                <w:sz w:val="20"/>
                <w:szCs w:val="20"/>
              </w:rPr>
            </w:pPr>
            <w:r w:rsidRPr="00D95A97">
              <w:rPr>
                <w:rFonts w:ascii="Century Gothic" w:hAnsi="Century Gothic" w:cs="Calibri"/>
                <w:b/>
                <w:bCs/>
                <w:color w:val="404040"/>
                <w:sz w:val="20"/>
                <w:szCs w:val="20"/>
              </w:rPr>
              <w:t>9</w:t>
            </w:r>
          </w:p>
        </w:tc>
        <w:tc>
          <w:tcPr>
            <w:tcW w:w="1338" w:type="pct"/>
            <w:shd w:val="clear" w:color="000000" w:fill="FFFFFF"/>
            <w:vAlign w:val="center"/>
            <w:hideMark/>
          </w:tcPr>
          <w:p w14:paraId="786B1C71"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 xml:space="preserve">La búsqueda de financiadores (donantes) implica la identificación precisa de proyectos alineados con objetivos estratégicos de las empresas. </w:t>
            </w:r>
          </w:p>
        </w:tc>
        <w:tc>
          <w:tcPr>
            <w:tcW w:w="410" w:type="pct"/>
            <w:shd w:val="clear" w:color="000000" w:fill="FFFFFF"/>
            <w:vAlign w:val="center"/>
            <w:hideMark/>
          </w:tcPr>
          <w:p w14:paraId="402F1662"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69" w:type="pct"/>
            <w:shd w:val="clear" w:color="000000" w:fill="FFFFFF"/>
            <w:vAlign w:val="center"/>
            <w:hideMark/>
          </w:tcPr>
          <w:p w14:paraId="697A86D7"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493" w:type="pct"/>
            <w:shd w:val="clear" w:color="auto" w:fill="auto"/>
            <w:vAlign w:val="center"/>
            <w:hideMark/>
          </w:tcPr>
          <w:p w14:paraId="1C93CCC2"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2</w:t>
            </w:r>
          </w:p>
        </w:tc>
        <w:tc>
          <w:tcPr>
            <w:tcW w:w="335" w:type="pct"/>
            <w:vMerge w:val="restart"/>
            <w:shd w:val="clear" w:color="auto" w:fill="auto"/>
            <w:vAlign w:val="center"/>
            <w:hideMark/>
          </w:tcPr>
          <w:p w14:paraId="6D230278"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1,5</w:t>
            </w:r>
          </w:p>
        </w:tc>
        <w:tc>
          <w:tcPr>
            <w:tcW w:w="339" w:type="pct"/>
            <w:vMerge w:val="restart"/>
            <w:shd w:val="clear" w:color="000000" w:fill="FFC000"/>
            <w:vAlign w:val="center"/>
            <w:hideMark/>
          </w:tcPr>
          <w:p w14:paraId="7322A72F" w14:textId="77777777" w:rsidR="00D95A97" w:rsidRPr="00D95A97" w:rsidRDefault="00D95A97" w:rsidP="00D95A97">
            <w:pPr>
              <w:jc w:val="center"/>
              <w:rPr>
                <w:rFonts w:ascii="Century Gothic" w:hAnsi="Century Gothic" w:cs="Calibri"/>
                <w:b/>
                <w:bCs/>
                <w:color w:val="000000"/>
                <w:sz w:val="22"/>
                <w:szCs w:val="22"/>
              </w:rPr>
            </w:pPr>
            <w:r w:rsidRPr="00D95A97">
              <w:rPr>
                <w:rFonts w:ascii="Century Gothic" w:hAnsi="Century Gothic" w:cs="Calibri"/>
                <w:b/>
                <w:bCs/>
                <w:color w:val="000000"/>
                <w:sz w:val="22"/>
                <w:szCs w:val="22"/>
              </w:rPr>
              <w:t>6</w:t>
            </w:r>
          </w:p>
        </w:tc>
        <w:tc>
          <w:tcPr>
            <w:tcW w:w="552" w:type="pct"/>
            <w:vMerge w:val="restart"/>
            <w:shd w:val="clear" w:color="000000" w:fill="D0CECE"/>
            <w:vAlign w:val="center"/>
            <w:hideMark/>
          </w:tcPr>
          <w:p w14:paraId="13749E01" w14:textId="77777777" w:rsidR="00D95A97" w:rsidRPr="00D95A97" w:rsidRDefault="00D95A97" w:rsidP="00D95A97">
            <w:pPr>
              <w:jc w:val="center"/>
              <w:rPr>
                <w:rFonts w:ascii="Century Gothic" w:hAnsi="Century Gothic" w:cs="Calibri"/>
                <w:b/>
                <w:bCs/>
                <w:sz w:val="22"/>
                <w:szCs w:val="22"/>
              </w:rPr>
            </w:pPr>
            <w:r w:rsidRPr="00D95A97">
              <w:rPr>
                <w:rFonts w:ascii="Century Gothic" w:hAnsi="Century Gothic" w:cs="Calibri"/>
                <w:b/>
                <w:bCs/>
                <w:sz w:val="22"/>
                <w:szCs w:val="22"/>
              </w:rPr>
              <w:t>Aceptable</w:t>
            </w:r>
          </w:p>
        </w:tc>
      </w:tr>
      <w:tr w:rsidR="00600D7E" w:rsidRPr="00D95A97" w14:paraId="07CDB2CB" w14:textId="77777777" w:rsidTr="00600D7E">
        <w:trPr>
          <w:trHeight w:val="932"/>
        </w:trPr>
        <w:tc>
          <w:tcPr>
            <w:tcW w:w="846" w:type="pct"/>
            <w:vMerge/>
            <w:vAlign w:val="center"/>
            <w:hideMark/>
          </w:tcPr>
          <w:p w14:paraId="17E7F0EB" w14:textId="77777777" w:rsidR="00D95A97" w:rsidRPr="00D95A97" w:rsidRDefault="00D95A97" w:rsidP="00D95A97">
            <w:pPr>
              <w:rPr>
                <w:rFonts w:ascii="Century Gothic" w:hAnsi="Century Gothic" w:cs="Calibri"/>
                <w:color w:val="000000"/>
                <w:sz w:val="20"/>
                <w:szCs w:val="20"/>
              </w:rPr>
            </w:pPr>
          </w:p>
        </w:tc>
        <w:tc>
          <w:tcPr>
            <w:tcW w:w="318" w:type="pct"/>
            <w:vMerge/>
            <w:vAlign w:val="center"/>
            <w:hideMark/>
          </w:tcPr>
          <w:p w14:paraId="38122B55" w14:textId="77777777" w:rsidR="00D95A97" w:rsidRPr="00D95A97" w:rsidRDefault="00D95A97" w:rsidP="00D95A97">
            <w:pPr>
              <w:rPr>
                <w:rFonts w:ascii="Century Gothic" w:hAnsi="Century Gothic" w:cs="Calibri"/>
                <w:b/>
                <w:bCs/>
                <w:color w:val="404040"/>
                <w:sz w:val="20"/>
                <w:szCs w:val="20"/>
              </w:rPr>
            </w:pPr>
          </w:p>
        </w:tc>
        <w:tc>
          <w:tcPr>
            <w:tcW w:w="1338" w:type="pct"/>
            <w:shd w:val="clear" w:color="000000" w:fill="FFFFFF"/>
            <w:vAlign w:val="center"/>
            <w:hideMark/>
          </w:tcPr>
          <w:p w14:paraId="2C152C0E" w14:textId="77777777" w:rsidR="00D95A97" w:rsidRPr="00D95A97" w:rsidRDefault="00D95A97" w:rsidP="00D95A97">
            <w:pPr>
              <w:rPr>
                <w:rFonts w:ascii="Century Gothic" w:hAnsi="Century Gothic" w:cs="Calibri"/>
                <w:color w:val="000000"/>
                <w:sz w:val="20"/>
                <w:szCs w:val="20"/>
              </w:rPr>
            </w:pPr>
            <w:r w:rsidRPr="00D95A97">
              <w:rPr>
                <w:rFonts w:ascii="Century Gothic" w:hAnsi="Century Gothic" w:cs="Calibri"/>
                <w:color w:val="000000"/>
                <w:sz w:val="20"/>
                <w:szCs w:val="20"/>
              </w:rPr>
              <w:t xml:space="preserve">La definición de la forma de operación de Fonafifo para una debida ejecución y trazabilidad de los compromisos.  </w:t>
            </w:r>
          </w:p>
        </w:tc>
        <w:tc>
          <w:tcPr>
            <w:tcW w:w="410" w:type="pct"/>
            <w:shd w:val="clear" w:color="000000" w:fill="FFFFFF"/>
            <w:vAlign w:val="center"/>
            <w:hideMark/>
          </w:tcPr>
          <w:p w14:paraId="4347D633"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369" w:type="pct"/>
            <w:shd w:val="clear" w:color="000000" w:fill="FFFFFF"/>
            <w:vAlign w:val="center"/>
            <w:hideMark/>
          </w:tcPr>
          <w:p w14:paraId="35F13673"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493" w:type="pct"/>
            <w:shd w:val="clear" w:color="auto" w:fill="auto"/>
            <w:vAlign w:val="center"/>
            <w:hideMark/>
          </w:tcPr>
          <w:p w14:paraId="01C29E0B"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1</w:t>
            </w:r>
          </w:p>
        </w:tc>
        <w:tc>
          <w:tcPr>
            <w:tcW w:w="335" w:type="pct"/>
            <w:vMerge/>
            <w:vAlign w:val="center"/>
            <w:hideMark/>
          </w:tcPr>
          <w:p w14:paraId="2235AB51" w14:textId="77777777" w:rsidR="00D95A97" w:rsidRPr="00D95A97" w:rsidRDefault="00D95A97" w:rsidP="00D95A97">
            <w:pPr>
              <w:rPr>
                <w:rFonts w:ascii="Century Gothic" w:hAnsi="Century Gothic" w:cs="Calibri"/>
                <w:b/>
                <w:bCs/>
                <w:color w:val="000000"/>
                <w:sz w:val="28"/>
                <w:szCs w:val="28"/>
              </w:rPr>
            </w:pPr>
          </w:p>
        </w:tc>
        <w:tc>
          <w:tcPr>
            <w:tcW w:w="339" w:type="pct"/>
            <w:vMerge/>
            <w:vAlign w:val="center"/>
            <w:hideMark/>
          </w:tcPr>
          <w:p w14:paraId="7FFA196B" w14:textId="77777777" w:rsidR="00D95A97" w:rsidRPr="00D95A97" w:rsidRDefault="00D95A97" w:rsidP="00D95A97">
            <w:pPr>
              <w:rPr>
                <w:rFonts w:ascii="Century Gothic" w:hAnsi="Century Gothic" w:cs="Calibri"/>
                <w:b/>
                <w:bCs/>
                <w:color w:val="000000"/>
                <w:sz w:val="36"/>
                <w:szCs w:val="36"/>
              </w:rPr>
            </w:pPr>
          </w:p>
        </w:tc>
        <w:tc>
          <w:tcPr>
            <w:tcW w:w="552" w:type="pct"/>
            <w:vMerge/>
            <w:vAlign w:val="center"/>
            <w:hideMark/>
          </w:tcPr>
          <w:p w14:paraId="38AE0A4B" w14:textId="77777777" w:rsidR="00D95A97" w:rsidRPr="00D95A97" w:rsidRDefault="00D95A97" w:rsidP="00D95A97">
            <w:pPr>
              <w:rPr>
                <w:rFonts w:ascii="Century Gothic" w:hAnsi="Century Gothic" w:cs="Calibri"/>
                <w:b/>
                <w:bCs/>
                <w:sz w:val="28"/>
                <w:szCs w:val="28"/>
              </w:rPr>
            </w:pPr>
          </w:p>
        </w:tc>
      </w:tr>
      <w:tr w:rsidR="00600D7E" w:rsidRPr="00D95A97" w14:paraId="63FA8F44" w14:textId="77777777" w:rsidTr="00600D7E">
        <w:trPr>
          <w:trHeight w:val="932"/>
        </w:trPr>
        <w:tc>
          <w:tcPr>
            <w:tcW w:w="846" w:type="pct"/>
            <w:vMerge/>
            <w:vAlign w:val="center"/>
            <w:hideMark/>
          </w:tcPr>
          <w:p w14:paraId="7950DD86" w14:textId="77777777" w:rsidR="00D95A97" w:rsidRPr="00D95A97" w:rsidRDefault="00D95A97" w:rsidP="00D95A97">
            <w:pPr>
              <w:rPr>
                <w:rFonts w:ascii="Century Gothic" w:hAnsi="Century Gothic" w:cs="Calibri"/>
                <w:color w:val="000000"/>
              </w:rPr>
            </w:pPr>
          </w:p>
        </w:tc>
        <w:tc>
          <w:tcPr>
            <w:tcW w:w="318" w:type="pct"/>
            <w:vMerge/>
            <w:vAlign w:val="center"/>
            <w:hideMark/>
          </w:tcPr>
          <w:p w14:paraId="2E4F5E55" w14:textId="77777777" w:rsidR="00D95A97" w:rsidRPr="00D95A97" w:rsidRDefault="00D95A97" w:rsidP="00D95A97">
            <w:pPr>
              <w:rPr>
                <w:rFonts w:ascii="Century Gothic" w:hAnsi="Century Gothic" w:cs="Calibri"/>
                <w:b/>
                <w:bCs/>
                <w:color w:val="404040"/>
                <w:sz w:val="44"/>
                <w:szCs w:val="44"/>
              </w:rPr>
            </w:pPr>
          </w:p>
        </w:tc>
        <w:tc>
          <w:tcPr>
            <w:tcW w:w="1338" w:type="pct"/>
            <w:shd w:val="clear" w:color="000000" w:fill="FFFFFF"/>
            <w:vAlign w:val="center"/>
            <w:hideMark/>
          </w:tcPr>
          <w:p w14:paraId="35E2B813" w14:textId="77777777" w:rsidR="00D95A97" w:rsidRPr="00D95A97" w:rsidRDefault="00D95A97" w:rsidP="00D95A97">
            <w:pPr>
              <w:rPr>
                <w:rFonts w:ascii="Century Gothic" w:hAnsi="Century Gothic" w:cs="Calibri"/>
                <w:color w:val="000000"/>
                <w:sz w:val="22"/>
                <w:szCs w:val="22"/>
              </w:rPr>
            </w:pPr>
            <w:r w:rsidRPr="00D95A97">
              <w:rPr>
                <w:rFonts w:ascii="Century Gothic" w:hAnsi="Century Gothic" w:cs="Calibri"/>
                <w:color w:val="000000"/>
                <w:sz w:val="22"/>
                <w:szCs w:val="22"/>
              </w:rPr>
              <w:t>La solicitud ante la UTIC de la necesidad de un sistema institucional de información y seguimiento de convenios.</w:t>
            </w:r>
          </w:p>
        </w:tc>
        <w:tc>
          <w:tcPr>
            <w:tcW w:w="410" w:type="pct"/>
            <w:shd w:val="clear" w:color="000000" w:fill="FFFFFF"/>
            <w:vAlign w:val="center"/>
            <w:hideMark/>
          </w:tcPr>
          <w:p w14:paraId="55BC7888"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0</w:t>
            </w:r>
          </w:p>
        </w:tc>
        <w:tc>
          <w:tcPr>
            <w:tcW w:w="369" w:type="pct"/>
            <w:shd w:val="clear" w:color="000000" w:fill="FFFFFF"/>
            <w:vAlign w:val="center"/>
            <w:hideMark/>
          </w:tcPr>
          <w:p w14:paraId="3A68EC1F"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0</w:t>
            </w:r>
          </w:p>
        </w:tc>
        <w:tc>
          <w:tcPr>
            <w:tcW w:w="493" w:type="pct"/>
            <w:shd w:val="clear" w:color="auto" w:fill="auto"/>
            <w:vAlign w:val="center"/>
            <w:hideMark/>
          </w:tcPr>
          <w:p w14:paraId="66373E9F" w14:textId="77777777" w:rsidR="00D95A97" w:rsidRPr="00D95A97" w:rsidRDefault="00D95A97" w:rsidP="00D95A97">
            <w:pPr>
              <w:jc w:val="center"/>
              <w:rPr>
                <w:rFonts w:ascii="Century Gothic" w:hAnsi="Century Gothic" w:cs="Calibri"/>
                <w:b/>
                <w:bCs/>
                <w:color w:val="000000"/>
                <w:sz w:val="20"/>
                <w:szCs w:val="20"/>
              </w:rPr>
            </w:pPr>
            <w:r w:rsidRPr="00D95A97">
              <w:rPr>
                <w:rFonts w:ascii="Century Gothic" w:hAnsi="Century Gothic" w:cs="Calibri"/>
                <w:b/>
                <w:bCs/>
                <w:color w:val="000000"/>
                <w:sz w:val="20"/>
                <w:szCs w:val="20"/>
              </w:rPr>
              <w:t>0</w:t>
            </w:r>
          </w:p>
        </w:tc>
        <w:tc>
          <w:tcPr>
            <w:tcW w:w="335" w:type="pct"/>
            <w:vMerge/>
            <w:vAlign w:val="center"/>
            <w:hideMark/>
          </w:tcPr>
          <w:p w14:paraId="706A4009" w14:textId="77777777" w:rsidR="00D95A97" w:rsidRPr="00D95A97" w:rsidRDefault="00D95A97" w:rsidP="00D95A97">
            <w:pPr>
              <w:rPr>
                <w:rFonts w:ascii="Century Gothic" w:hAnsi="Century Gothic" w:cs="Calibri"/>
                <w:b/>
                <w:bCs/>
                <w:color w:val="000000"/>
                <w:sz w:val="28"/>
                <w:szCs w:val="28"/>
              </w:rPr>
            </w:pPr>
          </w:p>
        </w:tc>
        <w:tc>
          <w:tcPr>
            <w:tcW w:w="339" w:type="pct"/>
            <w:vMerge/>
            <w:vAlign w:val="center"/>
            <w:hideMark/>
          </w:tcPr>
          <w:p w14:paraId="37279726" w14:textId="77777777" w:rsidR="00D95A97" w:rsidRPr="00D95A97" w:rsidRDefault="00D95A97" w:rsidP="00D95A97">
            <w:pPr>
              <w:rPr>
                <w:rFonts w:ascii="Century Gothic" w:hAnsi="Century Gothic" w:cs="Calibri"/>
                <w:b/>
                <w:bCs/>
                <w:color w:val="000000"/>
                <w:sz w:val="36"/>
                <w:szCs w:val="36"/>
              </w:rPr>
            </w:pPr>
          </w:p>
        </w:tc>
        <w:tc>
          <w:tcPr>
            <w:tcW w:w="552" w:type="pct"/>
            <w:vMerge/>
            <w:vAlign w:val="center"/>
            <w:hideMark/>
          </w:tcPr>
          <w:p w14:paraId="04DE6CA4" w14:textId="77777777" w:rsidR="00D95A97" w:rsidRPr="00D95A97" w:rsidRDefault="00D95A97" w:rsidP="00D95A97">
            <w:pPr>
              <w:rPr>
                <w:rFonts w:ascii="Century Gothic" w:hAnsi="Century Gothic" w:cs="Calibri"/>
                <w:b/>
                <w:bCs/>
                <w:sz w:val="28"/>
                <w:szCs w:val="28"/>
              </w:rPr>
            </w:pPr>
          </w:p>
        </w:tc>
      </w:tr>
    </w:tbl>
    <w:p w14:paraId="178ADE5F" w14:textId="114F0AC2" w:rsidR="00004005" w:rsidRDefault="00004005" w:rsidP="00C1155B">
      <w:pPr>
        <w:rPr>
          <w:noProof/>
        </w:rPr>
      </w:pPr>
    </w:p>
    <w:p w14:paraId="205C7BA9" w14:textId="77777777" w:rsidR="00004005" w:rsidRDefault="00004005" w:rsidP="00C1155B"/>
    <w:p w14:paraId="1571A6F1" w14:textId="77777777" w:rsidR="001F181F" w:rsidRDefault="001F181F" w:rsidP="00C1155B"/>
    <w:p w14:paraId="0BB851C1" w14:textId="4F4BF571" w:rsidR="00F8181E" w:rsidRDefault="00F8181E" w:rsidP="00C1155B"/>
    <w:p w14:paraId="0A1F7C1D" w14:textId="7D3721E5" w:rsidR="00F8181E" w:rsidRDefault="00F8181E" w:rsidP="00C1155B">
      <w:pPr>
        <w:rPr>
          <w:noProof/>
        </w:rPr>
      </w:pPr>
    </w:p>
    <w:p w14:paraId="471C4DA5" w14:textId="586C8317" w:rsidR="00D95A97" w:rsidRDefault="00D95A97" w:rsidP="00C1155B">
      <w:pPr>
        <w:rPr>
          <w:noProof/>
        </w:rPr>
      </w:pPr>
    </w:p>
    <w:p w14:paraId="55EDEBA9" w14:textId="00D735D1" w:rsidR="00D95A97" w:rsidRDefault="00D95A97" w:rsidP="00C1155B">
      <w:pPr>
        <w:rPr>
          <w:noProof/>
        </w:rPr>
      </w:pPr>
    </w:p>
    <w:p w14:paraId="5B383A1D" w14:textId="48A2383C" w:rsidR="00D95A97" w:rsidRDefault="00D95A97" w:rsidP="00C1155B">
      <w:pPr>
        <w:rPr>
          <w:noProof/>
        </w:rPr>
      </w:pPr>
    </w:p>
    <w:p w14:paraId="12544225" w14:textId="4DC15A95" w:rsidR="00D95A97" w:rsidRDefault="00D95A97" w:rsidP="00C1155B">
      <w:pPr>
        <w:rPr>
          <w:noProof/>
        </w:rPr>
      </w:pPr>
    </w:p>
    <w:p w14:paraId="0DBCE152" w14:textId="72CBBA2A" w:rsidR="00625B53" w:rsidRDefault="00625B53" w:rsidP="00C1155B">
      <w:pPr>
        <w:rPr>
          <w:noProof/>
        </w:rPr>
      </w:pPr>
    </w:p>
    <w:p w14:paraId="0CB1C45D" w14:textId="5ED9BAB2" w:rsidR="00625B53" w:rsidRDefault="00625B53" w:rsidP="00C1155B">
      <w:pPr>
        <w:rPr>
          <w:noProof/>
        </w:rPr>
      </w:pPr>
    </w:p>
    <w:p w14:paraId="61DC2983" w14:textId="5EA65AE9" w:rsidR="00625B53" w:rsidRDefault="00625B53" w:rsidP="00C1155B">
      <w:pPr>
        <w:rPr>
          <w:noProof/>
        </w:rPr>
      </w:pPr>
    </w:p>
    <w:p w14:paraId="2EFA7DE7" w14:textId="77777777" w:rsidR="00625B53" w:rsidRDefault="00625B53" w:rsidP="00C1155B">
      <w:pPr>
        <w:rPr>
          <w:noProof/>
        </w:rPr>
      </w:pPr>
    </w:p>
    <w:p w14:paraId="5756F808" w14:textId="48EAF260" w:rsidR="00D95A97" w:rsidRDefault="00D95A97" w:rsidP="00C1155B">
      <w:pPr>
        <w:rPr>
          <w:noProof/>
        </w:rPr>
      </w:pPr>
    </w:p>
    <w:p w14:paraId="78613938" w14:textId="712A6E35" w:rsidR="00D95A97" w:rsidRDefault="00D95A97" w:rsidP="00C1155B">
      <w:pPr>
        <w:rPr>
          <w:noProof/>
        </w:rPr>
      </w:pPr>
    </w:p>
    <w:p w14:paraId="03D2DE65" w14:textId="392EA503" w:rsidR="00D95A97" w:rsidRDefault="00D95A97" w:rsidP="00C1155B">
      <w:pPr>
        <w:rPr>
          <w:noProof/>
        </w:rPr>
      </w:pPr>
    </w:p>
    <w:p w14:paraId="4D7D3982" w14:textId="371FA1B6" w:rsidR="00D95A97" w:rsidRDefault="00D95A97" w:rsidP="00C1155B">
      <w:pPr>
        <w:rPr>
          <w:noProof/>
        </w:rPr>
      </w:pPr>
    </w:p>
    <w:p w14:paraId="538B81FB" w14:textId="74AAE53B" w:rsidR="00D95A97" w:rsidRDefault="00D95A97" w:rsidP="00C1155B">
      <w:pPr>
        <w:rPr>
          <w:noProof/>
        </w:rPr>
      </w:pPr>
    </w:p>
    <w:p w14:paraId="5B28EFFC" w14:textId="4DC95773" w:rsidR="00D95A97" w:rsidRDefault="00D95A97" w:rsidP="00C1155B">
      <w:pPr>
        <w:rPr>
          <w:noProof/>
        </w:rPr>
      </w:pPr>
    </w:p>
    <w:p w14:paraId="1818103D" w14:textId="642F92B2" w:rsidR="006459D9" w:rsidRDefault="006459D9" w:rsidP="006459D9">
      <w:pPr>
        <w:jc w:val="center"/>
        <w:rPr>
          <w:rFonts w:ascii="Arial" w:hAnsi="Arial" w:cs="Arial"/>
        </w:rPr>
      </w:pPr>
      <w:r>
        <w:rPr>
          <w:rFonts w:ascii="Arial" w:hAnsi="Arial" w:cs="Arial"/>
        </w:rPr>
        <w:lastRenderedPageBreak/>
        <w:t xml:space="preserve">Anexo </w:t>
      </w:r>
      <w:r w:rsidR="001F181F">
        <w:rPr>
          <w:rFonts w:ascii="Arial" w:hAnsi="Arial" w:cs="Arial"/>
        </w:rPr>
        <w:t>4</w:t>
      </w:r>
      <w:r w:rsidRPr="006B75F7">
        <w:rPr>
          <w:rFonts w:ascii="Arial" w:hAnsi="Arial" w:cs="Arial"/>
        </w:rPr>
        <w:t xml:space="preserve">. Fase </w:t>
      </w:r>
      <w:r w:rsidR="00D95A97">
        <w:rPr>
          <w:rFonts w:ascii="Arial" w:hAnsi="Arial" w:cs="Arial"/>
        </w:rPr>
        <w:t>Evaluación</w:t>
      </w:r>
      <w:r>
        <w:rPr>
          <w:rFonts w:ascii="Arial" w:hAnsi="Arial" w:cs="Arial"/>
        </w:rPr>
        <w:t xml:space="preserve"> </w:t>
      </w:r>
      <w:r w:rsidRPr="006B75F7">
        <w:rPr>
          <w:rFonts w:ascii="Arial" w:hAnsi="Arial" w:cs="Arial"/>
        </w:rPr>
        <w:t>del SEVRI</w:t>
      </w:r>
    </w:p>
    <w:p w14:paraId="2B15AAF4" w14:textId="1DC089CE" w:rsidR="00F8181E" w:rsidRDefault="00F8181E" w:rsidP="00C1155B"/>
    <w:p w14:paraId="77FAB1EF" w14:textId="0A95DD95" w:rsidR="003C02D8" w:rsidRDefault="006459D9" w:rsidP="00F8181E">
      <w:pPr>
        <w:rPr>
          <w:rFonts w:ascii="Arial" w:hAnsi="Arial" w:cs="Arial"/>
        </w:rPr>
      </w:pPr>
      <w:r w:rsidRPr="006459D9">
        <w:rPr>
          <w:rFonts w:ascii="Arial" w:hAnsi="Arial" w:cs="Arial"/>
          <w:noProof/>
        </w:rPr>
        <w:drawing>
          <wp:inline distT="0" distB="0" distL="0" distR="0" wp14:anchorId="32625E18" wp14:editId="2701AE68">
            <wp:extent cx="8371205" cy="3375660"/>
            <wp:effectExtent l="19050" t="19050" r="10795" b="1524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371205" cy="3375660"/>
                    </a:xfrm>
                    <a:prstGeom prst="rect">
                      <a:avLst/>
                    </a:prstGeom>
                    <a:ln>
                      <a:solidFill>
                        <a:schemeClr val="tx1"/>
                      </a:solidFill>
                    </a:ln>
                  </pic:spPr>
                </pic:pic>
              </a:graphicData>
            </a:graphic>
          </wp:inline>
        </w:drawing>
      </w:r>
    </w:p>
    <w:p w14:paraId="5DFC3473" w14:textId="77777777" w:rsidR="003C02D8" w:rsidRDefault="003C02D8" w:rsidP="0087076D">
      <w:pPr>
        <w:jc w:val="center"/>
        <w:rPr>
          <w:rFonts w:ascii="Arial" w:hAnsi="Arial" w:cs="Arial"/>
        </w:rPr>
      </w:pPr>
    </w:p>
    <w:p w14:paraId="5E475814" w14:textId="2331E454" w:rsidR="003C02D8" w:rsidRDefault="003C02D8" w:rsidP="0087076D">
      <w:pPr>
        <w:jc w:val="center"/>
        <w:rPr>
          <w:rFonts w:ascii="Arial" w:hAnsi="Arial" w:cs="Arial"/>
        </w:rPr>
      </w:pPr>
    </w:p>
    <w:p w14:paraId="4C11427B" w14:textId="77777777" w:rsidR="00FD45D9" w:rsidRDefault="00FD45D9" w:rsidP="0087076D">
      <w:pPr>
        <w:jc w:val="center"/>
        <w:rPr>
          <w:rFonts w:ascii="Arial" w:hAnsi="Arial" w:cs="Arial"/>
        </w:rPr>
      </w:pPr>
    </w:p>
    <w:p w14:paraId="286677FD" w14:textId="6DC131E2" w:rsidR="003C02D8" w:rsidRDefault="003C02D8" w:rsidP="0087076D">
      <w:pPr>
        <w:jc w:val="center"/>
        <w:rPr>
          <w:rFonts w:ascii="Arial" w:hAnsi="Arial" w:cs="Arial"/>
        </w:rPr>
      </w:pPr>
    </w:p>
    <w:p w14:paraId="27A39773" w14:textId="5E1E6051" w:rsidR="0034046F" w:rsidRDefault="0034046F" w:rsidP="0087076D">
      <w:pPr>
        <w:jc w:val="center"/>
        <w:rPr>
          <w:rFonts w:ascii="Arial" w:hAnsi="Arial" w:cs="Arial"/>
        </w:rPr>
      </w:pPr>
    </w:p>
    <w:p w14:paraId="4E61FD55" w14:textId="65AA44D7" w:rsidR="0034046F" w:rsidRDefault="0034046F" w:rsidP="0087076D">
      <w:pPr>
        <w:jc w:val="center"/>
        <w:rPr>
          <w:rFonts w:ascii="Arial" w:hAnsi="Arial" w:cs="Arial"/>
        </w:rPr>
      </w:pPr>
    </w:p>
    <w:p w14:paraId="501FDFCB" w14:textId="1844B430" w:rsidR="0034046F" w:rsidRDefault="0034046F" w:rsidP="0087076D">
      <w:pPr>
        <w:jc w:val="center"/>
        <w:rPr>
          <w:rFonts w:ascii="Arial" w:hAnsi="Arial" w:cs="Arial"/>
        </w:rPr>
      </w:pPr>
    </w:p>
    <w:p w14:paraId="1EC14385" w14:textId="12486468" w:rsidR="006459D9" w:rsidRDefault="006459D9" w:rsidP="0087076D">
      <w:pPr>
        <w:jc w:val="center"/>
        <w:rPr>
          <w:rFonts w:ascii="Arial" w:hAnsi="Arial" w:cs="Arial"/>
        </w:rPr>
      </w:pPr>
    </w:p>
    <w:p w14:paraId="7E409F5A" w14:textId="77777777" w:rsidR="006459D9" w:rsidRDefault="006459D9" w:rsidP="0087076D">
      <w:pPr>
        <w:jc w:val="center"/>
        <w:rPr>
          <w:rFonts w:ascii="Arial" w:hAnsi="Arial" w:cs="Arial"/>
        </w:rPr>
      </w:pPr>
    </w:p>
    <w:p w14:paraId="295291EF" w14:textId="6698753C" w:rsidR="0034046F" w:rsidRDefault="0034046F" w:rsidP="0087076D">
      <w:pPr>
        <w:jc w:val="center"/>
        <w:rPr>
          <w:rFonts w:ascii="Arial" w:hAnsi="Arial" w:cs="Arial"/>
        </w:rPr>
      </w:pPr>
    </w:p>
    <w:p w14:paraId="01D66647" w14:textId="02899E93" w:rsidR="0034046F" w:rsidRDefault="0034046F" w:rsidP="0087076D">
      <w:pPr>
        <w:jc w:val="center"/>
        <w:rPr>
          <w:rFonts w:ascii="Arial" w:hAnsi="Arial" w:cs="Arial"/>
        </w:rPr>
      </w:pPr>
    </w:p>
    <w:p w14:paraId="74951137" w14:textId="77777777" w:rsidR="0034046F" w:rsidRDefault="0034046F" w:rsidP="0087076D">
      <w:pPr>
        <w:jc w:val="center"/>
        <w:rPr>
          <w:rFonts w:ascii="Arial" w:hAnsi="Arial" w:cs="Arial"/>
        </w:rPr>
      </w:pPr>
    </w:p>
    <w:p w14:paraId="687AD021" w14:textId="77777777" w:rsidR="003C02D8" w:rsidRDefault="003C02D8" w:rsidP="0087076D">
      <w:pPr>
        <w:jc w:val="center"/>
        <w:rPr>
          <w:rFonts w:ascii="Arial" w:hAnsi="Arial" w:cs="Arial"/>
        </w:rPr>
      </w:pPr>
    </w:p>
    <w:p w14:paraId="1F6060BD" w14:textId="77777777" w:rsidR="003C02D8" w:rsidRDefault="003C02D8" w:rsidP="0087076D">
      <w:pPr>
        <w:jc w:val="center"/>
        <w:rPr>
          <w:rFonts w:ascii="Arial" w:hAnsi="Arial" w:cs="Arial"/>
        </w:rPr>
      </w:pPr>
    </w:p>
    <w:p w14:paraId="1CFBDBB9" w14:textId="3BECC487" w:rsidR="0087076D" w:rsidRDefault="0087076D" w:rsidP="0087076D">
      <w:pPr>
        <w:jc w:val="center"/>
        <w:rPr>
          <w:rFonts w:ascii="Arial" w:hAnsi="Arial" w:cs="Arial"/>
        </w:rPr>
      </w:pPr>
      <w:r w:rsidRPr="0087076D">
        <w:rPr>
          <w:rFonts w:ascii="Arial" w:hAnsi="Arial" w:cs="Arial"/>
        </w:rPr>
        <w:lastRenderedPageBreak/>
        <w:t xml:space="preserve">Anexo </w:t>
      </w:r>
      <w:r w:rsidR="001F181F">
        <w:rPr>
          <w:rFonts w:ascii="Arial" w:hAnsi="Arial" w:cs="Arial"/>
        </w:rPr>
        <w:t>5</w:t>
      </w:r>
      <w:r w:rsidRPr="0087076D">
        <w:rPr>
          <w:rFonts w:ascii="Arial" w:hAnsi="Arial" w:cs="Arial"/>
        </w:rPr>
        <w:t xml:space="preserve">. Matriz SEVRI </w:t>
      </w:r>
      <w:r>
        <w:rPr>
          <w:rFonts w:ascii="Arial" w:hAnsi="Arial" w:cs="Arial"/>
        </w:rPr>
        <w:t xml:space="preserve">Dirección </w:t>
      </w:r>
      <w:r w:rsidR="00CD66F3">
        <w:rPr>
          <w:rFonts w:ascii="Arial" w:hAnsi="Arial" w:cs="Arial"/>
        </w:rPr>
        <w:t>Administrativa Financiera</w:t>
      </w:r>
    </w:p>
    <w:p w14:paraId="3F76EDF6" w14:textId="72AB3774" w:rsidR="00CD66F3" w:rsidRDefault="00CD66F3" w:rsidP="00C1155B"/>
    <w:p w14:paraId="0AA33A86" w14:textId="3B4FBFD4" w:rsidR="00D6005B" w:rsidRDefault="00D6005B" w:rsidP="00C1155B"/>
    <w:tbl>
      <w:tblPr>
        <w:tblW w:w="4835"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795"/>
        <w:gridCol w:w="1918"/>
        <w:gridCol w:w="6025"/>
      </w:tblGrid>
      <w:tr w:rsidR="001F181F" w:rsidRPr="006459D9" w14:paraId="17D417A1" w14:textId="77777777" w:rsidTr="00600D7E">
        <w:trPr>
          <w:trHeight w:val="337"/>
          <w:jc w:val="center"/>
        </w:trPr>
        <w:tc>
          <w:tcPr>
            <w:tcW w:w="1882" w:type="pct"/>
            <w:vMerge w:val="restart"/>
            <w:shd w:val="clear" w:color="000000" w:fill="548235"/>
            <w:vAlign w:val="center"/>
            <w:hideMark/>
          </w:tcPr>
          <w:p w14:paraId="68454E53" w14:textId="77777777" w:rsidR="006459D9" w:rsidRPr="006459D9" w:rsidRDefault="006459D9" w:rsidP="006459D9">
            <w:pPr>
              <w:jc w:val="center"/>
              <w:rPr>
                <w:rFonts w:ascii="Century Gothic" w:hAnsi="Century Gothic" w:cs="Calibri"/>
                <w:b/>
                <w:bCs/>
                <w:color w:val="FFFFFF"/>
                <w:sz w:val="22"/>
              </w:rPr>
            </w:pPr>
            <w:r w:rsidRPr="006459D9">
              <w:rPr>
                <w:rFonts w:ascii="Century Gothic" w:hAnsi="Century Gothic" w:cs="Calibri"/>
                <w:b/>
                <w:bCs/>
                <w:color w:val="FFFFFF"/>
                <w:sz w:val="22"/>
              </w:rPr>
              <w:t xml:space="preserve">EVENTOS QUE SON DE PRIORIDAD INSTITUCIONAL </w:t>
            </w:r>
          </w:p>
        </w:tc>
        <w:tc>
          <w:tcPr>
            <w:tcW w:w="753" w:type="pct"/>
            <w:vMerge w:val="restart"/>
            <w:shd w:val="clear" w:color="000000" w:fill="548235"/>
            <w:vAlign w:val="center"/>
            <w:hideMark/>
          </w:tcPr>
          <w:p w14:paraId="45DAB712" w14:textId="77777777" w:rsidR="006459D9" w:rsidRPr="006459D9" w:rsidRDefault="006459D9" w:rsidP="006459D9">
            <w:pPr>
              <w:jc w:val="center"/>
              <w:rPr>
                <w:rFonts w:ascii="Century Gothic" w:hAnsi="Century Gothic" w:cs="Calibri"/>
                <w:b/>
                <w:bCs/>
                <w:color w:val="FFFFFF"/>
                <w:sz w:val="22"/>
              </w:rPr>
            </w:pPr>
            <w:r w:rsidRPr="006459D9">
              <w:rPr>
                <w:rFonts w:ascii="Century Gothic" w:hAnsi="Century Gothic" w:cs="Calibri"/>
                <w:b/>
                <w:bCs/>
                <w:color w:val="FFFFFF"/>
                <w:sz w:val="22"/>
              </w:rPr>
              <w:t xml:space="preserve">COMO SE VA ADMINISTRAR </w:t>
            </w:r>
          </w:p>
        </w:tc>
        <w:tc>
          <w:tcPr>
            <w:tcW w:w="2365" w:type="pct"/>
            <w:vMerge w:val="restart"/>
            <w:shd w:val="clear" w:color="000000" w:fill="548235"/>
            <w:vAlign w:val="center"/>
            <w:hideMark/>
          </w:tcPr>
          <w:p w14:paraId="72ADFD1C" w14:textId="77777777" w:rsidR="006459D9" w:rsidRPr="006459D9" w:rsidRDefault="006459D9" w:rsidP="006459D9">
            <w:pPr>
              <w:jc w:val="center"/>
              <w:rPr>
                <w:rFonts w:ascii="Century Gothic" w:hAnsi="Century Gothic" w:cs="Calibri"/>
                <w:b/>
                <w:bCs/>
                <w:color w:val="FFFFFF"/>
                <w:sz w:val="22"/>
              </w:rPr>
            </w:pPr>
            <w:r w:rsidRPr="006459D9">
              <w:rPr>
                <w:rFonts w:ascii="Century Gothic" w:hAnsi="Century Gothic" w:cs="Calibri"/>
                <w:b/>
                <w:bCs/>
                <w:color w:val="FFFFFF"/>
                <w:sz w:val="22"/>
              </w:rPr>
              <w:t xml:space="preserve">MEDIDAS PARA ADMINISTRAR EL RIESGO RESIDUAL </w:t>
            </w:r>
          </w:p>
        </w:tc>
      </w:tr>
      <w:tr w:rsidR="00487040" w:rsidRPr="006459D9" w14:paraId="3F6487D3" w14:textId="77777777" w:rsidTr="00600D7E">
        <w:trPr>
          <w:trHeight w:val="294"/>
          <w:jc w:val="center"/>
        </w:trPr>
        <w:tc>
          <w:tcPr>
            <w:tcW w:w="1882" w:type="pct"/>
            <w:vMerge/>
            <w:vAlign w:val="center"/>
            <w:hideMark/>
          </w:tcPr>
          <w:p w14:paraId="3E9B4A17" w14:textId="77777777" w:rsidR="006459D9" w:rsidRPr="006459D9" w:rsidRDefault="006459D9" w:rsidP="006459D9">
            <w:pPr>
              <w:rPr>
                <w:rFonts w:ascii="Century Gothic" w:hAnsi="Century Gothic" w:cs="Calibri"/>
                <w:b/>
                <w:bCs/>
                <w:color w:val="FFFFFF"/>
              </w:rPr>
            </w:pPr>
          </w:p>
        </w:tc>
        <w:tc>
          <w:tcPr>
            <w:tcW w:w="753" w:type="pct"/>
            <w:vMerge/>
            <w:vAlign w:val="center"/>
            <w:hideMark/>
          </w:tcPr>
          <w:p w14:paraId="66761C96" w14:textId="77777777" w:rsidR="006459D9" w:rsidRPr="006459D9" w:rsidRDefault="006459D9" w:rsidP="006459D9">
            <w:pPr>
              <w:rPr>
                <w:rFonts w:ascii="Century Gothic" w:hAnsi="Century Gothic" w:cs="Calibri"/>
                <w:b/>
                <w:bCs/>
                <w:color w:val="FFFFFF"/>
              </w:rPr>
            </w:pPr>
          </w:p>
        </w:tc>
        <w:tc>
          <w:tcPr>
            <w:tcW w:w="2365" w:type="pct"/>
            <w:vMerge/>
            <w:vAlign w:val="center"/>
            <w:hideMark/>
          </w:tcPr>
          <w:p w14:paraId="5C33843A" w14:textId="77777777" w:rsidR="006459D9" w:rsidRPr="006459D9" w:rsidRDefault="006459D9" w:rsidP="006459D9">
            <w:pPr>
              <w:rPr>
                <w:rFonts w:ascii="Century Gothic" w:hAnsi="Century Gothic" w:cs="Calibri"/>
                <w:b/>
                <w:bCs/>
                <w:color w:val="FFFFFF"/>
              </w:rPr>
            </w:pPr>
          </w:p>
        </w:tc>
      </w:tr>
      <w:tr w:rsidR="001F181F" w:rsidRPr="006459D9" w14:paraId="0ED3C6D6" w14:textId="77777777" w:rsidTr="00600D7E">
        <w:trPr>
          <w:trHeight w:val="742"/>
          <w:jc w:val="center"/>
        </w:trPr>
        <w:tc>
          <w:tcPr>
            <w:tcW w:w="1882" w:type="pct"/>
            <w:vMerge w:val="restart"/>
            <w:shd w:val="clear" w:color="auto" w:fill="FFFFFF" w:themeFill="background1"/>
            <w:vAlign w:val="center"/>
            <w:hideMark/>
          </w:tcPr>
          <w:p w14:paraId="0EBB92EE" w14:textId="77777777" w:rsidR="006459D9" w:rsidRPr="006459D9" w:rsidRDefault="006459D9" w:rsidP="006459D9">
            <w:pPr>
              <w:rPr>
                <w:rFonts w:ascii="Arial" w:hAnsi="Arial" w:cs="Arial"/>
                <w:color w:val="000000"/>
                <w:sz w:val="20"/>
                <w:szCs w:val="20"/>
              </w:rPr>
            </w:pPr>
            <w:r w:rsidRPr="006459D9">
              <w:rPr>
                <w:rFonts w:ascii="Arial" w:hAnsi="Arial" w:cs="Arial"/>
                <w:color w:val="000000"/>
                <w:sz w:val="20"/>
                <w:szCs w:val="20"/>
              </w:rPr>
              <w:t>Incumplimiento de pago por parte de los deudores de la cartera de crédito forestal.</w:t>
            </w:r>
          </w:p>
        </w:tc>
        <w:tc>
          <w:tcPr>
            <w:tcW w:w="753" w:type="pct"/>
            <w:vMerge w:val="restart"/>
            <w:shd w:val="clear" w:color="auto" w:fill="FFFFFF" w:themeFill="background1"/>
            <w:vAlign w:val="center"/>
            <w:hideMark/>
          </w:tcPr>
          <w:p w14:paraId="4D006FCE" w14:textId="77777777" w:rsidR="006459D9" w:rsidRPr="006459D9" w:rsidRDefault="006459D9" w:rsidP="006459D9">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 xml:space="preserve">GESTIONAR EL RIESGO </w:t>
            </w:r>
          </w:p>
        </w:tc>
        <w:tc>
          <w:tcPr>
            <w:tcW w:w="2365" w:type="pct"/>
            <w:shd w:val="clear" w:color="auto" w:fill="FFFFFF" w:themeFill="background1"/>
            <w:vAlign w:val="center"/>
            <w:hideMark/>
          </w:tcPr>
          <w:p w14:paraId="24CE0648"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Diseño e implementación de entrevistas para conocer mejor al cliente</w:t>
            </w:r>
          </w:p>
        </w:tc>
      </w:tr>
      <w:tr w:rsidR="001F181F" w:rsidRPr="006459D9" w14:paraId="4082FEE7" w14:textId="77777777" w:rsidTr="00600D7E">
        <w:trPr>
          <w:trHeight w:val="258"/>
          <w:jc w:val="center"/>
        </w:trPr>
        <w:tc>
          <w:tcPr>
            <w:tcW w:w="1882" w:type="pct"/>
            <w:vMerge/>
            <w:shd w:val="clear" w:color="auto" w:fill="FFFFFF" w:themeFill="background1"/>
            <w:vAlign w:val="center"/>
            <w:hideMark/>
          </w:tcPr>
          <w:p w14:paraId="6D7FA893" w14:textId="77777777" w:rsidR="006459D9" w:rsidRPr="006459D9" w:rsidRDefault="006459D9" w:rsidP="006459D9">
            <w:pPr>
              <w:rPr>
                <w:rFonts w:ascii="Arial" w:hAnsi="Arial" w:cs="Arial"/>
                <w:color w:val="000000"/>
                <w:sz w:val="20"/>
                <w:szCs w:val="20"/>
              </w:rPr>
            </w:pPr>
          </w:p>
        </w:tc>
        <w:tc>
          <w:tcPr>
            <w:tcW w:w="753" w:type="pct"/>
            <w:vMerge/>
            <w:shd w:val="clear" w:color="auto" w:fill="FFFFFF" w:themeFill="background1"/>
            <w:vAlign w:val="center"/>
            <w:hideMark/>
          </w:tcPr>
          <w:p w14:paraId="55730F61" w14:textId="77777777" w:rsidR="006459D9" w:rsidRPr="006459D9" w:rsidRDefault="006459D9" w:rsidP="006459D9">
            <w:pPr>
              <w:rPr>
                <w:rFonts w:ascii="Century Gothic" w:hAnsi="Century Gothic" w:cs="Calibri"/>
                <w:b/>
                <w:bCs/>
                <w:color w:val="000000"/>
                <w:sz w:val="20"/>
                <w:szCs w:val="20"/>
              </w:rPr>
            </w:pPr>
          </w:p>
        </w:tc>
        <w:tc>
          <w:tcPr>
            <w:tcW w:w="2365" w:type="pct"/>
            <w:shd w:val="clear" w:color="auto" w:fill="FFFFFF" w:themeFill="background1"/>
            <w:vAlign w:val="center"/>
            <w:hideMark/>
          </w:tcPr>
          <w:p w14:paraId="3A21DF5E"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 xml:space="preserve">Revisión periódica de la normativa </w:t>
            </w:r>
          </w:p>
        </w:tc>
      </w:tr>
      <w:tr w:rsidR="001F181F" w:rsidRPr="006459D9" w14:paraId="2F063DEC" w14:textId="77777777" w:rsidTr="00600D7E">
        <w:trPr>
          <w:trHeight w:val="495"/>
          <w:jc w:val="center"/>
        </w:trPr>
        <w:tc>
          <w:tcPr>
            <w:tcW w:w="1882" w:type="pct"/>
            <w:vMerge/>
            <w:shd w:val="clear" w:color="auto" w:fill="FFFFFF" w:themeFill="background1"/>
            <w:vAlign w:val="center"/>
            <w:hideMark/>
          </w:tcPr>
          <w:p w14:paraId="7C79B104" w14:textId="77777777" w:rsidR="006459D9" w:rsidRPr="006459D9" w:rsidRDefault="006459D9" w:rsidP="006459D9">
            <w:pPr>
              <w:rPr>
                <w:rFonts w:ascii="Arial" w:hAnsi="Arial" w:cs="Arial"/>
                <w:color w:val="000000"/>
                <w:sz w:val="20"/>
                <w:szCs w:val="20"/>
              </w:rPr>
            </w:pPr>
          </w:p>
        </w:tc>
        <w:tc>
          <w:tcPr>
            <w:tcW w:w="753" w:type="pct"/>
            <w:vMerge/>
            <w:shd w:val="clear" w:color="auto" w:fill="FFFFFF" w:themeFill="background1"/>
            <w:vAlign w:val="center"/>
            <w:hideMark/>
          </w:tcPr>
          <w:p w14:paraId="6388E322" w14:textId="77777777" w:rsidR="006459D9" w:rsidRPr="006459D9" w:rsidRDefault="006459D9" w:rsidP="006459D9">
            <w:pPr>
              <w:rPr>
                <w:rFonts w:ascii="Century Gothic" w:hAnsi="Century Gothic" w:cs="Calibri"/>
                <w:b/>
                <w:bCs/>
                <w:color w:val="000000"/>
                <w:sz w:val="20"/>
                <w:szCs w:val="20"/>
              </w:rPr>
            </w:pPr>
          </w:p>
        </w:tc>
        <w:tc>
          <w:tcPr>
            <w:tcW w:w="2365" w:type="pct"/>
            <w:shd w:val="clear" w:color="auto" w:fill="FFFFFF" w:themeFill="background1"/>
            <w:vAlign w:val="center"/>
            <w:hideMark/>
          </w:tcPr>
          <w:p w14:paraId="157E72C9"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Elaboración de una propuesta de seguimiento y verificación temprana de los créditos otorgados</w:t>
            </w:r>
          </w:p>
        </w:tc>
      </w:tr>
      <w:tr w:rsidR="001F181F" w:rsidRPr="006459D9" w14:paraId="3C12C765" w14:textId="77777777" w:rsidTr="00600D7E">
        <w:trPr>
          <w:trHeight w:val="258"/>
          <w:jc w:val="center"/>
        </w:trPr>
        <w:tc>
          <w:tcPr>
            <w:tcW w:w="1882" w:type="pct"/>
            <w:vMerge/>
            <w:shd w:val="clear" w:color="auto" w:fill="FFFFFF" w:themeFill="background1"/>
            <w:vAlign w:val="center"/>
            <w:hideMark/>
          </w:tcPr>
          <w:p w14:paraId="1D82435B" w14:textId="77777777" w:rsidR="006459D9" w:rsidRPr="006459D9" w:rsidRDefault="006459D9" w:rsidP="006459D9">
            <w:pPr>
              <w:rPr>
                <w:rFonts w:ascii="Arial" w:hAnsi="Arial" w:cs="Arial"/>
                <w:color w:val="000000"/>
                <w:sz w:val="20"/>
                <w:szCs w:val="20"/>
              </w:rPr>
            </w:pPr>
          </w:p>
        </w:tc>
        <w:tc>
          <w:tcPr>
            <w:tcW w:w="753" w:type="pct"/>
            <w:vMerge/>
            <w:shd w:val="clear" w:color="auto" w:fill="FFFFFF" w:themeFill="background1"/>
            <w:vAlign w:val="center"/>
            <w:hideMark/>
          </w:tcPr>
          <w:p w14:paraId="295EAB83" w14:textId="77777777" w:rsidR="006459D9" w:rsidRPr="006459D9" w:rsidRDefault="006459D9" w:rsidP="006459D9">
            <w:pPr>
              <w:rPr>
                <w:rFonts w:ascii="Century Gothic" w:hAnsi="Century Gothic" w:cs="Calibri"/>
                <w:b/>
                <w:bCs/>
                <w:color w:val="000000"/>
                <w:sz w:val="20"/>
                <w:szCs w:val="20"/>
              </w:rPr>
            </w:pPr>
          </w:p>
        </w:tc>
        <w:tc>
          <w:tcPr>
            <w:tcW w:w="2365" w:type="pct"/>
            <w:shd w:val="clear" w:color="auto" w:fill="FFFFFF" w:themeFill="background1"/>
            <w:vAlign w:val="center"/>
            <w:hideMark/>
          </w:tcPr>
          <w:p w14:paraId="2FE695EF"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Fortalecimiento del acompañamiento técnico</w:t>
            </w:r>
          </w:p>
        </w:tc>
      </w:tr>
      <w:tr w:rsidR="001F181F" w:rsidRPr="006459D9" w14:paraId="7C0E0673" w14:textId="77777777" w:rsidTr="00600D7E">
        <w:trPr>
          <w:trHeight w:val="517"/>
          <w:jc w:val="center"/>
        </w:trPr>
        <w:tc>
          <w:tcPr>
            <w:tcW w:w="1882" w:type="pct"/>
            <w:vMerge/>
            <w:shd w:val="clear" w:color="auto" w:fill="FFFFFF" w:themeFill="background1"/>
            <w:vAlign w:val="center"/>
            <w:hideMark/>
          </w:tcPr>
          <w:p w14:paraId="377831CD" w14:textId="77777777" w:rsidR="006459D9" w:rsidRPr="006459D9" w:rsidRDefault="006459D9" w:rsidP="006459D9">
            <w:pPr>
              <w:rPr>
                <w:rFonts w:ascii="Arial" w:hAnsi="Arial" w:cs="Arial"/>
                <w:color w:val="000000"/>
                <w:sz w:val="20"/>
                <w:szCs w:val="20"/>
              </w:rPr>
            </w:pPr>
          </w:p>
        </w:tc>
        <w:tc>
          <w:tcPr>
            <w:tcW w:w="753" w:type="pct"/>
            <w:vMerge/>
            <w:shd w:val="clear" w:color="auto" w:fill="FFFFFF" w:themeFill="background1"/>
            <w:vAlign w:val="center"/>
            <w:hideMark/>
          </w:tcPr>
          <w:p w14:paraId="191B6396" w14:textId="77777777" w:rsidR="006459D9" w:rsidRPr="006459D9" w:rsidRDefault="006459D9" w:rsidP="006459D9">
            <w:pPr>
              <w:rPr>
                <w:rFonts w:ascii="Century Gothic" w:hAnsi="Century Gothic" w:cs="Calibri"/>
                <w:b/>
                <w:bCs/>
                <w:color w:val="000000"/>
                <w:sz w:val="20"/>
                <w:szCs w:val="20"/>
              </w:rPr>
            </w:pPr>
          </w:p>
        </w:tc>
        <w:tc>
          <w:tcPr>
            <w:tcW w:w="2365" w:type="pct"/>
            <w:shd w:val="clear" w:color="auto" w:fill="FFFFFF" w:themeFill="background1"/>
            <w:vAlign w:val="center"/>
            <w:hideMark/>
          </w:tcPr>
          <w:p w14:paraId="4AC82A5D"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Monitoreo permanente (mensual)de indicadores financieros clave</w:t>
            </w:r>
          </w:p>
        </w:tc>
      </w:tr>
      <w:tr w:rsidR="001F181F" w:rsidRPr="006459D9" w14:paraId="776589C0" w14:textId="77777777" w:rsidTr="00600D7E">
        <w:trPr>
          <w:trHeight w:val="517"/>
          <w:jc w:val="center"/>
        </w:trPr>
        <w:tc>
          <w:tcPr>
            <w:tcW w:w="1882" w:type="pct"/>
            <w:vMerge/>
            <w:shd w:val="clear" w:color="auto" w:fill="FFFFFF" w:themeFill="background1"/>
            <w:vAlign w:val="center"/>
            <w:hideMark/>
          </w:tcPr>
          <w:p w14:paraId="411A73B8" w14:textId="77777777" w:rsidR="006459D9" w:rsidRPr="006459D9" w:rsidRDefault="006459D9" w:rsidP="006459D9">
            <w:pPr>
              <w:rPr>
                <w:rFonts w:ascii="Arial" w:hAnsi="Arial" w:cs="Arial"/>
                <w:color w:val="000000"/>
                <w:sz w:val="20"/>
                <w:szCs w:val="20"/>
              </w:rPr>
            </w:pPr>
          </w:p>
        </w:tc>
        <w:tc>
          <w:tcPr>
            <w:tcW w:w="753" w:type="pct"/>
            <w:vMerge/>
            <w:shd w:val="clear" w:color="auto" w:fill="FFFFFF" w:themeFill="background1"/>
            <w:vAlign w:val="center"/>
            <w:hideMark/>
          </w:tcPr>
          <w:p w14:paraId="2ED6431F" w14:textId="77777777" w:rsidR="006459D9" w:rsidRPr="006459D9" w:rsidRDefault="006459D9" w:rsidP="006459D9">
            <w:pPr>
              <w:rPr>
                <w:rFonts w:ascii="Century Gothic" w:hAnsi="Century Gothic" w:cs="Calibri"/>
                <w:b/>
                <w:bCs/>
                <w:color w:val="000000"/>
                <w:sz w:val="20"/>
                <w:szCs w:val="20"/>
              </w:rPr>
            </w:pPr>
          </w:p>
        </w:tc>
        <w:tc>
          <w:tcPr>
            <w:tcW w:w="2365" w:type="pct"/>
            <w:shd w:val="clear" w:color="auto" w:fill="FFFFFF" w:themeFill="background1"/>
            <w:vAlign w:val="center"/>
            <w:hideMark/>
          </w:tcPr>
          <w:p w14:paraId="6CD9B79A" w14:textId="77777777" w:rsidR="006459D9" w:rsidRPr="006459D9" w:rsidRDefault="006459D9" w:rsidP="006459D9">
            <w:pPr>
              <w:rPr>
                <w:rFonts w:ascii="Century Gothic" w:hAnsi="Century Gothic" w:cs="Calibri"/>
                <w:color w:val="000000"/>
                <w:sz w:val="20"/>
                <w:szCs w:val="20"/>
              </w:rPr>
            </w:pPr>
            <w:r w:rsidRPr="006459D9">
              <w:rPr>
                <w:rFonts w:ascii="Century Gothic" w:hAnsi="Century Gothic" w:cs="Calibri"/>
                <w:color w:val="000000"/>
                <w:sz w:val="20"/>
                <w:szCs w:val="20"/>
              </w:rPr>
              <w:t>Análisis de viabilidad para el uso de otros burós de crédito</w:t>
            </w:r>
          </w:p>
        </w:tc>
      </w:tr>
      <w:tr w:rsidR="001F181F" w:rsidRPr="006459D9" w14:paraId="12EC9E40" w14:textId="77777777" w:rsidTr="00600D7E">
        <w:trPr>
          <w:trHeight w:val="1215"/>
          <w:jc w:val="center"/>
        </w:trPr>
        <w:tc>
          <w:tcPr>
            <w:tcW w:w="1882" w:type="pct"/>
            <w:shd w:val="clear" w:color="auto" w:fill="FFFFFF" w:themeFill="background1"/>
            <w:vAlign w:val="center"/>
            <w:hideMark/>
          </w:tcPr>
          <w:p w14:paraId="0D627FDE" w14:textId="77777777" w:rsidR="006459D9" w:rsidRPr="006459D9" w:rsidRDefault="006459D9" w:rsidP="006459D9">
            <w:pPr>
              <w:rPr>
                <w:rFonts w:ascii="Arial" w:hAnsi="Arial" w:cs="Arial"/>
                <w:color w:val="000000"/>
                <w:sz w:val="20"/>
                <w:szCs w:val="20"/>
              </w:rPr>
            </w:pPr>
            <w:r w:rsidRPr="006459D9">
              <w:rPr>
                <w:rFonts w:ascii="Arial" w:hAnsi="Arial" w:cs="Arial"/>
                <w:color w:val="000000"/>
                <w:sz w:val="20"/>
                <w:szCs w:val="20"/>
              </w:rPr>
              <w:t xml:space="preserve">Pérdida del posicionamiento del Fonafifo para captar recursos adicionales </w:t>
            </w:r>
          </w:p>
        </w:tc>
        <w:tc>
          <w:tcPr>
            <w:tcW w:w="753" w:type="pct"/>
            <w:shd w:val="clear" w:color="auto" w:fill="FFFFFF" w:themeFill="background1"/>
            <w:vAlign w:val="center"/>
            <w:hideMark/>
          </w:tcPr>
          <w:p w14:paraId="16D01788" w14:textId="77777777" w:rsidR="006459D9" w:rsidRPr="006459D9" w:rsidRDefault="006459D9" w:rsidP="006459D9">
            <w:pPr>
              <w:jc w:val="center"/>
              <w:rPr>
                <w:rFonts w:ascii="Century Gothic" w:hAnsi="Century Gothic" w:cs="Calibri"/>
                <w:b/>
                <w:bCs/>
                <w:color w:val="000000"/>
                <w:sz w:val="20"/>
                <w:szCs w:val="20"/>
              </w:rPr>
            </w:pPr>
            <w:r w:rsidRPr="006459D9">
              <w:rPr>
                <w:rFonts w:ascii="Century Gothic" w:hAnsi="Century Gothic" w:cs="Calibri"/>
                <w:b/>
                <w:bCs/>
                <w:color w:val="000000"/>
                <w:sz w:val="20"/>
                <w:szCs w:val="20"/>
              </w:rPr>
              <w:t xml:space="preserve">GESTIONAR EL RIESGO </w:t>
            </w:r>
          </w:p>
        </w:tc>
        <w:tc>
          <w:tcPr>
            <w:tcW w:w="2365" w:type="pct"/>
            <w:shd w:val="clear" w:color="auto" w:fill="FFFFFF" w:themeFill="background1"/>
            <w:vAlign w:val="center"/>
            <w:hideMark/>
          </w:tcPr>
          <w:p w14:paraId="48237281" w14:textId="050AF12D" w:rsidR="006459D9" w:rsidRPr="006459D9" w:rsidRDefault="006459D9" w:rsidP="006459D9">
            <w:pPr>
              <w:ind w:firstLineChars="100" w:firstLine="200"/>
              <w:rPr>
                <w:rFonts w:ascii="Century Gothic" w:hAnsi="Century Gothic" w:cs="Calibri"/>
                <w:color w:val="000000"/>
                <w:sz w:val="20"/>
                <w:szCs w:val="20"/>
              </w:rPr>
            </w:pPr>
            <w:r w:rsidRPr="006459D9">
              <w:rPr>
                <w:rFonts w:ascii="Century Gothic" w:hAnsi="Century Gothic" w:cs="Calibri"/>
                <w:color w:val="000000"/>
                <w:sz w:val="20"/>
                <w:szCs w:val="20"/>
              </w:rPr>
              <w:t>Identificación de posibles opciones de interés de las empresas en el financiamiento de servicios ecosistémicos sean en turismo, agua,</w:t>
            </w:r>
            <w:r w:rsidR="001F181F">
              <w:rPr>
                <w:rFonts w:ascii="Century Gothic" w:hAnsi="Century Gothic" w:cs="Calibri"/>
                <w:color w:val="000000"/>
                <w:sz w:val="20"/>
                <w:szCs w:val="20"/>
              </w:rPr>
              <w:t xml:space="preserve"> compensaciones. Trabajo con </w:t>
            </w:r>
            <w:r w:rsidR="00F3272A">
              <w:rPr>
                <w:rFonts w:ascii="Century Gothic" w:hAnsi="Century Gothic" w:cs="Calibri"/>
                <w:color w:val="000000"/>
                <w:sz w:val="20"/>
                <w:szCs w:val="20"/>
              </w:rPr>
              <w:t>ot</w:t>
            </w:r>
            <w:r w:rsidR="00F3272A" w:rsidRPr="006459D9">
              <w:rPr>
                <w:rFonts w:ascii="Century Gothic" w:hAnsi="Century Gothic" w:cs="Calibri"/>
                <w:color w:val="000000"/>
                <w:sz w:val="20"/>
                <w:szCs w:val="20"/>
              </w:rPr>
              <w:t>ras</w:t>
            </w:r>
            <w:r w:rsidRPr="006459D9">
              <w:rPr>
                <w:rFonts w:ascii="Century Gothic" w:hAnsi="Century Gothic" w:cs="Calibri"/>
                <w:color w:val="000000"/>
                <w:sz w:val="20"/>
                <w:szCs w:val="20"/>
              </w:rPr>
              <w:t xml:space="preserve"> instancias del MINAE para desarrollar acciones de compensación bajo diferentes elementos que puedan ser integrados en su </w:t>
            </w:r>
            <w:r w:rsidR="001F181F" w:rsidRPr="006459D9">
              <w:rPr>
                <w:rFonts w:ascii="Century Gothic" w:hAnsi="Century Gothic" w:cs="Calibri"/>
                <w:color w:val="000000"/>
                <w:sz w:val="20"/>
                <w:szCs w:val="20"/>
              </w:rPr>
              <w:t>operación</w:t>
            </w:r>
            <w:r w:rsidRPr="006459D9">
              <w:rPr>
                <w:rFonts w:ascii="Century Gothic" w:hAnsi="Century Gothic" w:cs="Calibri"/>
                <w:color w:val="000000"/>
                <w:sz w:val="20"/>
                <w:szCs w:val="20"/>
              </w:rPr>
              <w:t xml:space="preserve"> (eje: SETENA)</w:t>
            </w:r>
          </w:p>
        </w:tc>
      </w:tr>
    </w:tbl>
    <w:p w14:paraId="39AA65EA" w14:textId="0E2821AA" w:rsidR="00FD45D9" w:rsidRDefault="00FD45D9" w:rsidP="00C1155B"/>
    <w:p w14:paraId="2F2790AC" w14:textId="2174CBC5" w:rsidR="00FD45D9" w:rsidRDefault="00FD45D9" w:rsidP="00C1155B"/>
    <w:p w14:paraId="13344F0D" w14:textId="4D5A4F53" w:rsidR="00FD45D9" w:rsidRDefault="00FD45D9" w:rsidP="00C1155B"/>
    <w:p w14:paraId="0D06F894" w14:textId="68E5BB98" w:rsidR="00D6005B" w:rsidRDefault="00D6005B" w:rsidP="00C1155B"/>
    <w:p w14:paraId="5FC993D1" w14:textId="64A6ED77" w:rsidR="00485327" w:rsidRPr="00C1155B" w:rsidRDefault="00485327" w:rsidP="001F181F"/>
    <w:sectPr w:rsidR="00485327" w:rsidRPr="00C1155B" w:rsidSect="001F181F">
      <w:footerReference w:type="default" r:id="rId16"/>
      <w:pgSz w:w="15840" w:h="12240" w:orient="landscape"/>
      <w:pgMar w:top="993" w:right="1381" w:bottom="1440"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390E8" w14:textId="77777777" w:rsidR="00F90384" w:rsidRDefault="00F90384" w:rsidP="00E446C0">
      <w:r>
        <w:separator/>
      </w:r>
    </w:p>
  </w:endnote>
  <w:endnote w:type="continuationSeparator" w:id="0">
    <w:p w14:paraId="6C1927DA" w14:textId="77777777" w:rsidR="00F90384" w:rsidRDefault="00F90384" w:rsidP="00E4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970654"/>
      <w:docPartObj>
        <w:docPartGallery w:val="Page Numbers (Bottom of Page)"/>
        <w:docPartUnique/>
      </w:docPartObj>
    </w:sdtPr>
    <w:sdtEndPr>
      <w:rPr>
        <w:rFonts w:ascii="Arial" w:hAnsi="Arial" w:cs="Arial"/>
        <w:sz w:val="24"/>
        <w:szCs w:val="24"/>
      </w:rPr>
    </w:sdtEndPr>
    <w:sdtContent>
      <w:p w14:paraId="021AAC93" w14:textId="6CFDC47C" w:rsidR="00004005" w:rsidRPr="00707B3C" w:rsidRDefault="00004005">
        <w:pPr>
          <w:pStyle w:val="Piedepgina"/>
          <w:jc w:val="right"/>
          <w:rPr>
            <w:rFonts w:ascii="Arial" w:hAnsi="Arial" w:cs="Arial"/>
            <w:sz w:val="24"/>
          </w:rPr>
        </w:pPr>
        <w:r w:rsidRPr="00707B3C">
          <w:rPr>
            <w:rFonts w:ascii="Arial" w:hAnsi="Arial" w:cs="Arial"/>
            <w:sz w:val="24"/>
          </w:rPr>
          <w:fldChar w:fldCharType="begin"/>
        </w:r>
        <w:r w:rsidRPr="00707B3C">
          <w:rPr>
            <w:rFonts w:ascii="Arial" w:hAnsi="Arial" w:cs="Arial"/>
            <w:sz w:val="24"/>
          </w:rPr>
          <w:instrText>PAGE   \* MERGEFORMAT</w:instrText>
        </w:r>
        <w:r w:rsidRPr="00707B3C">
          <w:rPr>
            <w:rFonts w:ascii="Arial" w:hAnsi="Arial" w:cs="Arial"/>
            <w:sz w:val="24"/>
          </w:rPr>
          <w:fldChar w:fldCharType="separate"/>
        </w:r>
        <w:r w:rsidR="001B1544" w:rsidRPr="001B1544">
          <w:rPr>
            <w:rFonts w:ascii="Arial" w:hAnsi="Arial" w:cs="Arial"/>
            <w:noProof/>
            <w:sz w:val="24"/>
            <w:lang w:val="es-ES"/>
          </w:rPr>
          <w:t>38</w:t>
        </w:r>
        <w:r w:rsidRPr="00707B3C">
          <w:rPr>
            <w:rFonts w:ascii="Arial" w:hAnsi="Arial" w:cs="Arial"/>
            <w:sz w:val="24"/>
          </w:rPr>
          <w:fldChar w:fldCharType="end"/>
        </w:r>
      </w:p>
    </w:sdtContent>
  </w:sdt>
  <w:p w14:paraId="3103D44C" w14:textId="67E54ACE" w:rsidR="00004005" w:rsidRDefault="0000400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33421" w14:textId="77777777" w:rsidR="00F90384" w:rsidRDefault="00F90384" w:rsidP="00E446C0">
      <w:r>
        <w:separator/>
      </w:r>
    </w:p>
  </w:footnote>
  <w:footnote w:type="continuationSeparator" w:id="0">
    <w:p w14:paraId="29B576AF" w14:textId="77777777" w:rsidR="00F90384" w:rsidRDefault="00F90384" w:rsidP="00E446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D797CA9"/>
    <w:multiLevelType w:val="multilevel"/>
    <w:tmpl w:val="C4B26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21D25"/>
    <w:multiLevelType w:val="hybridMultilevel"/>
    <w:tmpl w:val="B7FA73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52A2B70"/>
    <w:multiLevelType w:val="hybridMultilevel"/>
    <w:tmpl w:val="1018B0B2"/>
    <w:lvl w:ilvl="0" w:tplc="F0A23718">
      <w:start w:val="4"/>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93106EB"/>
    <w:multiLevelType w:val="hybridMultilevel"/>
    <w:tmpl w:val="E026A3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F520890"/>
    <w:multiLevelType w:val="hybridMultilevel"/>
    <w:tmpl w:val="5A92FA46"/>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2245333"/>
    <w:multiLevelType w:val="hybridMultilevel"/>
    <w:tmpl w:val="05A012B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36A64DB9"/>
    <w:multiLevelType w:val="multilevel"/>
    <w:tmpl w:val="D92C1C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b w:val="0"/>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06543A"/>
    <w:multiLevelType w:val="hybridMultilevel"/>
    <w:tmpl w:val="EA7C55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94C46C3"/>
    <w:multiLevelType w:val="multilevel"/>
    <w:tmpl w:val="C4B26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EC06E8"/>
    <w:multiLevelType w:val="multilevel"/>
    <w:tmpl w:val="C4B26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575E08"/>
    <w:multiLevelType w:val="hybridMultilevel"/>
    <w:tmpl w:val="36C20B5C"/>
    <w:lvl w:ilvl="0" w:tplc="14D23F20">
      <w:start w:val="1"/>
      <w:numFmt w:val="decimal"/>
      <w:lvlText w:val="%1."/>
      <w:lvlJc w:val="left"/>
      <w:pPr>
        <w:tabs>
          <w:tab w:val="num" w:pos="720"/>
        </w:tabs>
        <w:ind w:left="720" w:hanging="360"/>
      </w:pPr>
    </w:lvl>
    <w:lvl w:ilvl="1" w:tplc="2976140C" w:tentative="1">
      <w:start w:val="1"/>
      <w:numFmt w:val="decimal"/>
      <w:lvlText w:val="%2."/>
      <w:lvlJc w:val="left"/>
      <w:pPr>
        <w:tabs>
          <w:tab w:val="num" w:pos="1440"/>
        </w:tabs>
        <w:ind w:left="1440" w:hanging="360"/>
      </w:pPr>
    </w:lvl>
    <w:lvl w:ilvl="2" w:tplc="645A279E" w:tentative="1">
      <w:start w:val="1"/>
      <w:numFmt w:val="decimal"/>
      <w:lvlText w:val="%3."/>
      <w:lvlJc w:val="left"/>
      <w:pPr>
        <w:tabs>
          <w:tab w:val="num" w:pos="2160"/>
        </w:tabs>
        <w:ind w:left="2160" w:hanging="360"/>
      </w:pPr>
    </w:lvl>
    <w:lvl w:ilvl="3" w:tplc="457623A0" w:tentative="1">
      <w:start w:val="1"/>
      <w:numFmt w:val="decimal"/>
      <w:lvlText w:val="%4."/>
      <w:lvlJc w:val="left"/>
      <w:pPr>
        <w:tabs>
          <w:tab w:val="num" w:pos="2880"/>
        </w:tabs>
        <w:ind w:left="2880" w:hanging="360"/>
      </w:pPr>
    </w:lvl>
    <w:lvl w:ilvl="4" w:tplc="0A6A05C4" w:tentative="1">
      <w:start w:val="1"/>
      <w:numFmt w:val="decimal"/>
      <w:lvlText w:val="%5."/>
      <w:lvlJc w:val="left"/>
      <w:pPr>
        <w:tabs>
          <w:tab w:val="num" w:pos="3600"/>
        </w:tabs>
        <w:ind w:left="3600" w:hanging="360"/>
      </w:pPr>
    </w:lvl>
    <w:lvl w:ilvl="5" w:tplc="6950AC2E" w:tentative="1">
      <w:start w:val="1"/>
      <w:numFmt w:val="decimal"/>
      <w:lvlText w:val="%6."/>
      <w:lvlJc w:val="left"/>
      <w:pPr>
        <w:tabs>
          <w:tab w:val="num" w:pos="4320"/>
        </w:tabs>
        <w:ind w:left="4320" w:hanging="360"/>
      </w:pPr>
    </w:lvl>
    <w:lvl w:ilvl="6" w:tplc="E0D012F0" w:tentative="1">
      <w:start w:val="1"/>
      <w:numFmt w:val="decimal"/>
      <w:lvlText w:val="%7."/>
      <w:lvlJc w:val="left"/>
      <w:pPr>
        <w:tabs>
          <w:tab w:val="num" w:pos="5040"/>
        </w:tabs>
        <w:ind w:left="5040" w:hanging="360"/>
      </w:pPr>
    </w:lvl>
    <w:lvl w:ilvl="7" w:tplc="CCEAA41C" w:tentative="1">
      <w:start w:val="1"/>
      <w:numFmt w:val="decimal"/>
      <w:lvlText w:val="%8."/>
      <w:lvlJc w:val="left"/>
      <w:pPr>
        <w:tabs>
          <w:tab w:val="num" w:pos="5760"/>
        </w:tabs>
        <w:ind w:left="5760" w:hanging="360"/>
      </w:pPr>
    </w:lvl>
    <w:lvl w:ilvl="8" w:tplc="637E791C" w:tentative="1">
      <w:start w:val="1"/>
      <w:numFmt w:val="decimal"/>
      <w:lvlText w:val="%9."/>
      <w:lvlJc w:val="left"/>
      <w:pPr>
        <w:tabs>
          <w:tab w:val="num" w:pos="6480"/>
        </w:tabs>
        <w:ind w:left="6480" w:hanging="360"/>
      </w:pPr>
    </w:lvl>
  </w:abstractNum>
  <w:abstractNum w:abstractNumId="20" w15:restartNumberingAfterBreak="0">
    <w:nsid w:val="4F7C0A99"/>
    <w:multiLevelType w:val="hybridMultilevel"/>
    <w:tmpl w:val="85F45036"/>
    <w:lvl w:ilvl="0" w:tplc="F0EC4B26">
      <w:start w:val="4"/>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2537E0"/>
    <w:multiLevelType w:val="multilevel"/>
    <w:tmpl w:val="75E2F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E474BA"/>
    <w:multiLevelType w:val="multilevel"/>
    <w:tmpl w:val="8F50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46638"/>
    <w:multiLevelType w:val="multilevel"/>
    <w:tmpl w:val="77767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765DA8"/>
    <w:multiLevelType w:val="multilevel"/>
    <w:tmpl w:val="D92C1C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b w:val="0"/>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BB74FB"/>
    <w:multiLevelType w:val="hybridMultilevel"/>
    <w:tmpl w:val="7F78BB5C"/>
    <w:lvl w:ilvl="0" w:tplc="97169040">
      <w:start w:val="2"/>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8DB417E"/>
    <w:multiLevelType w:val="hybridMultilevel"/>
    <w:tmpl w:val="5D22694C"/>
    <w:lvl w:ilvl="0" w:tplc="0A6634F8">
      <w:start w:val="1"/>
      <w:numFmt w:val="bullet"/>
      <w:lvlText w:val="•"/>
      <w:lvlJc w:val="left"/>
      <w:pPr>
        <w:tabs>
          <w:tab w:val="num" w:pos="720"/>
        </w:tabs>
        <w:ind w:left="720" w:hanging="360"/>
      </w:pPr>
      <w:rPr>
        <w:rFonts w:ascii="Times New Roman" w:hAnsi="Times New Roman" w:hint="default"/>
      </w:rPr>
    </w:lvl>
    <w:lvl w:ilvl="1" w:tplc="7BC6D344" w:tentative="1">
      <w:start w:val="1"/>
      <w:numFmt w:val="bullet"/>
      <w:lvlText w:val="•"/>
      <w:lvlJc w:val="left"/>
      <w:pPr>
        <w:tabs>
          <w:tab w:val="num" w:pos="1440"/>
        </w:tabs>
        <w:ind w:left="1440" w:hanging="360"/>
      </w:pPr>
      <w:rPr>
        <w:rFonts w:ascii="Times New Roman" w:hAnsi="Times New Roman" w:hint="default"/>
      </w:rPr>
    </w:lvl>
    <w:lvl w:ilvl="2" w:tplc="656C653C" w:tentative="1">
      <w:start w:val="1"/>
      <w:numFmt w:val="bullet"/>
      <w:lvlText w:val="•"/>
      <w:lvlJc w:val="left"/>
      <w:pPr>
        <w:tabs>
          <w:tab w:val="num" w:pos="2160"/>
        </w:tabs>
        <w:ind w:left="2160" w:hanging="360"/>
      </w:pPr>
      <w:rPr>
        <w:rFonts w:ascii="Times New Roman" w:hAnsi="Times New Roman" w:hint="default"/>
      </w:rPr>
    </w:lvl>
    <w:lvl w:ilvl="3" w:tplc="48AA0B04" w:tentative="1">
      <w:start w:val="1"/>
      <w:numFmt w:val="bullet"/>
      <w:lvlText w:val="•"/>
      <w:lvlJc w:val="left"/>
      <w:pPr>
        <w:tabs>
          <w:tab w:val="num" w:pos="2880"/>
        </w:tabs>
        <w:ind w:left="2880" w:hanging="360"/>
      </w:pPr>
      <w:rPr>
        <w:rFonts w:ascii="Times New Roman" w:hAnsi="Times New Roman" w:hint="default"/>
      </w:rPr>
    </w:lvl>
    <w:lvl w:ilvl="4" w:tplc="083C3882" w:tentative="1">
      <w:start w:val="1"/>
      <w:numFmt w:val="bullet"/>
      <w:lvlText w:val="•"/>
      <w:lvlJc w:val="left"/>
      <w:pPr>
        <w:tabs>
          <w:tab w:val="num" w:pos="3600"/>
        </w:tabs>
        <w:ind w:left="3600" w:hanging="360"/>
      </w:pPr>
      <w:rPr>
        <w:rFonts w:ascii="Times New Roman" w:hAnsi="Times New Roman" w:hint="default"/>
      </w:rPr>
    </w:lvl>
    <w:lvl w:ilvl="5" w:tplc="51E2CEBE" w:tentative="1">
      <w:start w:val="1"/>
      <w:numFmt w:val="bullet"/>
      <w:lvlText w:val="•"/>
      <w:lvlJc w:val="left"/>
      <w:pPr>
        <w:tabs>
          <w:tab w:val="num" w:pos="4320"/>
        </w:tabs>
        <w:ind w:left="4320" w:hanging="360"/>
      </w:pPr>
      <w:rPr>
        <w:rFonts w:ascii="Times New Roman" w:hAnsi="Times New Roman" w:hint="default"/>
      </w:rPr>
    </w:lvl>
    <w:lvl w:ilvl="6" w:tplc="E8DA887E" w:tentative="1">
      <w:start w:val="1"/>
      <w:numFmt w:val="bullet"/>
      <w:lvlText w:val="•"/>
      <w:lvlJc w:val="left"/>
      <w:pPr>
        <w:tabs>
          <w:tab w:val="num" w:pos="5040"/>
        </w:tabs>
        <w:ind w:left="5040" w:hanging="360"/>
      </w:pPr>
      <w:rPr>
        <w:rFonts w:ascii="Times New Roman" w:hAnsi="Times New Roman" w:hint="default"/>
      </w:rPr>
    </w:lvl>
    <w:lvl w:ilvl="7" w:tplc="B10E05FE" w:tentative="1">
      <w:start w:val="1"/>
      <w:numFmt w:val="bullet"/>
      <w:lvlText w:val="•"/>
      <w:lvlJc w:val="left"/>
      <w:pPr>
        <w:tabs>
          <w:tab w:val="num" w:pos="5760"/>
        </w:tabs>
        <w:ind w:left="5760" w:hanging="360"/>
      </w:pPr>
      <w:rPr>
        <w:rFonts w:ascii="Times New Roman" w:hAnsi="Times New Roman" w:hint="default"/>
      </w:rPr>
    </w:lvl>
    <w:lvl w:ilvl="8" w:tplc="1E72786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BA708C4"/>
    <w:multiLevelType w:val="multilevel"/>
    <w:tmpl w:val="E4D086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21"/>
  </w:num>
  <w:num w:numId="13">
    <w:abstractNumId w:val="13"/>
  </w:num>
  <w:num w:numId="14">
    <w:abstractNumId w:val="27"/>
  </w:num>
  <w:num w:numId="15">
    <w:abstractNumId w:val="23"/>
  </w:num>
  <w:num w:numId="16">
    <w:abstractNumId w:val="17"/>
  </w:num>
  <w:num w:numId="17">
    <w:abstractNumId w:val="9"/>
  </w:num>
  <w:num w:numId="18">
    <w:abstractNumId w:val="18"/>
  </w:num>
  <w:num w:numId="19">
    <w:abstractNumId w:val="24"/>
  </w:num>
  <w:num w:numId="20">
    <w:abstractNumId w:val="15"/>
  </w:num>
  <w:num w:numId="21">
    <w:abstractNumId w:val="14"/>
  </w:num>
  <w:num w:numId="22">
    <w:abstractNumId w:val="16"/>
  </w:num>
  <w:num w:numId="23">
    <w:abstractNumId w:val="26"/>
  </w:num>
  <w:num w:numId="24">
    <w:abstractNumId w:val="19"/>
  </w:num>
  <w:num w:numId="25">
    <w:abstractNumId w:val="25"/>
  </w:num>
  <w:num w:numId="26">
    <w:abstractNumId w:val="20"/>
  </w:num>
  <w:num w:numId="27">
    <w:abstractNumId w:val="1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2049">
      <o:colormru v:ext="edit" colors="white,#f7f7f7"/>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4005"/>
    <w:rsid w:val="0002545C"/>
    <w:rsid w:val="00034616"/>
    <w:rsid w:val="00050077"/>
    <w:rsid w:val="00052CDE"/>
    <w:rsid w:val="00053F67"/>
    <w:rsid w:val="000543AE"/>
    <w:rsid w:val="00055634"/>
    <w:rsid w:val="0006063C"/>
    <w:rsid w:val="00065AF8"/>
    <w:rsid w:val="00076C85"/>
    <w:rsid w:val="00082F38"/>
    <w:rsid w:val="0008550B"/>
    <w:rsid w:val="00086471"/>
    <w:rsid w:val="000A1E91"/>
    <w:rsid w:val="000A4166"/>
    <w:rsid w:val="000A7AB7"/>
    <w:rsid w:val="000B223D"/>
    <w:rsid w:val="000B3AAF"/>
    <w:rsid w:val="000D3B1F"/>
    <w:rsid w:val="000F1AF4"/>
    <w:rsid w:val="0010232E"/>
    <w:rsid w:val="001169AE"/>
    <w:rsid w:val="0014394D"/>
    <w:rsid w:val="00146FC0"/>
    <w:rsid w:val="0015074B"/>
    <w:rsid w:val="0016076C"/>
    <w:rsid w:val="001617A5"/>
    <w:rsid w:val="00165EF1"/>
    <w:rsid w:val="00170807"/>
    <w:rsid w:val="00192E0B"/>
    <w:rsid w:val="001A282E"/>
    <w:rsid w:val="001A4F89"/>
    <w:rsid w:val="001B1544"/>
    <w:rsid w:val="001C7239"/>
    <w:rsid w:val="001C7DB0"/>
    <w:rsid w:val="001E7417"/>
    <w:rsid w:val="001F181F"/>
    <w:rsid w:val="001F1C1F"/>
    <w:rsid w:val="001F31E9"/>
    <w:rsid w:val="00205820"/>
    <w:rsid w:val="00213935"/>
    <w:rsid w:val="00213E52"/>
    <w:rsid w:val="00234546"/>
    <w:rsid w:val="00234F6C"/>
    <w:rsid w:val="002356E0"/>
    <w:rsid w:val="00243996"/>
    <w:rsid w:val="00251FF7"/>
    <w:rsid w:val="00253A21"/>
    <w:rsid w:val="002557B7"/>
    <w:rsid w:val="002608E1"/>
    <w:rsid w:val="0026092E"/>
    <w:rsid w:val="00261E90"/>
    <w:rsid w:val="002663C8"/>
    <w:rsid w:val="00276465"/>
    <w:rsid w:val="00276F3D"/>
    <w:rsid w:val="00287E6F"/>
    <w:rsid w:val="0029639D"/>
    <w:rsid w:val="002A3A20"/>
    <w:rsid w:val="002A6892"/>
    <w:rsid w:val="002B41AF"/>
    <w:rsid w:val="002B7DA9"/>
    <w:rsid w:val="002E4401"/>
    <w:rsid w:val="002F4E19"/>
    <w:rsid w:val="002F6D67"/>
    <w:rsid w:val="00310626"/>
    <w:rsid w:val="00326F90"/>
    <w:rsid w:val="0033245F"/>
    <w:rsid w:val="0034046F"/>
    <w:rsid w:val="00341B55"/>
    <w:rsid w:val="00372DE2"/>
    <w:rsid w:val="00373B9C"/>
    <w:rsid w:val="00384B91"/>
    <w:rsid w:val="00385836"/>
    <w:rsid w:val="00396EBB"/>
    <w:rsid w:val="003A1299"/>
    <w:rsid w:val="003B4E10"/>
    <w:rsid w:val="003B78F6"/>
    <w:rsid w:val="003C02D8"/>
    <w:rsid w:val="003C5090"/>
    <w:rsid w:val="003D53AB"/>
    <w:rsid w:val="00402185"/>
    <w:rsid w:val="0041114E"/>
    <w:rsid w:val="004216C8"/>
    <w:rsid w:val="00431BC9"/>
    <w:rsid w:val="00436F61"/>
    <w:rsid w:val="00456536"/>
    <w:rsid w:val="00460AC1"/>
    <w:rsid w:val="00465139"/>
    <w:rsid w:val="00483460"/>
    <w:rsid w:val="00485327"/>
    <w:rsid w:val="00487040"/>
    <w:rsid w:val="00487EEB"/>
    <w:rsid w:val="00494B7F"/>
    <w:rsid w:val="00496113"/>
    <w:rsid w:val="0049750B"/>
    <w:rsid w:val="004A186B"/>
    <w:rsid w:val="004A4522"/>
    <w:rsid w:val="004B505E"/>
    <w:rsid w:val="004C4205"/>
    <w:rsid w:val="004D4B1D"/>
    <w:rsid w:val="004E4C8A"/>
    <w:rsid w:val="004F7BFB"/>
    <w:rsid w:val="00510E85"/>
    <w:rsid w:val="00525DB6"/>
    <w:rsid w:val="00541739"/>
    <w:rsid w:val="00555072"/>
    <w:rsid w:val="00562BFF"/>
    <w:rsid w:val="00570755"/>
    <w:rsid w:val="005866CD"/>
    <w:rsid w:val="00591208"/>
    <w:rsid w:val="005A60F1"/>
    <w:rsid w:val="005A7EBF"/>
    <w:rsid w:val="005B0BE5"/>
    <w:rsid w:val="005B2A74"/>
    <w:rsid w:val="005D3D49"/>
    <w:rsid w:val="005E4900"/>
    <w:rsid w:val="005F23E9"/>
    <w:rsid w:val="00600D7E"/>
    <w:rsid w:val="00604335"/>
    <w:rsid w:val="006151B7"/>
    <w:rsid w:val="00620BF1"/>
    <w:rsid w:val="0062413A"/>
    <w:rsid w:val="006243C5"/>
    <w:rsid w:val="00625B53"/>
    <w:rsid w:val="006418F9"/>
    <w:rsid w:val="00643CC2"/>
    <w:rsid w:val="006459D9"/>
    <w:rsid w:val="00655218"/>
    <w:rsid w:val="00677274"/>
    <w:rsid w:val="006775D4"/>
    <w:rsid w:val="00681BF2"/>
    <w:rsid w:val="00683006"/>
    <w:rsid w:val="006902CB"/>
    <w:rsid w:val="006B009A"/>
    <w:rsid w:val="006B05EE"/>
    <w:rsid w:val="006B75F7"/>
    <w:rsid w:val="006C4111"/>
    <w:rsid w:val="006D086C"/>
    <w:rsid w:val="006E224B"/>
    <w:rsid w:val="006E3CC9"/>
    <w:rsid w:val="0070634C"/>
    <w:rsid w:val="00706801"/>
    <w:rsid w:val="00707B3C"/>
    <w:rsid w:val="00715BE6"/>
    <w:rsid w:val="007569BA"/>
    <w:rsid w:val="0078734E"/>
    <w:rsid w:val="007B7F54"/>
    <w:rsid w:val="007D6D84"/>
    <w:rsid w:val="007E2909"/>
    <w:rsid w:val="007F4632"/>
    <w:rsid w:val="007F6D49"/>
    <w:rsid w:val="008069AF"/>
    <w:rsid w:val="00811BB9"/>
    <w:rsid w:val="00826A91"/>
    <w:rsid w:val="00835355"/>
    <w:rsid w:val="008413A5"/>
    <w:rsid w:val="00855565"/>
    <w:rsid w:val="0087076D"/>
    <w:rsid w:val="00871EE7"/>
    <w:rsid w:val="00880434"/>
    <w:rsid w:val="008867DC"/>
    <w:rsid w:val="008A6F8F"/>
    <w:rsid w:val="008B1E99"/>
    <w:rsid w:val="008C133C"/>
    <w:rsid w:val="008D43A6"/>
    <w:rsid w:val="008E1BAC"/>
    <w:rsid w:val="008E2AE3"/>
    <w:rsid w:val="00913B63"/>
    <w:rsid w:val="00921A4B"/>
    <w:rsid w:val="009245B2"/>
    <w:rsid w:val="009267BE"/>
    <w:rsid w:val="00931906"/>
    <w:rsid w:val="00932906"/>
    <w:rsid w:val="00945CD0"/>
    <w:rsid w:val="00954639"/>
    <w:rsid w:val="00960A12"/>
    <w:rsid w:val="009620AA"/>
    <w:rsid w:val="00963438"/>
    <w:rsid w:val="009659B8"/>
    <w:rsid w:val="00974127"/>
    <w:rsid w:val="00982B2E"/>
    <w:rsid w:val="00990981"/>
    <w:rsid w:val="00992B21"/>
    <w:rsid w:val="0099512D"/>
    <w:rsid w:val="00996468"/>
    <w:rsid w:val="009A7A4B"/>
    <w:rsid w:val="009B25C6"/>
    <w:rsid w:val="009B50F7"/>
    <w:rsid w:val="009C4749"/>
    <w:rsid w:val="009E486D"/>
    <w:rsid w:val="009F2131"/>
    <w:rsid w:val="00A05A36"/>
    <w:rsid w:val="00A26C90"/>
    <w:rsid w:val="00A35AC5"/>
    <w:rsid w:val="00A44CE6"/>
    <w:rsid w:val="00A54EB9"/>
    <w:rsid w:val="00A63844"/>
    <w:rsid w:val="00A64FFF"/>
    <w:rsid w:val="00A76BC0"/>
    <w:rsid w:val="00A81526"/>
    <w:rsid w:val="00A94FA9"/>
    <w:rsid w:val="00AA1D8D"/>
    <w:rsid w:val="00AB0822"/>
    <w:rsid w:val="00AC0EA8"/>
    <w:rsid w:val="00AC249F"/>
    <w:rsid w:val="00AC3866"/>
    <w:rsid w:val="00AC6B05"/>
    <w:rsid w:val="00AE3CB7"/>
    <w:rsid w:val="00AE44EF"/>
    <w:rsid w:val="00AF0CCA"/>
    <w:rsid w:val="00B03556"/>
    <w:rsid w:val="00B31EA2"/>
    <w:rsid w:val="00B47730"/>
    <w:rsid w:val="00B60422"/>
    <w:rsid w:val="00B641D2"/>
    <w:rsid w:val="00B86982"/>
    <w:rsid w:val="00B86C2F"/>
    <w:rsid w:val="00B914CC"/>
    <w:rsid w:val="00BA62A0"/>
    <w:rsid w:val="00BB083B"/>
    <w:rsid w:val="00BB71BE"/>
    <w:rsid w:val="00BC1059"/>
    <w:rsid w:val="00BE6A7A"/>
    <w:rsid w:val="00C0268D"/>
    <w:rsid w:val="00C07B75"/>
    <w:rsid w:val="00C1155B"/>
    <w:rsid w:val="00C278B9"/>
    <w:rsid w:val="00C33EF5"/>
    <w:rsid w:val="00C565E2"/>
    <w:rsid w:val="00C618B4"/>
    <w:rsid w:val="00C67925"/>
    <w:rsid w:val="00C86054"/>
    <w:rsid w:val="00C87FAF"/>
    <w:rsid w:val="00CB0664"/>
    <w:rsid w:val="00CC3E66"/>
    <w:rsid w:val="00CC3FD3"/>
    <w:rsid w:val="00CC5C67"/>
    <w:rsid w:val="00CC7BDF"/>
    <w:rsid w:val="00CD66F3"/>
    <w:rsid w:val="00CF2842"/>
    <w:rsid w:val="00CF6D8D"/>
    <w:rsid w:val="00D15140"/>
    <w:rsid w:val="00D171C1"/>
    <w:rsid w:val="00D2179B"/>
    <w:rsid w:val="00D22546"/>
    <w:rsid w:val="00D35177"/>
    <w:rsid w:val="00D438A9"/>
    <w:rsid w:val="00D470F6"/>
    <w:rsid w:val="00D6005B"/>
    <w:rsid w:val="00D6258C"/>
    <w:rsid w:val="00D6286C"/>
    <w:rsid w:val="00D643AC"/>
    <w:rsid w:val="00D65CAD"/>
    <w:rsid w:val="00D81962"/>
    <w:rsid w:val="00D84E48"/>
    <w:rsid w:val="00D859C7"/>
    <w:rsid w:val="00D95950"/>
    <w:rsid w:val="00D95A97"/>
    <w:rsid w:val="00D9745C"/>
    <w:rsid w:val="00DA73B7"/>
    <w:rsid w:val="00DC6544"/>
    <w:rsid w:val="00DD7501"/>
    <w:rsid w:val="00DD785B"/>
    <w:rsid w:val="00DF0705"/>
    <w:rsid w:val="00E06D87"/>
    <w:rsid w:val="00E158C0"/>
    <w:rsid w:val="00E3268F"/>
    <w:rsid w:val="00E446C0"/>
    <w:rsid w:val="00E45AE0"/>
    <w:rsid w:val="00E53A97"/>
    <w:rsid w:val="00E5462B"/>
    <w:rsid w:val="00E73047"/>
    <w:rsid w:val="00E74B20"/>
    <w:rsid w:val="00E74C2B"/>
    <w:rsid w:val="00E76597"/>
    <w:rsid w:val="00E769C0"/>
    <w:rsid w:val="00EA647D"/>
    <w:rsid w:val="00EB7399"/>
    <w:rsid w:val="00ED30F0"/>
    <w:rsid w:val="00ED315D"/>
    <w:rsid w:val="00ED4395"/>
    <w:rsid w:val="00ED4B03"/>
    <w:rsid w:val="00EF1B18"/>
    <w:rsid w:val="00F07829"/>
    <w:rsid w:val="00F20992"/>
    <w:rsid w:val="00F3272A"/>
    <w:rsid w:val="00F32E20"/>
    <w:rsid w:val="00F3519D"/>
    <w:rsid w:val="00F405BC"/>
    <w:rsid w:val="00F52857"/>
    <w:rsid w:val="00F52B43"/>
    <w:rsid w:val="00F53800"/>
    <w:rsid w:val="00F573C2"/>
    <w:rsid w:val="00F67810"/>
    <w:rsid w:val="00F743CB"/>
    <w:rsid w:val="00F8181E"/>
    <w:rsid w:val="00F90384"/>
    <w:rsid w:val="00F923B8"/>
    <w:rsid w:val="00FB0D41"/>
    <w:rsid w:val="00FB562C"/>
    <w:rsid w:val="00FC579F"/>
    <w:rsid w:val="00FC693F"/>
    <w:rsid w:val="00FD45D9"/>
    <w:rsid w:val="00FD4A3C"/>
    <w:rsid w:val="2031C88B"/>
    <w:rsid w:val="37330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white,#f7f7f7"/>
    </o:shapedefaults>
    <o:shapelayout v:ext="edit">
      <o:idmap v:ext="edit" data="1"/>
    </o:shapelayout>
  </w:shapeDefaults>
  <w:decimalSymbol w:val=","/>
  <w:listSeparator w:val=";"/>
  <w14:docId w14:val="318D9FFB"/>
  <w14:defaultImageDpi w14:val="300"/>
  <w15:docId w15:val="{ECA77BAB-C4C2-4602-93E0-17ED307D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3AE"/>
    <w:pPr>
      <w:spacing w:after="0" w:line="240" w:lineRule="auto"/>
    </w:pPr>
    <w:rPr>
      <w:rFonts w:ascii="Times New Roman" w:eastAsia="Times New Roman" w:hAnsi="Times New Roman" w:cs="Times New Roman"/>
      <w:sz w:val="24"/>
      <w:szCs w:val="24"/>
      <w:lang w:val="es-CR" w:eastAsia="es-CR"/>
    </w:rPr>
  </w:style>
  <w:style w:type="paragraph" w:styleId="Ttulo1">
    <w:name w:val="heading 1"/>
    <w:basedOn w:val="Normal"/>
    <w:next w:val="Normal"/>
    <w:link w:val="Ttulo1Car"/>
    <w:uiPriority w:val="9"/>
    <w:qFormat/>
    <w:rsid w:val="00FB562C"/>
    <w:pPr>
      <w:keepNext/>
      <w:keepLines/>
      <w:spacing w:before="480" w:line="276" w:lineRule="auto"/>
      <w:outlineLvl w:val="0"/>
    </w:pPr>
    <w:rPr>
      <w:rFonts w:ascii="Arial" w:eastAsiaTheme="majorEastAsia" w:hAnsi="Arial" w:cstheme="majorBidi"/>
      <w:b/>
      <w:bCs/>
      <w:color w:val="000000" w:themeColor="text1"/>
      <w:sz w:val="28"/>
      <w:szCs w:val="28"/>
      <w:lang w:eastAsia="en-US"/>
    </w:rPr>
  </w:style>
  <w:style w:type="paragraph" w:styleId="Ttulo2">
    <w:name w:val="heading 2"/>
    <w:basedOn w:val="Normal"/>
    <w:next w:val="Normal"/>
    <w:link w:val="Ttulo2Car"/>
    <w:uiPriority w:val="9"/>
    <w:unhideWhenUsed/>
    <w:qFormat/>
    <w:rsid w:val="005866CD"/>
    <w:pPr>
      <w:keepNext/>
      <w:keepLines/>
      <w:spacing w:before="200" w:line="276" w:lineRule="auto"/>
      <w:outlineLvl w:val="1"/>
    </w:pPr>
    <w:rPr>
      <w:rFonts w:ascii="Arial" w:eastAsiaTheme="majorEastAsia" w:hAnsi="Arial" w:cstheme="majorBidi"/>
      <w:b/>
      <w:bCs/>
      <w:sz w:val="28"/>
      <w:szCs w:val="26"/>
      <w:lang w:eastAsia="en-US"/>
    </w:rPr>
  </w:style>
  <w:style w:type="paragraph" w:styleId="Ttulo3">
    <w:name w:val="heading 3"/>
    <w:basedOn w:val="Normal"/>
    <w:next w:val="Normal"/>
    <w:link w:val="Ttulo3Car"/>
    <w:uiPriority w:val="9"/>
    <w:unhideWhenUsed/>
    <w:qFormat/>
    <w:rsid w:val="00FC693F"/>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Ttulo4">
    <w:name w:val="heading 4"/>
    <w:basedOn w:val="Normal"/>
    <w:next w:val="Normal"/>
    <w:link w:val="Ttulo4Car"/>
    <w:uiPriority w:val="9"/>
    <w:semiHidden/>
    <w:unhideWhenUsed/>
    <w:qFormat/>
    <w:rsid w:val="00FC693F"/>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Ttulo5">
    <w:name w:val="heading 5"/>
    <w:basedOn w:val="Normal"/>
    <w:next w:val="Normal"/>
    <w:link w:val="Ttulo5Car"/>
    <w:uiPriority w:val="9"/>
    <w:semiHidden/>
    <w:unhideWhenUsed/>
    <w:qFormat/>
    <w:rsid w:val="00FC693F"/>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Ttulo6">
    <w:name w:val="heading 6"/>
    <w:basedOn w:val="Normal"/>
    <w:next w:val="Normal"/>
    <w:link w:val="Ttulo6Car"/>
    <w:uiPriority w:val="9"/>
    <w:semiHidden/>
    <w:unhideWhenUsed/>
    <w:qFormat/>
    <w:rsid w:val="00FC693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Ttulo7">
    <w:name w:val="heading 7"/>
    <w:basedOn w:val="Normal"/>
    <w:next w:val="Normal"/>
    <w:link w:val="Ttulo7Car"/>
    <w:uiPriority w:val="9"/>
    <w:semiHidden/>
    <w:unhideWhenUsed/>
    <w:qFormat/>
    <w:rsid w:val="00FC693F"/>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FC693F"/>
    <w:pPr>
      <w:keepNext/>
      <w:keepLines/>
      <w:spacing w:before="200" w:line="276" w:lineRule="auto"/>
      <w:outlineLvl w:val="7"/>
    </w:pPr>
    <w:rPr>
      <w:rFonts w:asciiTheme="majorHAnsi" w:eastAsiaTheme="majorEastAsia" w:hAnsiTheme="majorHAnsi" w:cstheme="majorBidi"/>
      <w:color w:val="4F81BD" w:themeColor="accent1"/>
      <w:sz w:val="20"/>
      <w:szCs w:val="20"/>
      <w:lang w:eastAsia="en-US"/>
    </w:rPr>
  </w:style>
  <w:style w:type="paragraph" w:styleId="Ttulo9">
    <w:name w:val="heading 9"/>
    <w:basedOn w:val="Normal"/>
    <w:next w:val="Normal"/>
    <w:link w:val="Ttulo9Car"/>
    <w:uiPriority w:val="9"/>
    <w:semiHidden/>
    <w:unhideWhenUsed/>
    <w:qFormat/>
    <w:rsid w:val="00FC693F"/>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pPr>
    <w:rPr>
      <w:rFonts w:asciiTheme="minorHAnsi" w:eastAsiaTheme="minorEastAsia" w:hAnsiTheme="minorHAnsi" w:cstheme="minorBidi"/>
      <w:sz w:val="22"/>
      <w:szCs w:val="22"/>
      <w:lang w:eastAsia="en-US"/>
    </w:r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pPr>
    <w:rPr>
      <w:rFonts w:asciiTheme="minorHAnsi" w:eastAsiaTheme="minorEastAsia" w:hAnsiTheme="minorHAnsi" w:cstheme="minorBidi"/>
      <w:sz w:val="22"/>
      <w:szCs w:val="22"/>
      <w:lang w:eastAsia="en-US"/>
    </w:r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B562C"/>
    <w:rPr>
      <w:rFonts w:ascii="Arial" w:eastAsiaTheme="majorEastAsia" w:hAnsi="Arial" w:cstheme="majorBidi"/>
      <w:b/>
      <w:bCs/>
      <w:color w:val="000000" w:themeColor="text1"/>
      <w:sz w:val="28"/>
      <w:szCs w:val="28"/>
      <w:lang w:val="es-CR"/>
    </w:rPr>
  </w:style>
  <w:style w:type="character" w:customStyle="1" w:styleId="Ttulo2Car">
    <w:name w:val="Título 2 Car"/>
    <w:basedOn w:val="Fuentedeprrafopredeter"/>
    <w:link w:val="Ttulo2"/>
    <w:uiPriority w:val="9"/>
    <w:rsid w:val="005866CD"/>
    <w:rPr>
      <w:rFonts w:ascii="Arial" w:eastAsiaTheme="majorEastAsia" w:hAnsi="Arial" w:cstheme="majorBidi"/>
      <w:b/>
      <w:bCs/>
      <w:sz w:val="28"/>
      <w:szCs w:val="26"/>
      <w:lang w:val="es-CR"/>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spacing w:after="200" w:line="276" w:lineRule="auto"/>
      <w:ind w:left="720"/>
      <w:contextualSpacing/>
    </w:pPr>
    <w:rPr>
      <w:rFonts w:asciiTheme="minorHAnsi" w:eastAsiaTheme="minorEastAsia" w:hAnsiTheme="minorHAnsi" w:cstheme="minorBidi"/>
      <w:sz w:val="22"/>
      <w:szCs w:val="22"/>
      <w:lang w:eastAsia="en-US"/>
    </w:rPr>
  </w:style>
  <w:style w:type="paragraph" w:styleId="Textoindependiente">
    <w:name w:val="Body Text"/>
    <w:basedOn w:val="Normal"/>
    <w:link w:val="TextoindependienteCar"/>
    <w:uiPriority w:val="99"/>
    <w:unhideWhenUsed/>
    <w:rsid w:val="00AA1D8D"/>
    <w:pPr>
      <w:spacing w:after="120" w:line="276" w:lineRule="auto"/>
    </w:pPr>
    <w:rPr>
      <w:rFonts w:asciiTheme="minorHAnsi" w:eastAsiaTheme="minorEastAsia"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rPr>
      <w:rFonts w:asciiTheme="minorHAnsi" w:eastAsiaTheme="minorEastAsia" w:hAnsiTheme="minorHAnsi" w:cstheme="minorBidi"/>
      <w:sz w:val="22"/>
      <w:szCs w:val="22"/>
      <w:lang w:eastAsia="en-US"/>
    </w:r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line="276" w:lineRule="auto"/>
    </w:pPr>
    <w:rPr>
      <w:rFonts w:asciiTheme="minorHAnsi" w:eastAsiaTheme="minorEastAsia" w:hAnsiTheme="minorHAnsi" w:cstheme="minorBidi"/>
      <w:sz w:val="16"/>
      <w:szCs w:val="16"/>
      <w:lang w:eastAsia="en-US"/>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spacing w:after="200" w:line="276" w:lineRule="auto"/>
      <w:ind w:left="360" w:hanging="360"/>
      <w:contextualSpacing/>
    </w:pPr>
    <w:rPr>
      <w:rFonts w:asciiTheme="minorHAnsi" w:eastAsiaTheme="minorEastAsia" w:hAnsiTheme="minorHAnsi" w:cstheme="minorBidi"/>
      <w:sz w:val="22"/>
      <w:szCs w:val="22"/>
      <w:lang w:eastAsia="en-US"/>
    </w:rPr>
  </w:style>
  <w:style w:type="paragraph" w:styleId="Lista2">
    <w:name w:val="List 2"/>
    <w:basedOn w:val="Normal"/>
    <w:uiPriority w:val="99"/>
    <w:unhideWhenUsed/>
    <w:rsid w:val="00326F90"/>
    <w:pPr>
      <w:spacing w:after="200" w:line="276" w:lineRule="auto"/>
      <w:ind w:left="720" w:hanging="360"/>
      <w:contextualSpacing/>
    </w:pPr>
    <w:rPr>
      <w:rFonts w:asciiTheme="minorHAnsi" w:eastAsiaTheme="minorEastAsia" w:hAnsiTheme="minorHAnsi" w:cstheme="minorBidi"/>
      <w:sz w:val="22"/>
      <w:szCs w:val="22"/>
      <w:lang w:eastAsia="en-US"/>
    </w:rPr>
  </w:style>
  <w:style w:type="paragraph" w:styleId="Lista3">
    <w:name w:val="List 3"/>
    <w:basedOn w:val="Normal"/>
    <w:uiPriority w:val="99"/>
    <w:unhideWhenUsed/>
    <w:rsid w:val="00326F90"/>
    <w:pPr>
      <w:spacing w:after="200" w:line="276" w:lineRule="auto"/>
      <w:ind w:left="1080" w:hanging="360"/>
      <w:contextualSpacing/>
    </w:pPr>
    <w:rPr>
      <w:rFonts w:asciiTheme="minorHAnsi" w:eastAsiaTheme="minorEastAsia" w:hAnsiTheme="minorHAnsi" w:cstheme="minorBidi"/>
      <w:sz w:val="22"/>
      <w:szCs w:val="22"/>
      <w:lang w:eastAsia="en-US"/>
    </w:rPr>
  </w:style>
  <w:style w:type="paragraph" w:styleId="Listaconvietas">
    <w:name w:val="List Bullet"/>
    <w:basedOn w:val="Normal"/>
    <w:uiPriority w:val="99"/>
    <w:unhideWhenUsed/>
    <w:rsid w:val="00326F90"/>
    <w:pPr>
      <w:numPr>
        <w:numId w:val="1"/>
      </w:numPr>
      <w:spacing w:after="200" w:line="276" w:lineRule="auto"/>
      <w:contextualSpacing/>
    </w:pPr>
    <w:rPr>
      <w:rFonts w:asciiTheme="minorHAnsi" w:eastAsiaTheme="minorEastAsia" w:hAnsiTheme="minorHAnsi" w:cstheme="minorBidi"/>
      <w:sz w:val="22"/>
      <w:szCs w:val="22"/>
      <w:lang w:eastAsia="en-US"/>
    </w:rPr>
  </w:style>
  <w:style w:type="paragraph" w:styleId="Listaconvietas2">
    <w:name w:val="List Bullet 2"/>
    <w:basedOn w:val="Normal"/>
    <w:uiPriority w:val="99"/>
    <w:unhideWhenUsed/>
    <w:rsid w:val="00326F90"/>
    <w:pPr>
      <w:numPr>
        <w:numId w:val="2"/>
      </w:numPr>
      <w:spacing w:after="200" w:line="276" w:lineRule="auto"/>
      <w:contextualSpacing/>
    </w:pPr>
    <w:rPr>
      <w:rFonts w:asciiTheme="minorHAnsi" w:eastAsiaTheme="minorEastAsia" w:hAnsiTheme="minorHAnsi" w:cstheme="minorBidi"/>
      <w:sz w:val="22"/>
      <w:szCs w:val="22"/>
      <w:lang w:eastAsia="en-US"/>
    </w:rPr>
  </w:style>
  <w:style w:type="paragraph" w:styleId="Listaconvietas3">
    <w:name w:val="List Bullet 3"/>
    <w:basedOn w:val="Normal"/>
    <w:uiPriority w:val="99"/>
    <w:unhideWhenUsed/>
    <w:rsid w:val="00326F90"/>
    <w:pPr>
      <w:numPr>
        <w:numId w:val="3"/>
      </w:numPr>
      <w:spacing w:after="200" w:line="276" w:lineRule="auto"/>
      <w:contextualSpacing/>
    </w:pPr>
    <w:rPr>
      <w:rFonts w:asciiTheme="minorHAnsi" w:eastAsiaTheme="minorEastAsia" w:hAnsiTheme="minorHAnsi" w:cstheme="minorBidi"/>
      <w:sz w:val="22"/>
      <w:szCs w:val="22"/>
      <w:lang w:eastAsia="en-US"/>
    </w:rPr>
  </w:style>
  <w:style w:type="paragraph" w:styleId="Listaconnmeros">
    <w:name w:val="List Number"/>
    <w:basedOn w:val="Normal"/>
    <w:uiPriority w:val="99"/>
    <w:unhideWhenUsed/>
    <w:rsid w:val="00326F90"/>
    <w:pPr>
      <w:numPr>
        <w:numId w:val="5"/>
      </w:numPr>
      <w:spacing w:after="200" w:line="276" w:lineRule="auto"/>
      <w:contextualSpacing/>
    </w:pPr>
    <w:rPr>
      <w:rFonts w:asciiTheme="minorHAnsi" w:eastAsiaTheme="minorEastAsia" w:hAnsiTheme="minorHAnsi" w:cstheme="minorBidi"/>
      <w:sz w:val="22"/>
      <w:szCs w:val="22"/>
      <w:lang w:eastAsia="en-US"/>
    </w:rPr>
  </w:style>
  <w:style w:type="paragraph" w:styleId="Listaconnmeros2">
    <w:name w:val="List Number 2"/>
    <w:basedOn w:val="Normal"/>
    <w:uiPriority w:val="99"/>
    <w:unhideWhenUsed/>
    <w:rsid w:val="0029639D"/>
    <w:pPr>
      <w:numPr>
        <w:numId w:val="6"/>
      </w:numPr>
      <w:spacing w:after="200" w:line="276" w:lineRule="auto"/>
      <w:contextualSpacing/>
    </w:pPr>
    <w:rPr>
      <w:rFonts w:asciiTheme="minorHAnsi" w:eastAsiaTheme="minorEastAsia" w:hAnsiTheme="minorHAnsi" w:cstheme="minorBidi"/>
      <w:sz w:val="22"/>
      <w:szCs w:val="22"/>
      <w:lang w:eastAsia="en-US"/>
    </w:rPr>
  </w:style>
  <w:style w:type="paragraph" w:styleId="Listaconnmeros3">
    <w:name w:val="List Number 3"/>
    <w:basedOn w:val="Normal"/>
    <w:uiPriority w:val="99"/>
    <w:unhideWhenUsed/>
    <w:rsid w:val="0029639D"/>
    <w:pPr>
      <w:numPr>
        <w:numId w:val="7"/>
      </w:numPr>
      <w:spacing w:after="200" w:line="276" w:lineRule="auto"/>
      <w:contextualSpacing/>
    </w:pPr>
    <w:rPr>
      <w:rFonts w:asciiTheme="minorHAnsi" w:eastAsiaTheme="minorEastAsia" w:hAnsiTheme="minorHAnsi" w:cstheme="minorBidi"/>
      <w:sz w:val="22"/>
      <w:szCs w:val="22"/>
      <w:lang w:eastAsia="en-US"/>
    </w:rPr>
  </w:style>
  <w:style w:type="paragraph" w:styleId="Continuarlista">
    <w:name w:val="List Continue"/>
    <w:basedOn w:val="Normal"/>
    <w:uiPriority w:val="99"/>
    <w:unhideWhenUsed/>
    <w:rsid w:val="0029639D"/>
    <w:pPr>
      <w:spacing w:after="120" w:line="276" w:lineRule="auto"/>
      <w:ind w:left="360"/>
      <w:contextualSpacing/>
    </w:pPr>
    <w:rPr>
      <w:rFonts w:asciiTheme="minorHAnsi" w:eastAsiaTheme="minorEastAsia" w:hAnsiTheme="minorHAnsi" w:cstheme="minorBidi"/>
      <w:sz w:val="22"/>
      <w:szCs w:val="22"/>
      <w:lang w:eastAsia="en-US"/>
    </w:rPr>
  </w:style>
  <w:style w:type="paragraph" w:styleId="Continuarlista2">
    <w:name w:val="List Continue 2"/>
    <w:basedOn w:val="Normal"/>
    <w:uiPriority w:val="99"/>
    <w:unhideWhenUsed/>
    <w:rsid w:val="0029639D"/>
    <w:pPr>
      <w:spacing w:after="120" w:line="276" w:lineRule="auto"/>
      <w:ind w:left="720"/>
      <w:contextualSpacing/>
    </w:pPr>
    <w:rPr>
      <w:rFonts w:asciiTheme="minorHAnsi" w:eastAsiaTheme="minorEastAsia" w:hAnsiTheme="minorHAnsi" w:cstheme="minorBidi"/>
      <w:sz w:val="22"/>
      <w:szCs w:val="22"/>
      <w:lang w:eastAsia="en-US"/>
    </w:rPr>
  </w:style>
  <w:style w:type="paragraph" w:styleId="Continuarlista3">
    <w:name w:val="List Continue 3"/>
    <w:basedOn w:val="Normal"/>
    <w:uiPriority w:val="99"/>
    <w:unhideWhenUsed/>
    <w:rsid w:val="0029639D"/>
    <w:pPr>
      <w:spacing w:after="120" w:line="276" w:lineRule="auto"/>
      <w:ind w:left="1080"/>
      <w:contextualSpacing/>
    </w:pPr>
    <w:rPr>
      <w:rFonts w:asciiTheme="minorHAnsi" w:eastAsiaTheme="minorEastAsia" w:hAnsiTheme="minorHAnsi" w:cstheme="minorBidi"/>
      <w:sz w:val="22"/>
      <w:szCs w:val="22"/>
      <w:lang w:eastAsia="en-US"/>
    </w:r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pPr>
      <w:spacing w:after="200" w:line="276" w:lineRule="auto"/>
    </w:pPr>
    <w:rPr>
      <w:rFonts w:asciiTheme="minorHAnsi" w:eastAsiaTheme="minorEastAsia" w:hAnsiTheme="minorHAnsi" w:cstheme="minorBidi"/>
      <w:i/>
      <w:iCs/>
      <w:color w:val="000000" w:themeColor="text1"/>
      <w:sz w:val="22"/>
      <w:szCs w:val="22"/>
      <w:lang w:eastAsia="en-US"/>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after="200"/>
    </w:pPr>
    <w:rPr>
      <w:rFonts w:asciiTheme="minorHAnsi" w:eastAsiaTheme="minorEastAsia" w:hAnsiTheme="minorHAnsi" w:cstheme="minorBidi"/>
      <w:b/>
      <w:bCs/>
      <w:color w:val="4F81BD" w:themeColor="accent1"/>
      <w:sz w:val="18"/>
      <w:szCs w:val="18"/>
      <w:lang w:eastAsia="en-US"/>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en-US"/>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43CC2"/>
    <w:pPr>
      <w:spacing w:before="100" w:beforeAutospacing="1" w:after="100" w:afterAutospacing="1"/>
    </w:pPr>
  </w:style>
  <w:style w:type="paragraph" w:customStyle="1" w:styleId="Default">
    <w:name w:val="Default"/>
    <w:rsid w:val="002B7DA9"/>
    <w:pPr>
      <w:autoSpaceDE w:val="0"/>
      <w:autoSpaceDN w:val="0"/>
      <w:adjustRightInd w:val="0"/>
      <w:spacing w:after="0" w:line="240" w:lineRule="auto"/>
    </w:pPr>
    <w:rPr>
      <w:rFonts w:ascii="Arial" w:eastAsiaTheme="minorHAnsi" w:hAnsi="Arial" w:cs="Arial"/>
      <w:color w:val="000000"/>
      <w:sz w:val="24"/>
      <w:szCs w:val="24"/>
      <w:lang w:val="es-CR"/>
      <w14:ligatures w14:val="standardContextual"/>
    </w:rPr>
  </w:style>
  <w:style w:type="table" w:styleId="Cuadrculadetablaclara">
    <w:name w:val="Grid Table Light"/>
    <w:basedOn w:val="Tablanormal"/>
    <w:uiPriority w:val="99"/>
    <w:rsid w:val="009F21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wrap">
    <w:name w:val="whitespace-nowrap!"/>
    <w:basedOn w:val="Fuentedeprrafopredeter"/>
    <w:rsid w:val="00A26C90"/>
  </w:style>
  <w:style w:type="paragraph" w:styleId="TDC2">
    <w:name w:val="toc 2"/>
    <w:basedOn w:val="Normal"/>
    <w:next w:val="Normal"/>
    <w:autoRedefine/>
    <w:uiPriority w:val="39"/>
    <w:unhideWhenUsed/>
    <w:rsid w:val="00F52B43"/>
    <w:pPr>
      <w:spacing w:after="100" w:line="276" w:lineRule="auto"/>
      <w:ind w:left="220"/>
    </w:pPr>
    <w:rPr>
      <w:rFonts w:asciiTheme="minorHAnsi" w:eastAsiaTheme="minorEastAsia" w:hAnsiTheme="minorHAnsi" w:cstheme="minorBidi"/>
      <w:sz w:val="22"/>
      <w:szCs w:val="22"/>
      <w:lang w:eastAsia="en-US"/>
    </w:rPr>
  </w:style>
  <w:style w:type="paragraph" w:styleId="TDC1">
    <w:name w:val="toc 1"/>
    <w:basedOn w:val="Normal"/>
    <w:next w:val="Normal"/>
    <w:autoRedefine/>
    <w:uiPriority w:val="39"/>
    <w:unhideWhenUsed/>
    <w:rsid w:val="00F52B43"/>
    <w:pPr>
      <w:spacing w:after="100" w:line="276" w:lineRule="auto"/>
    </w:pPr>
    <w:rPr>
      <w:rFonts w:asciiTheme="minorHAnsi" w:eastAsiaTheme="minorEastAsia" w:hAnsiTheme="minorHAnsi" w:cstheme="minorBidi"/>
      <w:sz w:val="22"/>
      <w:szCs w:val="22"/>
      <w:lang w:eastAsia="en-US"/>
    </w:rPr>
  </w:style>
  <w:style w:type="character" w:styleId="Hipervnculo">
    <w:name w:val="Hyperlink"/>
    <w:basedOn w:val="Fuentedeprrafopredeter"/>
    <w:uiPriority w:val="99"/>
    <w:unhideWhenUsed/>
    <w:rsid w:val="00F52B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20959">
      <w:bodyDiv w:val="1"/>
      <w:marLeft w:val="0"/>
      <w:marRight w:val="0"/>
      <w:marTop w:val="0"/>
      <w:marBottom w:val="0"/>
      <w:divBdr>
        <w:top w:val="none" w:sz="0" w:space="0" w:color="auto"/>
        <w:left w:val="none" w:sz="0" w:space="0" w:color="auto"/>
        <w:bottom w:val="none" w:sz="0" w:space="0" w:color="auto"/>
        <w:right w:val="none" w:sz="0" w:space="0" w:color="auto"/>
      </w:divBdr>
      <w:divsChild>
        <w:div w:id="854540893">
          <w:marLeft w:val="0"/>
          <w:marRight w:val="0"/>
          <w:marTop w:val="0"/>
          <w:marBottom w:val="0"/>
          <w:divBdr>
            <w:top w:val="none" w:sz="0" w:space="0" w:color="auto"/>
            <w:left w:val="none" w:sz="0" w:space="0" w:color="auto"/>
            <w:bottom w:val="none" w:sz="0" w:space="0" w:color="auto"/>
            <w:right w:val="none" w:sz="0" w:space="0" w:color="auto"/>
          </w:divBdr>
        </w:div>
      </w:divsChild>
    </w:div>
    <w:div w:id="110516378">
      <w:bodyDiv w:val="1"/>
      <w:marLeft w:val="0"/>
      <w:marRight w:val="0"/>
      <w:marTop w:val="0"/>
      <w:marBottom w:val="0"/>
      <w:divBdr>
        <w:top w:val="none" w:sz="0" w:space="0" w:color="auto"/>
        <w:left w:val="none" w:sz="0" w:space="0" w:color="auto"/>
        <w:bottom w:val="none" w:sz="0" w:space="0" w:color="auto"/>
        <w:right w:val="none" w:sz="0" w:space="0" w:color="auto"/>
      </w:divBdr>
      <w:divsChild>
        <w:div w:id="1216046798">
          <w:marLeft w:val="0"/>
          <w:marRight w:val="0"/>
          <w:marTop w:val="0"/>
          <w:marBottom w:val="0"/>
          <w:divBdr>
            <w:top w:val="none" w:sz="0" w:space="0" w:color="auto"/>
            <w:left w:val="none" w:sz="0" w:space="0" w:color="auto"/>
            <w:bottom w:val="none" w:sz="0" w:space="0" w:color="auto"/>
            <w:right w:val="none" w:sz="0" w:space="0" w:color="auto"/>
          </w:divBdr>
          <w:divsChild>
            <w:div w:id="1627276405">
              <w:marLeft w:val="0"/>
              <w:marRight w:val="0"/>
              <w:marTop w:val="0"/>
              <w:marBottom w:val="0"/>
              <w:divBdr>
                <w:top w:val="none" w:sz="0" w:space="0" w:color="auto"/>
                <w:left w:val="none" w:sz="0" w:space="0" w:color="auto"/>
                <w:bottom w:val="none" w:sz="0" w:space="0" w:color="auto"/>
                <w:right w:val="none" w:sz="0" w:space="0" w:color="auto"/>
              </w:divBdr>
              <w:divsChild>
                <w:div w:id="97531510">
                  <w:marLeft w:val="0"/>
                  <w:marRight w:val="0"/>
                  <w:marTop w:val="0"/>
                  <w:marBottom w:val="0"/>
                  <w:divBdr>
                    <w:top w:val="none" w:sz="0" w:space="0" w:color="auto"/>
                    <w:left w:val="none" w:sz="0" w:space="0" w:color="auto"/>
                    <w:bottom w:val="none" w:sz="0" w:space="0" w:color="auto"/>
                    <w:right w:val="none" w:sz="0" w:space="0" w:color="auto"/>
                  </w:divBdr>
                  <w:divsChild>
                    <w:div w:id="945501445">
                      <w:marLeft w:val="0"/>
                      <w:marRight w:val="0"/>
                      <w:marTop w:val="0"/>
                      <w:marBottom w:val="0"/>
                      <w:divBdr>
                        <w:top w:val="none" w:sz="0" w:space="0" w:color="auto"/>
                        <w:left w:val="none" w:sz="0" w:space="0" w:color="auto"/>
                        <w:bottom w:val="none" w:sz="0" w:space="0" w:color="auto"/>
                        <w:right w:val="none" w:sz="0" w:space="0" w:color="auto"/>
                      </w:divBdr>
                      <w:divsChild>
                        <w:div w:id="1312179269">
                          <w:marLeft w:val="0"/>
                          <w:marRight w:val="0"/>
                          <w:marTop w:val="0"/>
                          <w:marBottom w:val="0"/>
                          <w:divBdr>
                            <w:top w:val="none" w:sz="0" w:space="0" w:color="auto"/>
                            <w:left w:val="none" w:sz="0" w:space="0" w:color="auto"/>
                            <w:bottom w:val="none" w:sz="0" w:space="0" w:color="auto"/>
                            <w:right w:val="none" w:sz="0" w:space="0" w:color="auto"/>
                          </w:divBdr>
                          <w:divsChild>
                            <w:div w:id="1593971562">
                              <w:marLeft w:val="0"/>
                              <w:marRight w:val="0"/>
                              <w:marTop w:val="0"/>
                              <w:marBottom w:val="0"/>
                              <w:divBdr>
                                <w:top w:val="none" w:sz="0" w:space="0" w:color="auto"/>
                                <w:left w:val="none" w:sz="0" w:space="0" w:color="auto"/>
                                <w:bottom w:val="none" w:sz="0" w:space="0" w:color="auto"/>
                                <w:right w:val="none" w:sz="0" w:space="0" w:color="auto"/>
                              </w:divBdr>
                              <w:divsChild>
                                <w:div w:id="1248002734">
                                  <w:marLeft w:val="0"/>
                                  <w:marRight w:val="0"/>
                                  <w:marTop w:val="0"/>
                                  <w:marBottom w:val="0"/>
                                  <w:divBdr>
                                    <w:top w:val="none" w:sz="0" w:space="0" w:color="auto"/>
                                    <w:left w:val="none" w:sz="0" w:space="0" w:color="auto"/>
                                    <w:bottom w:val="none" w:sz="0" w:space="0" w:color="auto"/>
                                    <w:right w:val="none" w:sz="0" w:space="0" w:color="auto"/>
                                  </w:divBdr>
                                  <w:divsChild>
                                    <w:div w:id="1491671998">
                                      <w:marLeft w:val="0"/>
                                      <w:marRight w:val="0"/>
                                      <w:marTop w:val="0"/>
                                      <w:marBottom w:val="0"/>
                                      <w:divBdr>
                                        <w:top w:val="none" w:sz="0" w:space="0" w:color="auto"/>
                                        <w:left w:val="none" w:sz="0" w:space="0" w:color="auto"/>
                                        <w:bottom w:val="none" w:sz="0" w:space="0" w:color="auto"/>
                                        <w:right w:val="none" w:sz="0" w:space="0" w:color="auto"/>
                                      </w:divBdr>
                                      <w:divsChild>
                                        <w:div w:id="197945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075087">
      <w:bodyDiv w:val="1"/>
      <w:marLeft w:val="0"/>
      <w:marRight w:val="0"/>
      <w:marTop w:val="0"/>
      <w:marBottom w:val="0"/>
      <w:divBdr>
        <w:top w:val="none" w:sz="0" w:space="0" w:color="auto"/>
        <w:left w:val="none" w:sz="0" w:space="0" w:color="auto"/>
        <w:bottom w:val="none" w:sz="0" w:space="0" w:color="auto"/>
        <w:right w:val="none" w:sz="0" w:space="0" w:color="auto"/>
      </w:divBdr>
      <w:divsChild>
        <w:div w:id="1858691243">
          <w:marLeft w:val="547"/>
          <w:marRight w:val="0"/>
          <w:marTop w:val="0"/>
          <w:marBottom w:val="0"/>
          <w:divBdr>
            <w:top w:val="none" w:sz="0" w:space="0" w:color="auto"/>
            <w:left w:val="none" w:sz="0" w:space="0" w:color="auto"/>
            <w:bottom w:val="none" w:sz="0" w:space="0" w:color="auto"/>
            <w:right w:val="none" w:sz="0" w:space="0" w:color="auto"/>
          </w:divBdr>
        </w:div>
        <w:div w:id="719592177">
          <w:marLeft w:val="547"/>
          <w:marRight w:val="0"/>
          <w:marTop w:val="0"/>
          <w:marBottom w:val="0"/>
          <w:divBdr>
            <w:top w:val="none" w:sz="0" w:space="0" w:color="auto"/>
            <w:left w:val="none" w:sz="0" w:space="0" w:color="auto"/>
            <w:bottom w:val="none" w:sz="0" w:space="0" w:color="auto"/>
            <w:right w:val="none" w:sz="0" w:space="0" w:color="auto"/>
          </w:divBdr>
        </w:div>
      </w:divsChild>
    </w:div>
    <w:div w:id="232006361">
      <w:bodyDiv w:val="1"/>
      <w:marLeft w:val="0"/>
      <w:marRight w:val="0"/>
      <w:marTop w:val="0"/>
      <w:marBottom w:val="0"/>
      <w:divBdr>
        <w:top w:val="none" w:sz="0" w:space="0" w:color="auto"/>
        <w:left w:val="none" w:sz="0" w:space="0" w:color="auto"/>
        <w:bottom w:val="none" w:sz="0" w:space="0" w:color="auto"/>
        <w:right w:val="none" w:sz="0" w:space="0" w:color="auto"/>
      </w:divBdr>
    </w:div>
    <w:div w:id="241137013">
      <w:bodyDiv w:val="1"/>
      <w:marLeft w:val="0"/>
      <w:marRight w:val="0"/>
      <w:marTop w:val="0"/>
      <w:marBottom w:val="0"/>
      <w:divBdr>
        <w:top w:val="none" w:sz="0" w:space="0" w:color="auto"/>
        <w:left w:val="none" w:sz="0" w:space="0" w:color="auto"/>
        <w:bottom w:val="none" w:sz="0" w:space="0" w:color="auto"/>
        <w:right w:val="none" w:sz="0" w:space="0" w:color="auto"/>
      </w:divBdr>
    </w:div>
    <w:div w:id="278607815">
      <w:bodyDiv w:val="1"/>
      <w:marLeft w:val="0"/>
      <w:marRight w:val="0"/>
      <w:marTop w:val="0"/>
      <w:marBottom w:val="0"/>
      <w:divBdr>
        <w:top w:val="none" w:sz="0" w:space="0" w:color="auto"/>
        <w:left w:val="none" w:sz="0" w:space="0" w:color="auto"/>
        <w:bottom w:val="none" w:sz="0" w:space="0" w:color="auto"/>
        <w:right w:val="none" w:sz="0" w:space="0" w:color="auto"/>
      </w:divBdr>
      <w:divsChild>
        <w:div w:id="304044462">
          <w:marLeft w:val="0"/>
          <w:marRight w:val="0"/>
          <w:marTop w:val="0"/>
          <w:marBottom w:val="0"/>
          <w:divBdr>
            <w:top w:val="none" w:sz="0" w:space="0" w:color="auto"/>
            <w:left w:val="none" w:sz="0" w:space="0" w:color="auto"/>
            <w:bottom w:val="none" w:sz="0" w:space="0" w:color="auto"/>
            <w:right w:val="none" w:sz="0" w:space="0" w:color="auto"/>
          </w:divBdr>
          <w:divsChild>
            <w:div w:id="2027245047">
              <w:marLeft w:val="0"/>
              <w:marRight w:val="0"/>
              <w:marTop w:val="0"/>
              <w:marBottom w:val="0"/>
              <w:divBdr>
                <w:top w:val="none" w:sz="0" w:space="0" w:color="auto"/>
                <w:left w:val="none" w:sz="0" w:space="0" w:color="auto"/>
                <w:bottom w:val="none" w:sz="0" w:space="0" w:color="auto"/>
                <w:right w:val="none" w:sz="0" w:space="0" w:color="auto"/>
              </w:divBdr>
              <w:divsChild>
                <w:div w:id="2081948025">
                  <w:marLeft w:val="0"/>
                  <w:marRight w:val="0"/>
                  <w:marTop w:val="0"/>
                  <w:marBottom w:val="0"/>
                  <w:divBdr>
                    <w:top w:val="none" w:sz="0" w:space="0" w:color="auto"/>
                    <w:left w:val="none" w:sz="0" w:space="0" w:color="auto"/>
                    <w:bottom w:val="none" w:sz="0" w:space="0" w:color="auto"/>
                    <w:right w:val="none" w:sz="0" w:space="0" w:color="auto"/>
                  </w:divBdr>
                  <w:divsChild>
                    <w:div w:id="176818146">
                      <w:marLeft w:val="0"/>
                      <w:marRight w:val="0"/>
                      <w:marTop w:val="0"/>
                      <w:marBottom w:val="0"/>
                      <w:divBdr>
                        <w:top w:val="none" w:sz="0" w:space="0" w:color="auto"/>
                        <w:left w:val="none" w:sz="0" w:space="0" w:color="auto"/>
                        <w:bottom w:val="none" w:sz="0" w:space="0" w:color="auto"/>
                        <w:right w:val="none" w:sz="0" w:space="0" w:color="auto"/>
                      </w:divBdr>
                      <w:divsChild>
                        <w:div w:id="1577322680">
                          <w:marLeft w:val="0"/>
                          <w:marRight w:val="0"/>
                          <w:marTop w:val="0"/>
                          <w:marBottom w:val="0"/>
                          <w:divBdr>
                            <w:top w:val="none" w:sz="0" w:space="0" w:color="auto"/>
                            <w:left w:val="none" w:sz="0" w:space="0" w:color="auto"/>
                            <w:bottom w:val="none" w:sz="0" w:space="0" w:color="auto"/>
                            <w:right w:val="none" w:sz="0" w:space="0" w:color="auto"/>
                          </w:divBdr>
                          <w:divsChild>
                            <w:div w:id="375548337">
                              <w:marLeft w:val="0"/>
                              <w:marRight w:val="0"/>
                              <w:marTop w:val="0"/>
                              <w:marBottom w:val="0"/>
                              <w:divBdr>
                                <w:top w:val="none" w:sz="0" w:space="0" w:color="auto"/>
                                <w:left w:val="none" w:sz="0" w:space="0" w:color="auto"/>
                                <w:bottom w:val="none" w:sz="0" w:space="0" w:color="auto"/>
                                <w:right w:val="none" w:sz="0" w:space="0" w:color="auto"/>
                              </w:divBdr>
                              <w:divsChild>
                                <w:div w:id="382796827">
                                  <w:marLeft w:val="0"/>
                                  <w:marRight w:val="0"/>
                                  <w:marTop w:val="0"/>
                                  <w:marBottom w:val="0"/>
                                  <w:divBdr>
                                    <w:top w:val="none" w:sz="0" w:space="0" w:color="auto"/>
                                    <w:left w:val="none" w:sz="0" w:space="0" w:color="auto"/>
                                    <w:bottom w:val="none" w:sz="0" w:space="0" w:color="auto"/>
                                    <w:right w:val="none" w:sz="0" w:space="0" w:color="auto"/>
                                  </w:divBdr>
                                  <w:divsChild>
                                    <w:div w:id="167996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879646">
          <w:marLeft w:val="0"/>
          <w:marRight w:val="0"/>
          <w:marTop w:val="0"/>
          <w:marBottom w:val="0"/>
          <w:divBdr>
            <w:top w:val="none" w:sz="0" w:space="0" w:color="auto"/>
            <w:left w:val="none" w:sz="0" w:space="0" w:color="auto"/>
            <w:bottom w:val="none" w:sz="0" w:space="0" w:color="auto"/>
            <w:right w:val="none" w:sz="0" w:space="0" w:color="auto"/>
          </w:divBdr>
          <w:divsChild>
            <w:div w:id="137500445">
              <w:marLeft w:val="0"/>
              <w:marRight w:val="0"/>
              <w:marTop w:val="0"/>
              <w:marBottom w:val="0"/>
              <w:divBdr>
                <w:top w:val="none" w:sz="0" w:space="0" w:color="auto"/>
                <w:left w:val="none" w:sz="0" w:space="0" w:color="auto"/>
                <w:bottom w:val="none" w:sz="0" w:space="0" w:color="auto"/>
                <w:right w:val="none" w:sz="0" w:space="0" w:color="auto"/>
              </w:divBdr>
              <w:divsChild>
                <w:div w:id="2050494495">
                  <w:marLeft w:val="0"/>
                  <w:marRight w:val="0"/>
                  <w:marTop w:val="0"/>
                  <w:marBottom w:val="0"/>
                  <w:divBdr>
                    <w:top w:val="none" w:sz="0" w:space="0" w:color="auto"/>
                    <w:left w:val="none" w:sz="0" w:space="0" w:color="auto"/>
                    <w:bottom w:val="none" w:sz="0" w:space="0" w:color="auto"/>
                    <w:right w:val="none" w:sz="0" w:space="0" w:color="auto"/>
                  </w:divBdr>
                  <w:divsChild>
                    <w:div w:id="1910923824">
                      <w:marLeft w:val="0"/>
                      <w:marRight w:val="0"/>
                      <w:marTop w:val="0"/>
                      <w:marBottom w:val="0"/>
                      <w:divBdr>
                        <w:top w:val="none" w:sz="0" w:space="0" w:color="auto"/>
                        <w:left w:val="none" w:sz="0" w:space="0" w:color="auto"/>
                        <w:bottom w:val="none" w:sz="0" w:space="0" w:color="auto"/>
                        <w:right w:val="none" w:sz="0" w:space="0" w:color="auto"/>
                      </w:divBdr>
                      <w:divsChild>
                        <w:div w:id="820006110">
                          <w:marLeft w:val="0"/>
                          <w:marRight w:val="0"/>
                          <w:marTop w:val="0"/>
                          <w:marBottom w:val="0"/>
                          <w:divBdr>
                            <w:top w:val="none" w:sz="0" w:space="0" w:color="auto"/>
                            <w:left w:val="none" w:sz="0" w:space="0" w:color="auto"/>
                            <w:bottom w:val="none" w:sz="0" w:space="0" w:color="auto"/>
                            <w:right w:val="none" w:sz="0" w:space="0" w:color="auto"/>
                          </w:divBdr>
                          <w:divsChild>
                            <w:div w:id="298220190">
                              <w:marLeft w:val="0"/>
                              <w:marRight w:val="0"/>
                              <w:marTop w:val="0"/>
                              <w:marBottom w:val="0"/>
                              <w:divBdr>
                                <w:top w:val="none" w:sz="0" w:space="0" w:color="auto"/>
                                <w:left w:val="none" w:sz="0" w:space="0" w:color="auto"/>
                                <w:bottom w:val="none" w:sz="0" w:space="0" w:color="auto"/>
                                <w:right w:val="none" w:sz="0" w:space="0" w:color="auto"/>
                              </w:divBdr>
                              <w:divsChild>
                                <w:div w:id="2110395113">
                                  <w:marLeft w:val="0"/>
                                  <w:marRight w:val="0"/>
                                  <w:marTop w:val="0"/>
                                  <w:marBottom w:val="0"/>
                                  <w:divBdr>
                                    <w:top w:val="none" w:sz="0" w:space="0" w:color="auto"/>
                                    <w:left w:val="none" w:sz="0" w:space="0" w:color="auto"/>
                                    <w:bottom w:val="none" w:sz="0" w:space="0" w:color="auto"/>
                                    <w:right w:val="none" w:sz="0" w:space="0" w:color="auto"/>
                                  </w:divBdr>
                                  <w:divsChild>
                                    <w:div w:id="4469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867579">
          <w:marLeft w:val="0"/>
          <w:marRight w:val="0"/>
          <w:marTop w:val="0"/>
          <w:marBottom w:val="0"/>
          <w:divBdr>
            <w:top w:val="none" w:sz="0" w:space="0" w:color="auto"/>
            <w:left w:val="none" w:sz="0" w:space="0" w:color="auto"/>
            <w:bottom w:val="none" w:sz="0" w:space="0" w:color="auto"/>
            <w:right w:val="none" w:sz="0" w:space="0" w:color="auto"/>
          </w:divBdr>
          <w:divsChild>
            <w:div w:id="107045328">
              <w:marLeft w:val="0"/>
              <w:marRight w:val="0"/>
              <w:marTop w:val="0"/>
              <w:marBottom w:val="0"/>
              <w:divBdr>
                <w:top w:val="none" w:sz="0" w:space="0" w:color="auto"/>
                <w:left w:val="none" w:sz="0" w:space="0" w:color="auto"/>
                <w:bottom w:val="none" w:sz="0" w:space="0" w:color="auto"/>
                <w:right w:val="none" w:sz="0" w:space="0" w:color="auto"/>
              </w:divBdr>
              <w:divsChild>
                <w:div w:id="810169968">
                  <w:marLeft w:val="0"/>
                  <w:marRight w:val="0"/>
                  <w:marTop w:val="0"/>
                  <w:marBottom w:val="0"/>
                  <w:divBdr>
                    <w:top w:val="none" w:sz="0" w:space="0" w:color="auto"/>
                    <w:left w:val="none" w:sz="0" w:space="0" w:color="auto"/>
                    <w:bottom w:val="none" w:sz="0" w:space="0" w:color="auto"/>
                    <w:right w:val="none" w:sz="0" w:space="0" w:color="auto"/>
                  </w:divBdr>
                  <w:divsChild>
                    <w:div w:id="978262803">
                      <w:marLeft w:val="0"/>
                      <w:marRight w:val="0"/>
                      <w:marTop w:val="0"/>
                      <w:marBottom w:val="0"/>
                      <w:divBdr>
                        <w:top w:val="none" w:sz="0" w:space="0" w:color="auto"/>
                        <w:left w:val="none" w:sz="0" w:space="0" w:color="auto"/>
                        <w:bottom w:val="none" w:sz="0" w:space="0" w:color="auto"/>
                        <w:right w:val="none" w:sz="0" w:space="0" w:color="auto"/>
                      </w:divBdr>
                      <w:divsChild>
                        <w:div w:id="677997750">
                          <w:marLeft w:val="0"/>
                          <w:marRight w:val="0"/>
                          <w:marTop w:val="0"/>
                          <w:marBottom w:val="0"/>
                          <w:divBdr>
                            <w:top w:val="none" w:sz="0" w:space="0" w:color="auto"/>
                            <w:left w:val="none" w:sz="0" w:space="0" w:color="auto"/>
                            <w:bottom w:val="none" w:sz="0" w:space="0" w:color="auto"/>
                            <w:right w:val="none" w:sz="0" w:space="0" w:color="auto"/>
                          </w:divBdr>
                          <w:divsChild>
                            <w:div w:id="530652039">
                              <w:marLeft w:val="0"/>
                              <w:marRight w:val="0"/>
                              <w:marTop w:val="0"/>
                              <w:marBottom w:val="0"/>
                              <w:divBdr>
                                <w:top w:val="none" w:sz="0" w:space="0" w:color="auto"/>
                                <w:left w:val="none" w:sz="0" w:space="0" w:color="auto"/>
                                <w:bottom w:val="none" w:sz="0" w:space="0" w:color="auto"/>
                                <w:right w:val="none" w:sz="0" w:space="0" w:color="auto"/>
                              </w:divBdr>
                              <w:divsChild>
                                <w:div w:id="987978025">
                                  <w:marLeft w:val="0"/>
                                  <w:marRight w:val="0"/>
                                  <w:marTop w:val="0"/>
                                  <w:marBottom w:val="0"/>
                                  <w:divBdr>
                                    <w:top w:val="none" w:sz="0" w:space="0" w:color="auto"/>
                                    <w:left w:val="none" w:sz="0" w:space="0" w:color="auto"/>
                                    <w:bottom w:val="none" w:sz="0" w:space="0" w:color="auto"/>
                                    <w:right w:val="none" w:sz="0" w:space="0" w:color="auto"/>
                                  </w:divBdr>
                                  <w:divsChild>
                                    <w:div w:id="1367215690">
                                      <w:marLeft w:val="0"/>
                                      <w:marRight w:val="0"/>
                                      <w:marTop w:val="0"/>
                                      <w:marBottom w:val="0"/>
                                      <w:divBdr>
                                        <w:top w:val="none" w:sz="0" w:space="0" w:color="auto"/>
                                        <w:left w:val="none" w:sz="0" w:space="0" w:color="auto"/>
                                        <w:bottom w:val="none" w:sz="0" w:space="0" w:color="auto"/>
                                        <w:right w:val="none" w:sz="0" w:space="0" w:color="auto"/>
                                      </w:divBdr>
                                      <w:divsChild>
                                        <w:div w:id="213054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6657128">
      <w:bodyDiv w:val="1"/>
      <w:marLeft w:val="0"/>
      <w:marRight w:val="0"/>
      <w:marTop w:val="0"/>
      <w:marBottom w:val="0"/>
      <w:divBdr>
        <w:top w:val="none" w:sz="0" w:space="0" w:color="auto"/>
        <w:left w:val="none" w:sz="0" w:space="0" w:color="auto"/>
        <w:bottom w:val="none" w:sz="0" w:space="0" w:color="auto"/>
        <w:right w:val="none" w:sz="0" w:space="0" w:color="auto"/>
      </w:divBdr>
    </w:div>
    <w:div w:id="387456871">
      <w:bodyDiv w:val="1"/>
      <w:marLeft w:val="0"/>
      <w:marRight w:val="0"/>
      <w:marTop w:val="0"/>
      <w:marBottom w:val="0"/>
      <w:divBdr>
        <w:top w:val="none" w:sz="0" w:space="0" w:color="auto"/>
        <w:left w:val="none" w:sz="0" w:space="0" w:color="auto"/>
        <w:bottom w:val="none" w:sz="0" w:space="0" w:color="auto"/>
        <w:right w:val="none" w:sz="0" w:space="0" w:color="auto"/>
      </w:divBdr>
    </w:div>
    <w:div w:id="435029223">
      <w:bodyDiv w:val="1"/>
      <w:marLeft w:val="0"/>
      <w:marRight w:val="0"/>
      <w:marTop w:val="0"/>
      <w:marBottom w:val="0"/>
      <w:divBdr>
        <w:top w:val="none" w:sz="0" w:space="0" w:color="auto"/>
        <w:left w:val="none" w:sz="0" w:space="0" w:color="auto"/>
        <w:bottom w:val="none" w:sz="0" w:space="0" w:color="auto"/>
        <w:right w:val="none" w:sz="0" w:space="0" w:color="auto"/>
      </w:divBdr>
    </w:div>
    <w:div w:id="475538355">
      <w:bodyDiv w:val="1"/>
      <w:marLeft w:val="0"/>
      <w:marRight w:val="0"/>
      <w:marTop w:val="0"/>
      <w:marBottom w:val="0"/>
      <w:divBdr>
        <w:top w:val="none" w:sz="0" w:space="0" w:color="auto"/>
        <w:left w:val="none" w:sz="0" w:space="0" w:color="auto"/>
        <w:bottom w:val="none" w:sz="0" w:space="0" w:color="auto"/>
        <w:right w:val="none" w:sz="0" w:space="0" w:color="auto"/>
      </w:divBdr>
    </w:div>
    <w:div w:id="481847574">
      <w:bodyDiv w:val="1"/>
      <w:marLeft w:val="0"/>
      <w:marRight w:val="0"/>
      <w:marTop w:val="0"/>
      <w:marBottom w:val="0"/>
      <w:divBdr>
        <w:top w:val="none" w:sz="0" w:space="0" w:color="auto"/>
        <w:left w:val="none" w:sz="0" w:space="0" w:color="auto"/>
        <w:bottom w:val="none" w:sz="0" w:space="0" w:color="auto"/>
        <w:right w:val="none" w:sz="0" w:space="0" w:color="auto"/>
      </w:divBdr>
    </w:div>
    <w:div w:id="563445214">
      <w:bodyDiv w:val="1"/>
      <w:marLeft w:val="0"/>
      <w:marRight w:val="0"/>
      <w:marTop w:val="0"/>
      <w:marBottom w:val="0"/>
      <w:divBdr>
        <w:top w:val="none" w:sz="0" w:space="0" w:color="auto"/>
        <w:left w:val="none" w:sz="0" w:space="0" w:color="auto"/>
        <w:bottom w:val="none" w:sz="0" w:space="0" w:color="auto"/>
        <w:right w:val="none" w:sz="0" w:space="0" w:color="auto"/>
      </w:divBdr>
    </w:div>
    <w:div w:id="576404873">
      <w:bodyDiv w:val="1"/>
      <w:marLeft w:val="0"/>
      <w:marRight w:val="0"/>
      <w:marTop w:val="0"/>
      <w:marBottom w:val="0"/>
      <w:divBdr>
        <w:top w:val="none" w:sz="0" w:space="0" w:color="auto"/>
        <w:left w:val="none" w:sz="0" w:space="0" w:color="auto"/>
        <w:bottom w:val="none" w:sz="0" w:space="0" w:color="auto"/>
        <w:right w:val="none" w:sz="0" w:space="0" w:color="auto"/>
      </w:divBdr>
    </w:div>
    <w:div w:id="608857994">
      <w:bodyDiv w:val="1"/>
      <w:marLeft w:val="0"/>
      <w:marRight w:val="0"/>
      <w:marTop w:val="0"/>
      <w:marBottom w:val="0"/>
      <w:divBdr>
        <w:top w:val="none" w:sz="0" w:space="0" w:color="auto"/>
        <w:left w:val="none" w:sz="0" w:space="0" w:color="auto"/>
        <w:bottom w:val="none" w:sz="0" w:space="0" w:color="auto"/>
        <w:right w:val="none" w:sz="0" w:space="0" w:color="auto"/>
      </w:divBdr>
    </w:div>
    <w:div w:id="628320063">
      <w:bodyDiv w:val="1"/>
      <w:marLeft w:val="0"/>
      <w:marRight w:val="0"/>
      <w:marTop w:val="0"/>
      <w:marBottom w:val="0"/>
      <w:divBdr>
        <w:top w:val="none" w:sz="0" w:space="0" w:color="auto"/>
        <w:left w:val="none" w:sz="0" w:space="0" w:color="auto"/>
        <w:bottom w:val="none" w:sz="0" w:space="0" w:color="auto"/>
        <w:right w:val="none" w:sz="0" w:space="0" w:color="auto"/>
      </w:divBdr>
    </w:div>
    <w:div w:id="687610016">
      <w:bodyDiv w:val="1"/>
      <w:marLeft w:val="0"/>
      <w:marRight w:val="0"/>
      <w:marTop w:val="0"/>
      <w:marBottom w:val="0"/>
      <w:divBdr>
        <w:top w:val="none" w:sz="0" w:space="0" w:color="auto"/>
        <w:left w:val="none" w:sz="0" w:space="0" w:color="auto"/>
        <w:bottom w:val="none" w:sz="0" w:space="0" w:color="auto"/>
        <w:right w:val="none" w:sz="0" w:space="0" w:color="auto"/>
      </w:divBdr>
      <w:divsChild>
        <w:div w:id="900138235">
          <w:marLeft w:val="0"/>
          <w:marRight w:val="0"/>
          <w:marTop w:val="0"/>
          <w:marBottom w:val="0"/>
          <w:divBdr>
            <w:top w:val="none" w:sz="0" w:space="0" w:color="auto"/>
            <w:left w:val="none" w:sz="0" w:space="0" w:color="auto"/>
            <w:bottom w:val="none" w:sz="0" w:space="0" w:color="auto"/>
            <w:right w:val="none" w:sz="0" w:space="0" w:color="auto"/>
          </w:divBdr>
          <w:divsChild>
            <w:div w:id="1572306227">
              <w:marLeft w:val="0"/>
              <w:marRight w:val="0"/>
              <w:marTop w:val="0"/>
              <w:marBottom w:val="0"/>
              <w:divBdr>
                <w:top w:val="none" w:sz="0" w:space="0" w:color="auto"/>
                <w:left w:val="none" w:sz="0" w:space="0" w:color="auto"/>
                <w:bottom w:val="none" w:sz="0" w:space="0" w:color="auto"/>
                <w:right w:val="none" w:sz="0" w:space="0" w:color="auto"/>
              </w:divBdr>
              <w:divsChild>
                <w:div w:id="10642970">
                  <w:marLeft w:val="0"/>
                  <w:marRight w:val="0"/>
                  <w:marTop w:val="0"/>
                  <w:marBottom w:val="0"/>
                  <w:divBdr>
                    <w:top w:val="none" w:sz="0" w:space="0" w:color="auto"/>
                    <w:left w:val="none" w:sz="0" w:space="0" w:color="auto"/>
                    <w:bottom w:val="none" w:sz="0" w:space="0" w:color="auto"/>
                    <w:right w:val="none" w:sz="0" w:space="0" w:color="auto"/>
                  </w:divBdr>
                  <w:divsChild>
                    <w:div w:id="782500414">
                      <w:marLeft w:val="0"/>
                      <w:marRight w:val="0"/>
                      <w:marTop w:val="0"/>
                      <w:marBottom w:val="0"/>
                      <w:divBdr>
                        <w:top w:val="none" w:sz="0" w:space="0" w:color="auto"/>
                        <w:left w:val="none" w:sz="0" w:space="0" w:color="auto"/>
                        <w:bottom w:val="none" w:sz="0" w:space="0" w:color="auto"/>
                        <w:right w:val="none" w:sz="0" w:space="0" w:color="auto"/>
                      </w:divBdr>
                      <w:divsChild>
                        <w:div w:id="1391538497">
                          <w:marLeft w:val="0"/>
                          <w:marRight w:val="0"/>
                          <w:marTop w:val="0"/>
                          <w:marBottom w:val="0"/>
                          <w:divBdr>
                            <w:top w:val="none" w:sz="0" w:space="0" w:color="auto"/>
                            <w:left w:val="none" w:sz="0" w:space="0" w:color="auto"/>
                            <w:bottom w:val="none" w:sz="0" w:space="0" w:color="auto"/>
                            <w:right w:val="none" w:sz="0" w:space="0" w:color="auto"/>
                          </w:divBdr>
                          <w:divsChild>
                            <w:div w:id="184636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77344">
                  <w:marLeft w:val="0"/>
                  <w:marRight w:val="0"/>
                  <w:marTop w:val="0"/>
                  <w:marBottom w:val="0"/>
                  <w:divBdr>
                    <w:top w:val="none" w:sz="0" w:space="0" w:color="auto"/>
                    <w:left w:val="none" w:sz="0" w:space="0" w:color="auto"/>
                    <w:bottom w:val="none" w:sz="0" w:space="0" w:color="auto"/>
                    <w:right w:val="none" w:sz="0" w:space="0" w:color="auto"/>
                  </w:divBdr>
                  <w:divsChild>
                    <w:div w:id="26431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034053">
      <w:bodyDiv w:val="1"/>
      <w:marLeft w:val="0"/>
      <w:marRight w:val="0"/>
      <w:marTop w:val="0"/>
      <w:marBottom w:val="0"/>
      <w:divBdr>
        <w:top w:val="none" w:sz="0" w:space="0" w:color="auto"/>
        <w:left w:val="none" w:sz="0" w:space="0" w:color="auto"/>
        <w:bottom w:val="none" w:sz="0" w:space="0" w:color="auto"/>
        <w:right w:val="none" w:sz="0" w:space="0" w:color="auto"/>
      </w:divBdr>
    </w:div>
    <w:div w:id="761220018">
      <w:bodyDiv w:val="1"/>
      <w:marLeft w:val="0"/>
      <w:marRight w:val="0"/>
      <w:marTop w:val="0"/>
      <w:marBottom w:val="0"/>
      <w:divBdr>
        <w:top w:val="none" w:sz="0" w:space="0" w:color="auto"/>
        <w:left w:val="none" w:sz="0" w:space="0" w:color="auto"/>
        <w:bottom w:val="none" w:sz="0" w:space="0" w:color="auto"/>
        <w:right w:val="none" w:sz="0" w:space="0" w:color="auto"/>
      </w:divBdr>
    </w:div>
    <w:div w:id="935678494">
      <w:bodyDiv w:val="1"/>
      <w:marLeft w:val="0"/>
      <w:marRight w:val="0"/>
      <w:marTop w:val="0"/>
      <w:marBottom w:val="0"/>
      <w:divBdr>
        <w:top w:val="none" w:sz="0" w:space="0" w:color="auto"/>
        <w:left w:val="none" w:sz="0" w:space="0" w:color="auto"/>
        <w:bottom w:val="none" w:sz="0" w:space="0" w:color="auto"/>
        <w:right w:val="none" w:sz="0" w:space="0" w:color="auto"/>
      </w:divBdr>
    </w:div>
    <w:div w:id="937759032">
      <w:bodyDiv w:val="1"/>
      <w:marLeft w:val="0"/>
      <w:marRight w:val="0"/>
      <w:marTop w:val="0"/>
      <w:marBottom w:val="0"/>
      <w:divBdr>
        <w:top w:val="none" w:sz="0" w:space="0" w:color="auto"/>
        <w:left w:val="none" w:sz="0" w:space="0" w:color="auto"/>
        <w:bottom w:val="none" w:sz="0" w:space="0" w:color="auto"/>
        <w:right w:val="none" w:sz="0" w:space="0" w:color="auto"/>
      </w:divBdr>
    </w:div>
    <w:div w:id="956328165">
      <w:bodyDiv w:val="1"/>
      <w:marLeft w:val="0"/>
      <w:marRight w:val="0"/>
      <w:marTop w:val="0"/>
      <w:marBottom w:val="0"/>
      <w:divBdr>
        <w:top w:val="none" w:sz="0" w:space="0" w:color="auto"/>
        <w:left w:val="none" w:sz="0" w:space="0" w:color="auto"/>
        <w:bottom w:val="none" w:sz="0" w:space="0" w:color="auto"/>
        <w:right w:val="none" w:sz="0" w:space="0" w:color="auto"/>
      </w:divBdr>
    </w:div>
    <w:div w:id="985091565">
      <w:bodyDiv w:val="1"/>
      <w:marLeft w:val="0"/>
      <w:marRight w:val="0"/>
      <w:marTop w:val="0"/>
      <w:marBottom w:val="0"/>
      <w:divBdr>
        <w:top w:val="none" w:sz="0" w:space="0" w:color="auto"/>
        <w:left w:val="none" w:sz="0" w:space="0" w:color="auto"/>
        <w:bottom w:val="none" w:sz="0" w:space="0" w:color="auto"/>
        <w:right w:val="none" w:sz="0" w:space="0" w:color="auto"/>
      </w:divBdr>
    </w:div>
    <w:div w:id="1074009870">
      <w:bodyDiv w:val="1"/>
      <w:marLeft w:val="0"/>
      <w:marRight w:val="0"/>
      <w:marTop w:val="0"/>
      <w:marBottom w:val="0"/>
      <w:divBdr>
        <w:top w:val="none" w:sz="0" w:space="0" w:color="auto"/>
        <w:left w:val="none" w:sz="0" w:space="0" w:color="auto"/>
        <w:bottom w:val="none" w:sz="0" w:space="0" w:color="auto"/>
        <w:right w:val="none" w:sz="0" w:space="0" w:color="auto"/>
      </w:divBdr>
    </w:div>
    <w:div w:id="1098865993">
      <w:bodyDiv w:val="1"/>
      <w:marLeft w:val="0"/>
      <w:marRight w:val="0"/>
      <w:marTop w:val="0"/>
      <w:marBottom w:val="0"/>
      <w:divBdr>
        <w:top w:val="none" w:sz="0" w:space="0" w:color="auto"/>
        <w:left w:val="none" w:sz="0" w:space="0" w:color="auto"/>
        <w:bottom w:val="none" w:sz="0" w:space="0" w:color="auto"/>
        <w:right w:val="none" w:sz="0" w:space="0" w:color="auto"/>
      </w:divBdr>
    </w:div>
    <w:div w:id="1172570875">
      <w:bodyDiv w:val="1"/>
      <w:marLeft w:val="0"/>
      <w:marRight w:val="0"/>
      <w:marTop w:val="0"/>
      <w:marBottom w:val="0"/>
      <w:divBdr>
        <w:top w:val="none" w:sz="0" w:space="0" w:color="auto"/>
        <w:left w:val="none" w:sz="0" w:space="0" w:color="auto"/>
        <w:bottom w:val="none" w:sz="0" w:space="0" w:color="auto"/>
        <w:right w:val="none" w:sz="0" w:space="0" w:color="auto"/>
      </w:divBdr>
    </w:div>
    <w:div w:id="1231497326">
      <w:bodyDiv w:val="1"/>
      <w:marLeft w:val="0"/>
      <w:marRight w:val="0"/>
      <w:marTop w:val="0"/>
      <w:marBottom w:val="0"/>
      <w:divBdr>
        <w:top w:val="none" w:sz="0" w:space="0" w:color="auto"/>
        <w:left w:val="none" w:sz="0" w:space="0" w:color="auto"/>
        <w:bottom w:val="none" w:sz="0" w:space="0" w:color="auto"/>
        <w:right w:val="none" w:sz="0" w:space="0" w:color="auto"/>
      </w:divBdr>
      <w:divsChild>
        <w:div w:id="909316184">
          <w:marLeft w:val="547"/>
          <w:marRight w:val="0"/>
          <w:marTop w:val="0"/>
          <w:marBottom w:val="0"/>
          <w:divBdr>
            <w:top w:val="none" w:sz="0" w:space="0" w:color="auto"/>
            <w:left w:val="none" w:sz="0" w:space="0" w:color="auto"/>
            <w:bottom w:val="none" w:sz="0" w:space="0" w:color="auto"/>
            <w:right w:val="none" w:sz="0" w:space="0" w:color="auto"/>
          </w:divBdr>
        </w:div>
        <w:div w:id="417944340">
          <w:marLeft w:val="547"/>
          <w:marRight w:val="0"/>
          <w:marTop w:val="0"/>
          <w:marBottom w:val="0"/>
          <w:divBdr>
            <w:top w:val="none" w:sz="0" w:space="0" w:color="auto"/>
            <w:left w:val="none" w:sz="0" w:space="0" w:color="auto"/>
            <w:bottom w:val="none" w:sz="0" w:space="0" w:color="auto"/>
            <w:right w:val="none" w:sz="0" w:space="0" w:color="auto"/>
          </w:divBdr>
        </w:div>
      </w:divsChild>
    </w:div>
    <w:div w:id="1255633134">
      <w:bodyDiv w:val="1"/>
      <w:marLeft w:val="0"/>
      <w:marRight w:val="0"/>
      <w:marTop w:val="0"/>
      <w:marBottom w:val="0"/>
      <w:divBdr>
        <w:top w:val="none" w:sz="0" w:space="0" w:color="auto"/>
        <w:left w:val="none" w:sz="0" w:space="0" w:color="auto"/>
        <w:bottom w:val="none" w:sz="0" w:space="0" w:color="auto"/>
        <w:right w:val="none" w:sz="0" w:space="0" w:color="auto"/>
      </w:divBdr>
    </w:div>
    <w:div w:id="1258438789">
      <w:bodyDiv w:val="1"/>
      <w:marLeft w:val="0"/>
      <w:marRight w:val="0"/>
      <w:marTop w:val="0"/>
      <w:marBottom w:val="0"/>
      <w:divBdr>
        <w:top w:val="none" w:sz="0" w:space="0" w:color="auto"/>
        <w:left w:val="none" w:sz="0" w:space="0" w:color="auto"/>
        <w:bottom w:val="none" w:sz="0" w:space="0" w:color="auto"/>
        <w:right w:val="none" w:sz="0" w:space="0" w:color="auto"/>
      </w:divBdr>
    </w:div>
    <w:div w:id="1450777171">
      <w:bodyDiv w:val="1"/>
      <w:marLeft w:val="0"/>
      <w:marRight w:val="0"/>
      <w:marTop w:val="0"/>
      <w:marBottom w:val="0"/>
      <w:divBdr>
        <w:top w:val="none" w:sz="0" w:space="0" w:color="auto"/>
        <w:left w:val="none" w:sz="0" w:space="0" w:color="auto"/>
        <w:bottom w:val="none" w:sz="0" w:space="0" w:color="auto"/>
        <w:right w:val="none" w:sz="0" w:space="0" w:color="auto"/>
      </w:divBdr>
    </w:div>
    <w:div w:id="1536692267">
      <w:bodyDiv w:val="1"/>
      <w:marLeft w:val="0"/>
      <w:marRight w:val="0"/>
      <w:marTop w:val="0"/>
      <w:marBottom w:val="0"/>
      <w:divBdr>
        <w:top w:val="none" w:sz="0" w:space="0" w:color="auto"/>
        <w:left w:val="none" w:sz="0" w:space="0" w:color="auto"/>
        <w:bottom w:val="none" w:sz="0" w:space="0" w:color="auto"/>
        <w:right w:val="none" w:sz="0" w:space="0" w:color="auto"/>
      </w:divBdr>
    </w:div>
    <w:div w:id="1598516727">
      <w:bodyDiv w:val="1"/>
      <w:marLeft w:val="0"/>
      <w:marRight w:val="0"/>
      <w:marTop w:val="0"/>
      <w:marBottom w:val="0"/>
      <w:divBdr>
        <w:top w:val="none" w:sz="0" w:space="0" w:color="auto"/>
        <w:left w:val="none" w:sz="0" w:space="0" w:color="auto"/>
        <w:bottom w:val="none" w:sz="0" w:space="0" w:color="auto"/>
        <w:right w:val="none" w:sz="0" w:space="0" w:color="auto"/>
      </w:divBdr>
    </w:div>
    <w:div w:id="1621450734">
      <w:bodyDiv w:val="1"/>
      <w:marLeft w:val="0"/>
      <w:marRight w:val="0"/>
      <w:marTop w:val="0"/>
      <w:marBottom w:val="0"/>
      <w:divBdr>
        <w:top w:val="none" w:sz="0" w:space="0" w:color="auto"/>
        <w:left w:val="none" w:sz="0" w:space="0" w:color="auto"/>
        <w:bottom w:val="none" w:sz="0" w:space="0" w:color="auto"/>
        <w:right w:val="none" w:sz="0" w:space="0" w:color="auto"/>
      </w:divBdr>
    </w:div>
    <w:div w:id="1643657035">
      <w:bodyDiv w:val="1"/>
      <w:marLeft w:val="0"/>
      <w:marRight w:val="0"/>
      <w:marTop w:val="0"/>
      <w:marBottom w:val="0"/>
      <w:divBdr>
        <w:top w:val="none" w:sz="0" w:space="0" w:color="auto"/>
        <w:left w:val="none" w:sz="0" w:space="0" w:color="auto"/>
        <w:bottom w:val="none" w:sz="0" w:space="0" w:color="auto"/>
        <w:right w:val="none" w:sz="0" w:space="0" w:color="auto"/>
      </w:divBdr>
    </w:div>
    <w:div w:id="1715153066">
      <w:bodyDiv w:val="1"/>
      <w:marLeft w:val="0"/>
      <w:marRight w:val="0"/>
      <w:marTop w:val="0"/>
      <w:marBottom w:val="0"/>
      <w:divBdr>
        <w:top w:val="none" w:sz="0" w:space="0" w:color="auto"/>
        <w:left w:val="none" w:sz="0" w:space="0" w:color="auto"/>
        <w:bottom w:val="none" w:sz="0" w:space="0" w:color="auto"/>
        <w:right w:val="none" w:sz="0" w:space="0" w:color="auto"/>
      </w:divBdr>
    </w:div>
    <w:div w:id="1731923843">
      <w:bodyDiv w:val="1"/>
      <w:marLeft w:val="0"/>
      <w:marRight w:val="0"/>
      <w:marTop w:val="0"/>
      <w:marBottom w:val="0"/>
      <w:divBdr>
        <w:top w:val="none" w:sz="0" w:space="0" w:color="auto"/>
        <w:left w:val="none" w:sz="0" w:space="0" w:color="auto"/>
        <w:bottom w:val="none" w:sz="0" w:space="0" w:color="auto"/>
        <w:right w:val="none" w:sz="0" w:space="0" w:color="auto"/>
      </w:divBdr>
    </w:div>
    <w:div w:id="1797063064">
      <w:bodyDiv w:val="1"/>
      <w:marLeft w:val="0"/>
      <w:marRight w:val="0"/>
      <w:marTop w:val="0"/>
      <w:marBottom w:val="0"/>
      <w:divBdr>
        <w:top w:val="none" w:sz="0" w:space="0" w:color="auto"/>
        <w:left w:val="none" w:sz="0" w:space="0" w:color="auto"/>
        <w:bottom w:val="none" w:sz="0" w:space="0" w:color="auto"/>
        <w:right w:val="none" w:sz="0" w:space="0" w:color="auto"/>
      </w:divBdr>
    </w:div>
    <w:div w:id="1825121772">
      <w:bodyDiv w:val="1"/>
      <w:marLeft w:val="0"/>
      <w:marRight w:val="0"/>
      <w:marTop w:val="0"/>
      <w:marBottom w:val="0"/>
      <w:divBdr>
        <w:top w:val="none" w:sz="0" w:space="0" w:color="auto"/>
        <w:left w:val="none" w:sz="0" w:space="0" w:color="auto"/>
        <w:bottom w:val="none" w:sz="0" w:space="0" w:color="auto"/>
        <w:right w:val="none" w:sz="0" w:space="0" w:color="auto"/>
      </w:divBdr>
    </w:div>
    <w:div w:id="1840651338">
      <w:bodyDiv w:val="1"/>
      <w:marLeft w:val="0"/>
      <w:marRight w:val="0"/>
      <w:marTop w:val="0"/>
      <w:marBottom w:val="0"/>
      <w:divBdr>
        <w:top w:val="none" w:sz="0" w:space="0" w:color="auto"/>
        <w:left w:val="none" w:sz="0" w:space="0" w:color="auto"/>
        <w:bottom w:val="none" w:sz="0" w:space="0" w:color="auto"/>
        <w:right w:val="none" w:sz="0" w:space="0" w:color="auto"/>
      </w:divBdr>
    </w:div>
    <w:div w:id="1864244494">
      <w:bodyDiv w:val="1"/>
      <w:marLeft w:val="0"/>
      <w:marRight w:val="0"/>
      <w:marTop w:val="0"/>
      <w:marBottom w:val="0"/>
      <w:divBdr>
        <w:top w:val="none" w:sz="0" w:space="0" w:color="auto"/>
        <w:left w:val="none" w:sz="0" w:space="0" w:color="auto"/>
        <w:bottom w:val="none" w:sz="0" w:space="0" w:color="auto"/>
        <w:right w:val="none" w:sz="0" w:space="0" w:color="auto"/>
      </w:divBdr>
      <w:divsChild>
        <w:div w:id="572276913">
          <w:marLeft w:val="418"/>
          <w:marRight w:val="0"/>
          <w:marTop w:val="0"/>
          <w:marBottom w:val="0"/>
          <w:divBdr>
            <w:top w:val="none" w:sz="0" w:space="0" w:color="auto"/>
            <w:left w:val="none" w:sz="0" w:space="0" w:color="auto"/>
            <w:bottom w:val="none" w:sz="0" w:space="0" w:color="auto"/>
            <w:right w:val="none" w:sz="0" w:space="0" w:color="auto"/>
          </w:divBdr>
        </w:div>
      </w:divsChild>
    </w:div>
    <w:div w:id="1898591937">
      <w:bodyDiv w:val="1"/>
      <w:marLeft w:val="0"/>
      <w:marRight w:val="0"/>
      <w:marTop w:val="0"/>
      <w:marBottom w:val="0"/>
      <w:divBdr>
        <w:top w:val="none" w:sz="0" w:space="0" w:color="auto"/>
        <w:left w:val="none" w:sz="0" w:space="0" w:color="auto"/>
        <w:bottom w:val="none" w:sz="0" w:space="0" w:color="auto"/>
        <w:right w:val="none" w:sz="0" w:space="0" w:color="auto"/>
      </w:divBdr>
      <w:divsChild>
        <w:div w:id="184901485">
          <w:marLeft w:val="0"/>
          <w:marRight w:val="0"/>
          <w:marTop w:val="0"/>
          <w:marBottom w:val="0"/>
          <w:divBdr>
            <w:top w:val="none" w:sz="0" w:space="0" w:color="auto"/>
            <w:left w:val="none" w:sz="0" w:space="0" w:color="auto"/>
            <w:bottom w:val="none" w:sz="0" w:space="0" w:color="auto"/>
            <w:right w:val="none" w:sz="0" w:space="0" w:color="auto"/>
          </w:divBdr>
          <w:divsChild>
            <w:div w:id="1477839009">
              <w:marLeft w:val="0"/>
              <w:marRight w:val="0"/>
              <w:marTop w:val="0"/>
              <w:marBottom w:val="0"/>
              <w:divBdr>
                <w:top w:val="none" w:sz="0" w:space="0" w:color="auto"/>
                <w:left w:val="none" w:sz="0" w:space="0" w:color="auto"/>
                <w:bottom w:val="none" w:sz="0" w:space="0" w:color="auto"/>
                <w:right w:val="none" w:sz="0" w:space="0" w:color="auto"/>
              </w:divBdr>
              <w:divsChild>
                <w:div w:id="344744559">
                  <w:marLeft w:val="0"/>
                  <w:marRight w:val="0"/>
                  <w:marTop w:val="0"/>
                  <w:marBottom w:val="0"/>
                  <w:divBdr>
                    <w:top w:val="none" w:sz="0" w:space="0" w:color="auto"/>
                    <w:left w:val="none" w:sz="0" w:space="0" w:color="auto"/>
                    <w:bottom w:val="none" w:sz="0" w:space="0" w:color="auto"/>
                    <w:right w:val="none" w:sz="0" w:space="0" w:color="auto"/>
                  </w:divBdr>
                  <w:divsChild>
                    <w:div w:id="267081488">
                      <w:marLeft w:val="0"/>
                      <w:marRight w:val="0"/>
                      <w:marTop w:val="0"/>
                      <w:marBottom w:val="0"/>
                      <w:divBdr>
                        <w:top w:val="none" w:sz="0" w:space="0" w:color="auto"/>
                        <w:left w:val="none" w:sz="0" w:space="0" w:color="auto"/>
                        <w:bottom w:val="none" w:sz="0" w:space="0" w:color="auto"/>
                        <w:right w:val="none" w:sz="0" w:space="0" w:color="auto"/>
                      </w:divBdr>
                      <w:divsChild>
                        <w:div w:id="527108747">
                          <w:marLeft w:val="0"/>
                          <w:marRight w:val="0"/>
                          <w:marTop w:val="0"/>
                          <w:marBottom w:val="0"/>
                          <w:divBdr>
                            <w:top w:val="none" w:sz="0" w:space="0" w:color="auto"/>
                            <w:left w:val="none" w:sz="0" w:space="0" w:color="auto"/>
                            <w:bottom w:val="none" w:sz="0" w:space="0" w:color="auto"/>
                            <w:right w:val="none" w:sz="0" w:space="0" w:color="auto"/>
                          </w:divBdr>
                          <w:divsChild>
                            <w:div w:id="1857695931">
                              <w:marLeft w:val="0"/>
                              <w:marRight w:val="0"/>
                              <w:marTop w:val="0"/>
                              <w:marBottom w:val="0"/>
                              <w:divBdr>
                                <w:top w:val="none" w:sz="0" w:space="0" w:color="auto"/>
                                <w:left w:val="none" w:sz="0" w:space="0" w:color="auto"/>
                                <w:bottom w:val="none" w:sz="0" w:space="0" w:color="auto"/>
                                <w:right w:val="none" w:sz="0" w:space="0" w:color="auto"/>
                              </w:divBdr>
                              <w:divsChild>
                                <w:div w:id="92480601">
                                  <w:marLeft w:val="0"/>
                                  <w:marRight w:val="0"/>
                                  <w:marTop w:val="0"/>
                                  <w:marBottom w:val="0"/>
                                  <w:divBdr>
                                    <w:top w:val="none" w:sz="0" w:space="0" w:color="auto"/>
                                    <w:left w:val="none" w:sz="0" w:space="0" w:color="auto"/>
                                    <w:bottom w:val="none" w:sz="0" w:space="0" w:color="auto"/>
                                    <w:right w:val="none" w:sz="0" w:space="0" w:color="auto"/>
                                  </w:divBdr>
                                  <w:divsChild>
                                    <w:div w:id="1285848460">
                                      <w:marLeft w:val="0"/>
                                      <w:marRight w:val="0"/>
                                      <w:marTop w:val="0"/>
                                      <w:marBottom w:val="0"/>
                                      <w:divBdr>
                                        <w:top w:val="none" w:sz="0" w:space="0" w:color="auto"/>
                                        <w:left w:val="none" w:sz="0" w:space="0" w:color="auto"/>
                                        <w:bottom w:val="none" w:sz="0" w:space="0" w:color="auto"/>
                                        <w:right w:val="none" w:sz="0" w:space="0" w:color="auto"/>
                                      </w:divBdr>
                                      <w:divsChild>
                                        <w:div w:id="20139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7097450">
      <w:bodyDiv w:val="1"/>
      <w:marLeft w:val="0"/>
      <w:marRight w:val="0"/>
      <w:marTop w:val="0"/>
      <w:marBottom w:val="0"/>
      <w:divBdr>
        <w:top w:val="none" w:sz="0" w:space="0" w:color="auto"/>
        <w:left w:val="none" w:sz="0" w:space="0" w:color="auto"/>
        <w:bottom w:val="none" w:sz="0" w:space="0" w:color="auto"/>
        <w:right w:val="none" w:sz="0" w:space="0" w:color="auto"/>
      </w:divBdr>
    </w:div>
    <w:div w:id="2112775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9BF3B-AD17-4F4D-BDD6-45A4A5F8F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40</Pages>
  <Words>6954</Words>
  <Characters>38252</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Keilyn Lorena Chavarría Fernández</cp:lastModifiedBy>
  <cp:revision>20</cp:revision>
  <cp:lastPrinted>2025-10-10T20:21:00Z</cp:lastPrinted>
  <dcterms:created xsi:type="dcterms:W3CDTF">2025-10-01T21:33:00Z</dcterms:created>
  <dcterms:modified xsi:type="dcterms:W3CDTF">2025-10-10T20:37:00Z</dcterms:modified>
  <cp:category/>
</cp:coreProperties>
</file>